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9D90D" w14:textId="77777777" w:rsidR="001F3F85" w:rsidRPr="002517DF" w:rsidRDefault="001F3F85" w:rsidP="00F015E8">
      <w:pPr>
        <w:rPr>
          <w:rFonts w:ascii="Verdana" w:hAnsi="Verdana"/>
          <w:sz w:val="19"/>
          <w:szCs w:val="19"/>
        </w:rPr>
      </w:pPr>
    </w:p>
    <w:p w14:paraId="1C48B771" w14:textId="64783BC2" w:rsidR="00256F84" w:rsidRPr="006155FE" w:rsidRDefault="00594C83" w:rsidP="00256F84">
      <w:pPr>
        <w:rPr>
          <w:rFonts w:ascii="Verdana" w:hAnsi="Verdana"/>
          <w:sz w:val="20"/>
          <w:szCs w:val="20"/>
        </w:rPr>
      </w:pPr>
      <w:r>
        <w:rPr>
          <w:rFonts w:ascii="Verdana" w:hAnsi="Verdana"/>
          <w:sz w:val="20"/>
          <w:szCs w:val="20"/>
        </w:rPr>
        <w:t>18</w:t>
      </w:r>
      <w:r w:rsidR="00AC5ECC">
        <w:rPr>
          <w:rFonts w:ascii="Verdana" w:hAnsi="Verdana"/>
          <w:sz w:val="20"/>
          <w:szCs w:val="20"/>
        </w:rPr>
        <w:t xml:space="preserve"> July 2023</w:t>
      </w:r>
    </w:p>
    <w:p w14:paraId="2CB23D39" w14:textId="77777777" w:rsidR="00256F84" w:rsidRPr="006155FE" w:rsidRDefault="00256F84" w:rsidP="00256F84">
      <w:pPr>
        <w:rPr>
          <w:rFonts w:ascii="Verdana" w:hAnsi="Verdana"/>
          <w:sz w:val="20"/>
          <w:szCs w:val="20"/>
        </w:rPr>
      </w:pPr>
    </w:p>
    <w:p w14:paraId="4CE37F02" w14:textId="77777777" w:rsidR="00256F84" w:rsidRPr="006155FE" w:rsidRDefault="00256F84" w:rsidP="00256F84">
      <w:pPr>
        <w:rPr>
          <w:rFonts w:ascii="Verdana" w:hAnsi="Verdana"/>
          <w:sz w:val="20"/>
          <w:szCs w:val="20"/>
        </w:rPr>
      </w:pPr>
    </w:p>
    <w:p w14:paraId="09DF22D2" w14:textId="77777777" w:rsidR="00AC5ECC" w:rsidRPr="00AC5ECC" w:rsidRDefault="00AC5ECC" w:rsidP="001F436F">
      <w:pPr>
        <w:rPr>
          <w:rFonts w:ascii="Verdana" w:eastAsia="Calibri" w:hAnsi="Verdana"/>
          <w:sz w:val="20"/>
          <w:szCs w:val="20"/>
          <w:lang w:eastAsia="en-US"/>
        </w:rPr>
      </w:pPr>
      <w:r w:rsidRPr="00AC5ECC">
        <w:rPr>
          <w:rFonts w:ascii="Verdana" w:eastAsia="Calibri" w:hAnsi="Verdana"/>
          <w:sz w:val="20"/>
          <w:szCs w:val="20"/>
          <w:lang w:eastAsia="en-US"/>
        </w:rPr>
        <w:t>Head of Payments Policy Department</w:t>
      </w:r>
    </w:p>
    <w:p w14:paraId="2EFD8D86" w14:textId="77777777" w:rsidR="00AC5ECC" w:rsidRPr="00AC5ECC" w:rsidRDefault="00AC5ECC" w:rsidP="001F436F">
      <w:pPr>
        <w:rPr>
          <w:rFonts w:ascii="Verdana" w:eastAsia="Calibri" w:hAnsi="Verdana"/>
          <w:sz w:val="20"/>
          <w:szCs w:val="20"/>
          <w:lang w:eastAsia="en-US"/>
        </w:rPr>
      </w:pPr>
      <w:r w:rsidRPr="00AC5ECC">
        <w:rPr>
          <w:rFonts w:ascii="Verdana" w:eastAsia="Calibri" w:hAnsi="Verdana"/>
          <w:sz w:val="20"/>
          <w:szCs w:val="20"/>
          <w:lang w:eastAsia="en-US"/>
        </w:rPr>
        <w:t xml:space="preserve">Reserve Bank of Australia </w:t>
      </w:r>
    </w:p>
    <w:p w14:paraId="22D44846" w14:textId="77777777" w:rsidR="00AC5ECC" w:rsidRPr="00AC5ECC" w:rsidRDefault="00AC5ECC" w:rsidP="001F436F">
      <w:pPr>
        <w:rPr>
          <w:rFonts w:ascii="Verdana" w:eastAsia="Calibri" w:hAnsi="Verdana"/>
          <w:sz w:val="20"/>
          <w:szCs w:val="20"/>
          <w:lang w:eastAsia="en-US"/>
        </w:rPr>
      </w:pPr>
      <w:r w:rsidRPr="00AC5ECC">
        <w:rPr>
          <w:rFonts w:ascii="Verdana" w:eastAsia="Calibri" w:hAnsi="Verdana"/>
          <w:sz w:val="20"/>
          <w:szCs w:val="20"/>
          <w:lang w:eastAsia="en-US"/>
        </w:rPr>
        <w:t xml:space="preserve">GPO Box 3947 </w:t>
      </w:r>
    </w:p>
    <w:p w14:paraId="000E2427" w14:textId="75753DC5" w:rsidR="001F436F" w:rsidRDefault="00AC5ECC" w:rsidP="001F436F">
      <w:pPr>
        <w:rPr>
          <w:rFonts w:ascii="Verdana" w:eastAsia="Calibri" w:hAnsi="Verdana"/>
          <w:sz w:val="20"/>
          <w:szCs w:val="20"/>
          <w:lang w:eastAsia="en-US"/>
        </w:rPr>
      </w:pPr>
      <w:r w:rsidRPr="00AC5ECC">
        <w:rPr>
          <w:rFonts w:ascii="Verdana" w:eastAsia="Calibri" w:hAnsi="Verdana"/>
          <w:sz w:val="20"/>
          <w:szCs w:val="20"/>
          <w:lang w:eastAsia="en-US"/>
        </w:rPr>
        <w:t>Sydney NSW 2001</w:t>
      </w:r>
    </w:p>
    <w:p w14:paraId="2DCF9E5C" w14:textId="77777777" w:rsidR="00AC5ECC" w:rsidRPr="00AC5ECC" w:rsidRDefault="00AC5ECC" w:rsidP="001F436F">
      <w:pPr>
        <w:rPr>
          <w:rFonts w:ascii="Verdana" w:eastAsia="Calibri" w:hAnsi="Verdana"/>
          <w:sz w:val="20"/>
          <w:szCs w:val="20"/>
          <w:lang w:eastAsia="en-US"/>
        </w:rPr>
      </w:pPr>
    </w:p>
    <w:p w14:paraId="38009337" w14:textId="57A765E0" w:rsidR="00CC4F56" w:rsidRPr="006155FE" w:rsidRDefault="00CC4F56" w:rsidP="00CC4F56">
      <w:pPr>
        <w:rPr>
          <w:rFonts w:ascii="Verdana" w:hAnsi="Verdana"/>
          <w:sz w:val="20"/>
          <w:szCs w:val="20"/>
        </w:rPr>
      </w:pPr>
      <w:r w:rsidRPr="006155FE">
        <w:rPr>
          <w:rFonts w:ascii="Verdana" w:hAnsi="Verdana"/>
          <w:sz w:val="20"/>
          <w:szCs w:val="20"/>
        </w:rPr>
        <w:t xml:space="preserve">By email: </w:t>
      </w:r>
      <w:r w:rsidR="00AC5ECC" w:rsidRPr="00AC5ECC">
        <w:rPr>
          <w:rFonts w:ascii="Verdana" w:hAnsi="Verdana"/>
          <w:sz w:val="20"/>
          <w:szCs w:val="20"/>
        </w:rPr>
        <w:t>pysubmissions@rba.gov.au</w:t>
      </w:r>
    </w:p>
    <w:p w14:paraId="091C736F" w14:textId="5EDA9868" w:rsidR="00256F84" w:rsidRDefault="00256F84" w:rsidP="00256F84">
      <w:pPr>
        <w:rPr>
          <w:rFonts w:ascii="Verdana" w:hAnsi="Verdana"/>
          <w:sz w:val="20"/>
          <w:szCs w:val="20"/>
        </w:rPr>
      </w:pPr>
    </w:p>
    <w:p w14:paraId="2385239F" w14:textId="77777777" w:rsidR="00256F84" w:rsidRPr="006155FE" w:rsidRDefault="00256F84" w:rsidP="00256F84">
      <w:pPr>
        <w:rPr>
          <w:rFonts w:ascii="Verdana" w:hAnsi="Verdana"/>
          <w:sz w:val="20"/>
          <w:szCs w:val="20"/>
        </w:rPr>
      </w:pPr>
    </w:p>
    <w:p w14:paraId="4934CB37" w14:textId="151CB055" w:rsidR="001F436F" w:rsidRPr="001F436F" w:rsidRDefault="00795607" w:rsidP="00227B4A">
      <w:pPr>
        <w:rPr>
          <w:rFonts w:ascii="Verdana" w:eastAsia="Calibri" w:hAnsi="Verdana"/>
          <w:b/>
          <w:sz w:val="20"/>
          <w:szCs w:val="20"/>
          <w:lang w:eastAsia="en-US"/>
        </w:rPr>
      </w:pPr>
      <w:r>
        <w:rPr>
          <w:rFonts w:ascii="Verdana" w:eastAsia="Calibri" w:hAnsi="Verdana"/>
          <w:b/>
          <w:sz w:val="20"/>
          <w:szCs w:val="20"/>
          <w:lang w:eastAsia="en-US"/>
        </w:rPr>
        <w:t>The Australian Debit Card Market: Default Settings and Tokenisation</w:t>
      </w:r>
    </w:p>
    <w:p w14:paraId="2F0347B9" w14:textId="77777777" w:rsidR="001F436F" w:rsidRDefault="001F436F" w:rsidP="00227B4A">
      <w:pPr>
        <w:rPr>
          <w:rFonts w:ascii="Verdana" w:eastAsia="Calibri" w:hAnsi="Verdana"/>
          <w:sz w:val="20"/>
          <w:szCs w:val="20"/>
          <w:lang w:eastAsia="en-US"/>
        </w:rPr>
      </w:pPr>
    </w:p>
    <w:p w14:paraId="4E8966E8" w14:textId="41DB8463" w:rsidR="00634C21" w:rsidRPr="003F347B" w:rsidRDefault="00634C21" w:rsidP="00634C21">
      <w:pPr>
        <w:rPr>
          <w:rFonts w:ascii="Verdana" w:eastAsia="Calibri" w:hAnsi="Verdana"/>
          <w:sz w:val="20"/>
          <w:szCs w:val="20"/>
          <w:lang w:eastAsia="en-US"/>
        </w:rPr>
      </w:pPr>
      <w:r>
        <w:rPr>
          <w:rFonts w:ascii="Verdana" w:eastAsia="Calibri" w:hAnsi="Verdana"/>
          <w:sz w:val="20"/>
          <w:szCs w:val="20"/>
          <w:lang w:eastAsia="en-US"/>
        </w:rPr>
        <w:t>ANZ thanks the Reserve Bank of Australia (</w:t>
      </w:r>
      <w:r>
        <w:rPr>
          <w:rFonts w:ascii="Verdana" w:eastAsia="Calibri" w:hAnsi="Verdana"/>
          <w:b/>
          <w:bCs/>
          <w:sz w:val="20"/>
          <w:szCs w:val="20"/>
          <w:lang w:eastAsia="en-US"/>
        </w:rPr>
        <w:t>’</w:t>
      </w:r>
      <w:r w:rsidRPr="00634C21">
        <w:rPr>
          <w:rFonts w:ascii="Verdana" w:eastAsia="Calibri" w:hAnsi="Verdana"/>
          <w:sz w:val="20"/>
          <w:szCs w:val="20"/>
          <w:lang w:eastAsia="en-US"/>
        </w:rPr>
        <w:t>RBA</w:t>
      </w:r>
      <w:r>
        <w:rPr>
          <w:rFonts w:ascii="Verdana" w:eastAsia="Calibri" w:hAnsi="Verdana"/>
          <w:sz w:val="20"/>
          <w:szCs w:val="20"/>
          <w:lang w:eastAsia="en-US"/>
        </w:rPr>
        <w:t xml:space="preserve">’) for the opportunity to provide feedback on </w:t>
      </w:r>
      <w:r w:rsidRPr="00795607">
        <w:rPr>
          <w:rFonts w:ascii="Verdana" w:eastAsia="Calibri" w:hAnsi="Verdana"/>
          <w:i/>
          <w:iCs/>
          <w:sz w:val="20"/>
          <w:szCs w:val="20"/>
          <w:lang w:eastAsia="en-US"/>
        </w:rPr>
        <w:t>The</w:t>
      </w:r>
      <w:r>
        <w:rPr>
          <w:rFonts w:ascii="Verdana" w:eastAsia="Calibri" w:hAnsi="Verdana"/>
          <w:sz w:val="20"/>
          <w:szCs w:val="20"/>
          <w:lang w:eastAsia="en-US"/>
        </w:rPr>
        <w:t xml:space="preserve"> </w:t>
      </w:r>
      <w:r>
        <w:rPr>
          <w:rFonts w:ascii="Verdana" w:eastAsia="Calibri" w:hAnsi="Verdana"/>
          <w:i/>
          <w:sz w:val="20"/>
          <w:szCs w:val="20"/>
          <w:lang w:eastAsia="en-US"/>
        </w:rPr>
        <w:t>Australian Debit Card Market: Default Settings and Tokenisation Issues Paper</w:t>
      </w:r>
      <w:r>
        <w:rPr>
          <w:rFonts w:ascii="Verdana" w:eastAsia="Calibri" w:hAnsi="Verdana"/>
          <w:sz w:val="20"/>
          <w:szCs w:val="20"/>
          <w:lang w:eastAsia="en-US"/>
        </w:rPr>
        <w:t xml:space="preserve"> dated June 2023. ANZ is providing this feedback in its capacity as a card issuer (‘Issuer'), having transferred our merchant acquiring business to the</w:t>
      </w:r>
      <w:r w:rsidR="003A65A3">
        <w:rPr>
          <w:rFonts w:ascii="Verdana" w:eastAsia="Calibri" w:hAnsi="Verdana"/>
          <w:sz w:val="20"/>
          <w:szCs w:val="20"/>
          <w:lang w:eastAsia="en-US"/>
        </w:rPr>
        <w:t xml:space="preserve"> joint venture, ANZ Worldline Payment Solutions</w:t>
      </w:r>
      <w:r>
        <w:rPr>
          <w:rFonts w:ascii="Verdana" w:eastAsia="Calibri" w:hAnsi="Verdana"/>
          <w:sz w:val="20"/>
          <w:szCs w:val="20"/>
          <w:lang w:eastAsia="en-US"/>
        </w:rPr>
        <w:t xml:space="preserve">. </w:t>
      </w:r>
    </w:p>
    <w:p w14:paraId="6A20610D" w14:textId="77382AAD" w:rsidR="0077051A" w:rsidRDefault="0077051A" w:rsidP="00227B4A">
      <w:pPr>
        <w:rPr>
          <w:rFonts w:ascii="Verdana" w:eastAsia="Calibri" w:hAnsi="Verdana"/>
          <w:sz w:val="20"/>
          <w:szCs w:val="20"/>
          <w:lang w:eastAsia="en-US"/>
        </w:rPr>
      </w:pPr>
    </w:p>
    <w:p w14:paraId="5DFC0A99" w14:textId="71D2927F" w:rsidR="00C76BBA" w:rsidRDefault="00252B7E" w:rsidP="00C76BBA">
      <w:pPr>
        <w:rPr>
          <w:rFonts w:ascii="Verdana" w:eastAsia="Calibri" w:hAnsi="Verdana"/>
          <w:b/>
          <w:bCs/>
          <w:sz w:val="20"/>
          <w:szCs w:val="20"/>
          <w:lang w:eastAsia="en-US"/>
        </w:rPr>
      </w:pPr>
      <w:bookmarkStart w:id="0" w:name="_Hlk128748931"/>
      <w:r>
        <w:rPr>
          <w:rFonts w:ascii="Verdana" w:eastAsia="Calibri" w:hAnsi="Verdana"/>
          <w:b/>
          <w:bCs/>
          <w:sz w:val="20"/>
          <w:szCs w:val="20"/>
          <w:lang w:eastAsia="en-US"/>
        </w:rPr>
        <w:t>Setting a d</w:t>
      </w:r>
      <w:r w:rsidR="00182315" w:rsidRPr="00C76BBA">
        <w:rPr>
          <w:rFonts w:ascii="Verdana" w:eastAsia="Calibri" w:hAnsi="Verdana"/>
          <w:b/>
          <w:bCs/>
          <w:sz w:val="20"/>
          <w:szCs w:val="20"/>
          <w:lang w:eastAsia="en-US"/>
        </w:rPr>
        <w:t xml:space="preserve">efault </w:t>
      </w:r>
      <w:r>
        <w:rPr>
          <w:rFonts w:ascii="Verdana" w:eastAsia="Calibri" w:hAnsi="Verdana"/>
          <w:b/>
          <w:bCs/>
          <w:sz w:val="20"/>
          <w:szCs w:val="20"/>
          <w:lang w:eastAsia="en-US"/>
        </w:rPr>
        <w:t>n</w:t>
      </w:r>
      <w:r w:rsidR="00182315" w:rsidRPr="00C76BBA">
        <w:rPr>
          <w:rFonts w:ascii="Verdana" w:eastAsia="Calibri" w:hAnsi="Verdana"/>
          <w:b/>
          <w:bCs/>
          <w:sz w:val="20"/>
          <w:szCs w:val="20"/>
          <w:lang w:eastAsia="en-US"/>
        </w:rPr>
        <w:t>et</w:t>
      </w:r>
      <w:r>
        <w:rPr>
          <w:rFonts w:ascii="Verdana" w:eastAsia="Calibri" w:hAnsi="Verdana"/>
          <w:b/>
          <w:bCs/>
          <w:sz w:val="20"/>
          <w:szCs w:val="20"/>
          <w:lang w:eastAsia="en-US"/>
        </w:rPr>
        <w:t>work on Dual Network Debit Cards (DNDC)</w:t>
      </w:r>
    </w:p>
    <w:p w14:paraId="1F8E0DDD" w14:textId="77777777" w:rsidR="00C76BBA" w:rsidRDefault="00C76BBA" w:rsidP="00C76BBA">
      <w:pPr>
        <w:rPr>
          <w:rFonts w:ascii="Verdana" w:eastAsia="Calibri" w:hAnsi="Verdana"/>
          <w:b/>
          <w:bCs/>
          <w:sz w:val="20"/>
          <w:szCs w:val="20"/>
          <w:lang w:eastAsia="en-US"/>
        </w:rPr>
      </w:pPr>
    </w:p>
    <w:p w14:paraId="6B860704" w14:textId="7534ADA8" w:rsidR="001154FC" w:rsidRPr="00CD5D1B" w:rsidRDefault="00750C81" w:rsidP="001154FC">
      <w:pPr>
        <w:pStyle w:val="ListParagraph"/>
        <w:numPr>
          <w:ilvl w:val="0"/>
          <w:numId w:val="15"/>
        </w:numPr>
        <w:rPr>
          <w:rFonts w:ascii="Verdana" w:hAnsi="Verdana"/>
          <w:sz w:val="20"/>
          <w:szCs w:val="20"/>
          <w:lang w:eastAsia="en-US"/>
        </w:rPr>
      </w:pPr>
      <w:bookmarkStart w:id="1" w:name="_Hlk140501359"/>
      <w:r>
        <w:rPr>
          <w:rFonts w:ascii="Verdana" w:hAnsi="Verdana"/>
          <w:sz w:val="20"/>
          <w:szCs w:val="20"/>
          <w:lang w:eastAsia="en-US"/>
        </w:rPr>
        <w:t>P</w:t>
      </w:r>
      <w:r w:rsidR="001154FC" w:rsidRPr="00CD5D1B">
        <w:rPr>
          <w:rFonts w:ascii="Verdana" w:hAnsi="Verdana"/>
          <w:sz w:val="20"/>
          <w:szCs w:val="20"/>
          <w:lang w:eastAsia="en-US"/>
        </w:rPr>
        <w:t xml:space="preserve">rohibiting any setting of a default routing network of DNDCs would result in cardholders being unable to use their cards where the merchant has not adopted or does not have access to </w:t>
      </w:r>
      <w:r w:rsidR="00634C21">
        <w:rPr>
          <w:rFonts w:ascii="Verdana" w:hAnsi="Verdana"/>
          <w:sz w:val="20"/>
          <w:szCs w:val="20"/>
          <w:lang w:eastAsia="en-US"/>
        </w:rPr>
        <w:t>Least Cost Routing (‘</w:t>
      </w:r>
      <w:r w:rsidR="001154FC" w:rsidRPr="00CD5D1B">
        <w:rPr>
          <w:rFonts w:ascii="Verdana" w:hAnsi="Verdana"/>
          <w:sz w:val="20"/>
          <w:szCs w:val="20"/>
          <w:lang w:eastAsia="en-US"/>
        </w:rPr>
        <w:t>LCR</w:t>
      </w:r>
      <w:r w:rsidR="00634C21">
        <w:rPr>
          <w:rFonts w:ascii="Verdana" w:hAnsi="Verdana"/>
          <w:sz w:val="20"/>
          <w:szCs w:val="20"/>
          <w:lang w:eastAsia="en-US"/>
        </w:rPr>
        <w:t>’)</w:t>
      </w:r>
      <w:r w:rsidR="007F563B">
        <w:rPr>
          <w:rFonts w:ascii="Verdana" w:hAnsi="Verdana"/>
          <w:sz w:val="20"/>
          <w:szCs w:val="20"/>
          <w:lang w:eastAsia="en-US"/>
        </w:rPr>
        <w:t xml:space="preserve"> </w:t>
      </w:r>
      <w:r w:rsidR="001154FC" w:rsidRPr="00CD5D1B">
        <w:rPr>
          <w:rFonts w:ascii="Verdana" w:hAnsi="Verdana"/>
          <w:sz w:val="20"/>
          <w:szCs w:val="20"/>
          <w:lang w:eastAsia="en-US"/>
        </w:rPr>
        <w:t>(</w:t>
      </w:r>
      <w:proofErr w:type="gramStart"/>
      <w:r w:rsidR="001154FC" w:rsidRPr="00CD5D1B">
        <w:rPr>
          <w:rFonts w:ascii="Verdana" w:hAnsi="Verdana"/>
          <w:sz w:val="20"/>
          <w:szCs w:val="20"/>
          <w:lang w:eastAsia="en-US"/>
        </w:rPr>
        <w:t>i.e.</w:t>
      </w:r>
      <w:proofErr w:type="gramEnd"/>
      <w:r w:rsidR="001154FC" w:rsidRPr="00CD5D1B">
        <w:rPr>
          <w:rFonts w:ascii="Verdana" w:hAnsi="Verdana"/>
          <w:sz w:val="20"/>
          <w:szCs w:val="20"/>
          <w:lang w:eastAsia="en-US"/>
        </w:rPr>
        <w:t xml:space="preserve"> overseas market)</w:t>
      </w:r>
      <w:r w:rsidR="003A65A3">
        <w:rPr>
          <w:rFonts w:ascii="Verdana" w:hAnsi="Verdana"/>
          <w:sz w:val="20"/>
          <w:szCs w:val="20"/>
          <w:lang w:eastAsia="en-US"/>
        </w:rPr>
        <w:t>.</w:t>
      </w:r>
      <w:r w:rsidR="001154FC" w:rsidRPr="00CD5D1B">
        <w:rPr>
          <w:rFonts w:ascii="Verdana" w:hAnsi="Verdana"/>
          <w:sz w:val="20"/>
          <w:szCs w:val="20"/>
          <w:lang w:eastAsia="en-US"/>
        </w:rPr>
        <w:t xml:space="preserve"> </w:t>
      </w:r>
    </w:p>
    <w:bookmarkEnd w:id="1"/>
    <w:p w14:paraId="741BEA84" w14:textId="77777777" w:rsidR="00E6542D" w:rsidRDefault="00E6542D" w:rsidP="007E4F30">
      <w:pPr>
        <w:pStyle w:val="ListParagraph"/>
        <w:rPr>
          <w:rFonts w:ascii="Verdana" w:eastAsia="Calibri" w:hAnsi="Verdana"/>
          <w:sz w:val="20"/>
          <w:szCs w:val="20"/>
          <w:lang w:eastAsia="en-US"/>
        </w:rPr>
      </w:pPr>
    </w:p>
    <w:p w14:paraId="1178F79D" w14:textId="276F6144" w:rsidR="004A274D" w:rsidRPr="0064483E" w:rsidRDefault="00E6542D" w:rsidP="004E518B">
      <w:pPr>
        <w:pStyle w:val="ListParagraph"/>
        <w:numPr>
          <w:ilvl w:val="0"/>
          <w:numId w:val="15"/>
        </w:numPr>
        <w:rPr>
          <w:rFonts w:ascii="Verdana" w:eastAsia="Calibri" w:hAnsi="Verdana"/>
          <w:sz w:val="20"/>
          <w:szCs w:val="20"/>
          <w:lang w:eastAsia="en-US"/>
        </w:rPr>
      </w:pPr>
      <w:r>
        <w:rPr>
          <w:rFonts w:ascii="Verdana" w:eastAsia="Calibri" w:hAnsi="Verdana"/>
          <w:sz w:val="20"/>
          <w:szCs w:val="20"/>
          <w:lang w:eastAsia="en-US"/>
        </w:rPr>
        <w:t>Furthermore, all plastic cards with default routing would need to be reissued, at significant cost to Issuers and inconvenience to card holders</w:t>
      </w:r>
      <w:r w:rsidR="003A65A3">
        <w:rPr>
          <w:rFonts w:ascii="Verdana" w:eastAsia="Calibri" w:hAnsi="Verdana"/>
          <w:sz w:val="20"/>
          <w:szCs w:val="20"/>
          <w:lang w:eastAsia="en-US"/>
        </w:rPr>
        <w:t>.</w:t>
      </w:r>
    </w:p>
    <w:p w14:paraId="04A29812" w14:textId="385FDFE8" w:rsidR="00252B7E" w:rsidRDefault="00252B7E" w:rsidP="007E4F30">
      <w:pPr>
        <w:pStyle w:val="ListParagraph"/>
        <w:rPr>
          <w:rFonts w:ascii="Verdana" w:eastAsia="Calibri" w:hAnsi="Verdana"/>
          <w:sz w:val="20"/>
          <w:szCs w:val="20"/>
          <w:lang w:eastAsia="en-US"/>
        </w:rPr>
      </w:pPr>
    </w:p>
    <w:p w14:paraId="7B98B2FC" w14:textId="10DD390B" w:rsidR="00141CBA" w:rsidRPr="00A46EF9" w:rsidRDefault="00217FBF" w:rsidP="00217FBF">
      <w:pPr>
        <w:pStyle w:val="ListParagraph"/>
        <w:numPr>
          <w:ilvl w:val="0"/>
          <w:numId w:val="15"/>
        </w:numPr>
        <w:rPr>
          <w:rFonts w:ascii="Verdana" w:eastAsia="Calibri" w:hAnsi="Verdana"/>
          <w:sz w:val="20"/>
          <w:szCs w:val="20"/>
          <w:lang w:eastAsia="en-US"/>
        </w:rPr>
      </w:pPr>
      <w:r w:rsidRPr="00A46EF9">
        <w:rPr>
          <w:rFonts w:ascii="Verdana" w:eastAsia="Calibri" w:hAnsi="Verdana"/>
          <w:sz w:val="20"/>
          <w:szCs w:val="20"/>
          <w:lang w:eastAsia="en-US"/>
        </w:rPr>
        <w:t>Prohibiting the selection of routing option by the Issuer</w:t>
      </w:r>
      <w:r w:rsidR="00A007DC" w:rsidRPr="00A46EF9">
        <w:rPr>
          <w:rFonts w:ascii="Verdana" w:eastAsia="Calibri" w:hAnsi="Verdana"/>
          <w:sz w:val="20"/>
          <w:szCs w:val="20"/>
          <w:lang w:eastAsia="en-US"/>
        </w:rPr>
        <w:t xml:space="preserve"> also</w:t>
      </w:r>
      <w:r w:rsidRPr="00A46EF9">
        <w:rPr>
          <w:rFonts w:ascii="Verdana" w:eastAsia="Calibri" w:hAnsi="Verdana"/>
          <w:sz w:val="20"/>
          <w:szCs w:val="20"/>
          <w:lang w:eastAsia="en-US"/>
        </w:rPr>
        <w:t xml:space="preserve"> implies that </w:t>
      </w:r>
      <w:r w:rsidR="00A007DC" w:rsidRPr="00A46EF9">
        <w:rPr>
          <w:rFonts w:ascii="Verdana" w:eastAsia="Calibri" w:hAnsi="Verdana"/>
          <w:sz w:val="20"/>
          <w:szCs w:val="20"/>
          <w:lang w:eastAsia="en-US"/>
        </w:rPr>
        <w:t>all</w:t>
      </w:r>
      <w:r w:rsidRPr="00A46EF9">
        <w:rPr>
          <w:rFonts w:ascii="Verdana" w:eastAsia="Calibri" w:hAnsi="Verdana"/>
          <w:sz w:val="20"/>
          <w:szCs w:val="20"/>
          <w:lang w:eastAsia="en-US"/>
        </w:rPr>
        <w:t xml:space="preserve"> payment networks are comparable for Issuers</w:t>
      </w:r>
      <w:r w:rsidR="00F825E5">
        <w:rPr>
          <w:rFonts w:ascii="Verdana" w:eastAsia="Calibri" w:hAnsi="Verdana"/>
          <w:sz w:val="20"/>
          <w:szCs w:val="20"/>
          <w:lang w:eastAsia="en-US"/>
        </w:rPr>
        <w:t xml:space="preserve"> – today there is a difference in capability between schemes</w:t>
      </w:r>
      <w:r w:rsidR="00F62CAA">
        <w:rPr>
          <w:rFonts w:ascii="Verdana" w:eastAsia="Calibri" w:hAnsi="Verdana"/>
          <w:sz w:val="20"/>
          <w:szCs w:val="20"/>
          <w:lang w:eastAsia="en-US"/>
        </w:rPr>
        <w:t xml:space="preserve"> </w:t>
      </w:r>
      <w:r w:rsidRPr="00A46EF9">
        <w:rPr>
          <w:rFonts w:ascii="Verdana" w:eastAsia="Calibri" w:hAnsi="Verdana"/>
          <w:sz w:val="20"/>
          <w:szCs w:val="20"/>
          <w:lang w:eastAsia="en-US"/>
        </w:rPr>
        <w:t xml:space="preserve">This assumption of </w:t>
      </w:r>
      <w:r w:rsidR="005D0AD0">
        <w:rPr>
          <w:rFonts w:ascii="Verdana" w:eastAsia="Calibri" w:hAnsi="Verdana"/>
          <w:sz w:val="20"/>
          <w:szCs w:val="20"/>
          <w:lang w:eastAsia="en-US"/>
        </w:rPr>
        <w:t xml:space="preserve">scheme </w:t>
      </w:r>
      <w:r w:rsidRPr="00A46EF9">
        <w:rPr>
          <w:rFonts w:ascii="Verdana" w:eastAsia="Calibri" w:hAnsi="Verdana"/>
          <w:sz w:val="20"/>
          <w:szCs w:val="20"/>
          <w:lang w:eastAsia="en-US"/>
        </w:rPr>
        <w:t>parity needs further consideration</w:t>
      </w:r>
      <w:r w:rsidR="00F825E5">
        <w:rPr>
          <w:rFonts w:ascii="Verdana" w:eastAsia="Calibri" w:hAnsi="Verdana"/>
          <w:sz w:val="20"/>
          <w:szCs w:val="20"/>
          <w:lang w:eastAsia="en-US"/>
        </w:rPr>
        <w:t>, particularly around</w:t>
      </w:r>
      <w:r w:rsidRPr="00A46EF9">
        <w:rPr>
          <w:rFonts w:ascii="Verdana" w:eastAsia="Calibri" w:hAnsi="Verdana"/>
          <w:sz w:val="20"/>
          <w:szCs w:val="20"/>
          <w:lang w:eastAsia="en-US"/>
        </w:rPr>
        <w:t xml:space="preserve">: </w:t>
      </w:r>
    </w:p>
    <w:p w14:paraId="39176CCB" w14:textId="6A94AE32" w:rsidR="00141CBA" w:rsidRPr="00A46EF9" w:rsidRDefault="007E4F30" w:rsidP="00141CBA">
      <w:pPr>
        <w:pStyle w:val="CommentText"/>
        <w:numPr>
          <w:ilvl w:val="1"/>
          <w:numId w:val="15"/>
        </w:numPr>
        <w:rPr>
          <w:rFonts w:ascii="Verdana" w:eastAsia="Calibri" w:hAnsi="Verdana"/>
          <w:lang w:eastAsia="en-US"/>
        </w:rPr>
      </w:pPr>
      <w:r w:rsidRPr="00A46EF9">
        <w:rPr>
          <w:rFonts w:ascii="Verdana" w:eastAsia="Calibri" w:hAnsi="Verdana"/>
          <w:lang w:eastAsia="en-US"/>
        </w:rPr>
        <w:t>F</w:t>
      </w:r>
      <w:r w:rsidR="00141CBA" w:rsidRPr="00A46EF9">
        <w:rPr>
          <w:rFonts w:ascii="Verdana" w:eastAsia="Calibri" w:hAnsi="Verdana"/>
          <w:lang w:eastAsia="en-US"/>
        </w:rPr>
        <w:t>raud and scams protection capabilities for customers</w:t>
      </w:r>
    </w:p>
    <w:p w14:paraId="52B56C14" w14:textId="64D58E30" w:rsidR="00141CBA" w:rsidRPr="00A46EF9" w:rsidRDefault="0046393A" w:rsidP="00141CBA">
      <w:pPr>
        <w:pStyle w:val="CommentText"/>
        <w:numPr>
          <w:ilvl w:val="1"/>
          <w:numId w:val="15"/>
        </w:numPr>
        <w:rPr>
          <w:rFonts w:ascii="Verdana" w:eastAsia="Calibri" w:hAnsi="Verdana"/>
          <w:lang w:eastAsia="en-US"/>
        </w:rPr>
      </w:pPr>
      <w:r w:rsidRPr="00A46EF9">
        <w:rPr>
          <w:rFonts w:ascii="Verdana" w:eastAsia="Calibri" w:hAnsi="Verdana"/>
          <w:lang w:eastAsia="en-US"/>
        </w:rPr>
        <w:t>C</w:t>
      </w:r>
      <w:r w:rsidR="00141CBA" w:rsidRPr="00A46EF9">
        <w:rPr>
          <w:rFonts w:ascii="Verdana" w:eastAsia="Calibri" w:hAnsi="Verdana"/>
          <w:lang w:eastAsia="en-US"/>
        </w:rPr>
        <w:t>hargeback capability</w:t>
      </w:r>
      <w:r w:rsidR="00A12579">
        <w:rPr>
          <w:rFonts w:ascii="Verdana" w:eastAsia="Calibri" w:hAnsi="Verdana"/>
          <w:lang w:eastAsia="en-US"/>
        </w:rPr>
        <w:t>,</w:t>
      </w:r>
      <w:r w:rsidR="00141CBA" w:rsidRPr="00A46EF9">
        <w:rPr>
          <w:rFonts w:ascii="Verdana" w:eastAsia="Calibri" w:hAnsi="Verdana"/>
          <w:lang w:eastAsia="en-US"/>
        </w:rPr>
        <w:t xml:space="preserve"> </w:t>
      </w:r>
      <w:proofErr w:type="gramStart"/>
      <w:r w:rsidR="00141CBA" w:rsidRPr="00A46EF9">
        <w:rPr>
          <w:rFonts w:ascii="Verdana" w:eastAsia="Calibri" w:hAnsi="Verdana"/>
          <w:lang w:eastAsia="en-US"/>
        </w:rPr>
        <w:t>process</w:t>
      </w:r>
      <w:proofErr w:type="gramEnd"/>
      <w:r w:rsidR="00217FBF" w:rsidRPr="00A46EF9">
        <w:rPr>
          <w:rFonts w:ascii="Verdana" w:eastAsia="Calibri" w:hAnsi="Verdana"/>
          <w:lang w:eastAsia="en-US"/>
        </w:rPr>
        <w:t xml:space="preserve"> and</w:t>
      </w:r>
      <w:r w:rsidR="00141CBA" w:rsidRPr="00A46EF9">
        <w:rPr>
          <w:rFonts w:ascii="Verdana" w:eastAsia="Calibri" w:hAnsi="Verdana"/>
          <w:lang w:eastAsia="en-US"/>
        </w:rPr>
        <w:t xml:space="preserve"> data insights</w:t>
      </w:r>
    </w:p>
    <w:p w14:paraId="6ECC43E9" w14:textId="4D57C92B" w:rsidR="00141CBA" w:rsidRPr="00A46EF9" w:rsidRDefault="00141CBA" w:rsidP="00301E7B">
      <w:pPr>
        <w:pStyle w:val="CommentText"/>
        <w:numPr>
          <w:ilvl w:val="1"/>
          <w:numId w:val="15"/>
        </w:numPr>
        <w:rPr>
          <w:rFonts w:ascii="Verdana" w:eastAsia="Calibri" w:hAnsi="Verdana"/>
          <w:lang w:eastAsia="en-US"/>
        </w:rPr>
      </w:pPr>
      <w:r w:rsidRPr="00A46EF9">
        <w:rPr>
          <w:rFonts w:ascii="Verdana" w:eastAsia="Calibri" w:hAnsi="Verdana"/>
          <w:lang w:eastAsia="en-US"/>
        </w:rPr>
        <w:t xml:space="preserve">Investment </w:t>
      </w:r>
      <w:r w:rsidR="0046393A" w:rsidRPr="00A46EF9">
        <w:rPr>
          <w:rFonts w:ascii="Verdana" w:eastAsia="Calibri" w:hAnsi="Verdana"/>
          <w:lang w:eastAsia="en-US"/>
        </w:rPr>
        <w:t>in</w:t>
      </w:r>
      <w:r w:rsidR="00A12579">
        <w:rPr>
          <w:rFonts w:ascii="Verdana" w:eastAsia="Calibri" w:hAnsi="Verdana"/>
          <w:lang w:eastAsia="en-US"/>
        </w:rPr>
        <w:t xml:space="preserve"> scheme</w:t>
      </w:r>
      <w:r w:rsidR="0046393A" w:rsidRPr="00A46EF9">
        <w:rPr>
          <w:rFonts w:ascii="Verdana" w:eastAsia="Calibri" w:hAnsi="Verdana"/>
          <w:lang w:eastAsia="en-US"/>
        </w:rPr>
        <w:t xml:space="preserve"> innovation</w:t>
      </w:r>
      <w:r w:rsidR="00A12579">
        <w:rPr>
          <w:rFonts w:ascii="Verdana" w:eastAsia="Calibri" w:hAnsi="Verdana"/>
          <w:lang w:eastAsia="en-US"/>
        </w:rPr>
        <w:t xml:space="preserve"> </w:t>
      </w:r>
    </w:p>
    <w:p w14:paraId="208A1337" w14:textId="553BDA59" w:rsidR="009A37C5" w:rsidRPr="00A46EF9" w:rsidRDefault="009A37C5" w:rsidP="00141CBA">
      <w:pPr>
        <w:pStyle w:val="ListParagraph"/>
        <w:rPr>
          <w:rFonts w:ascii="Verdana" w:eastAsia="Calibri" w:hAnsi="Verdana"/>
          <w:sz w:val="20"/>
          <w:szCs w:val="20"/>
          <w:lang w:eastAsia="en-US"/>
        </w:rPr>
      </w:pPr>
    </w:p>
    <w:p w14:paraId="743458BA" w14:textId="08CF245B" w:rsidR="00E6542D" w:rsidRPr="00A46EF9" w:rsidRDefault="00E6542D" w:rsidP="007E4F30">
      <w:pPr>
        <w:rPr>
          <w:rFonts w:ascii="Verdana" w:eastAsia="Calibri" w:hAnsi="Verdana"/>
          <w:sz w:val="20"/>
          <w:szCs w:val="20"/>
          <w:lang w:eastAsia="en-US"/>
        </w:rPr>
      </w:pPr>
    </w:p>
    <w:p w14:paraId="7D029DBD" w14:textId="1D72A335" w:rsidR="00217FBF" w:rsidRPr="00A46EF9" w:rsidRDefault="00217FBF" w:rsidP="00217FBF">
      <w:pPr>
        <w:pStyle w:val="ListParagraph"/>
        <w:numPr>
          <w:ilvl w:val="0"/>
          <w:numId w:val="15"/>
        </w:numPr>
        <w:rPr>
          <w:rFonts w:ascii="Verdana" w:eastAsia="Calibri" w:hAnsi="Verdana"/>
          <w:sz w:val="20"/>
          <w:szCs w:val="20"/>
          <w:lang w:eastAsia="en-US"/>
        </w:rPr>
      </w:pPr>
      <w:r w:rsidRPr="00A46EF9">
        <w:rPr>
          <w:rFonts w:ascii="Verdana" w:eastAsia="Calibri" w:hAnsi="Verdana"/>
          <w:sz w:val="20"/>
          <w:szCs w:val="20"/>
          <w:lang w:eastAsia="en-US"/>
        </w:rPr>
        <w:t xml:space="preserve">High adoption and promotion of LCR would be a better course of action to address the </w:t>
      </w:r>
      <w:r w:rsidR="00634C21">
        <w:rPr>
          <w:rFonts w:ascii="Verdana" w:eastAsia="Calibri" w:hAnsi="Verdana"/>
          <w:sz w:val="20"/>
          <w:szCs w:val="20"/>
          <w:lang w:eastAsia="en-US"/>
        </w:rPr>
        <w:t>RBA</w:t>
      </w:r>
      <w:r w:rsidR="00634C21" w:rsidRPr="00A46EF9">
        <w:rPr>
          <w:rFonts w:ascii="Verdana" w:eastAsia="Calibri" w:hAnsi="Verdana"/>
          <w:sz w:val="20"/>
          <w:szCs w:val="20"/>
          <w:lang w:eastAsia="en-US"/>
        </w:rPr>
        <w:t xml:space="preserve">’s </w:t>
      </w:r>
      <w:r w:rsidRPr="00A46EF9">
        <w:rPr>
          <w:rFonts w:ascii="Verdana" w:eastAsia="Calibri" w:hAnsi="Verdana"/>
          <w:sz w:val="20"/>
          <w:szCs w:val="20"/>
          <w:lang w:eastAsia="en-US"/>
        </w:rPr>
        <w:t xml:space="preserve">concerns around default settings, as the </w:t>
      </w:r>
      <w:r w:rsidR="00FE58E1">
        <w:rPr>
          <w:rFonts w:ascii="Verdana" w:eastAsia="Calibri" w:hAnsi="Verdana"/>
          <w:sz w:val="20"/>
          <w:szCs w:val="20"/>
          <w:lang w:eastAsia="en-US"/>
        </w:rPr>
        <w:t>m</w:t>
      </w:r>
      <w:r w:rsidRPr="00A46EF9">
        <w:rPr>
          <w:rFonts w:ascii="Verdana" w:eastAsia="Calibri" w:hAnsi="Verdana"/>
          <w:sz w:val="20"/>
          <w:szCs w:val="20"/>
          <w:lang w:eastAsia="en-US"/>
        </w:rPr>
        <w:t xml:space="preserve">erchant’s routing choice will override any default set by the Issuer.  </w:t>
      </w:r>
      <w:r w:rsidR="00392982" w:rsidRPr="00392982">
        <w:rPr>
          <w:rFonts w:ascii="Verdana" w:eastAsia="Calibri" w:hAnsi="Verdana"/>
          <w:sz w:val="20"/>
          <w:szCs w:val="20"/>
          <w:lang w:eastAsia="en-US"/>
        </w:rPr>
        <w:t xml:space="preserve">As an alternative to prohibiting default routing, focus should be placed on </w:t>
      </w:r>
      <w:r w:rsidR="00392982">
        <w:rPr>
          <w:rFonts w:ascii="Verdana" w:eastAsia="Calibri" w:hAnsi="Verdana"/>
          <w:sz w:val="20"/>
          <w:szCs w:val="20"/>
          <w:lang w:eastAsia="en-US"/>
        </w:rPr>
        <w:t xml:space="preserve">identifying and </w:t>
      </w:r>
      <w:r w:rsidR="00392982" w:rsidRPr="00392982">
        <w:rPr>
          <w:rFonts w:ascii="Verdana" w:eastAsia="Calibri" w:hAnsi="Verdana"/>
          <w:sz w:val="20"/>
          <w:szCs w:val="20"/>
          <w:lang w:eastAsia="en-US"/>
        </w:rPr>
        <w:t>removing barriers to adoption of LCR</w:t>
      </w:r>
      <w:r w:rsidR="003A65A3">
        <w:rPr>
          <w:rFonts w:ascii="Verdana" w:eastAsia="Calibri" w:hAnsi="Verdana"/>
          <w:sz w:val="20"/>
          <w:szCs w:val="20"/>
          <w:lang w:eastAsia="en-US"/>
        </w:rPr>
        <w:t>.</w:t>
      </w:r>
    </w:p>
    <w:p w14:paraId="1EBEF392" w14:textId="77777777" w:rsidR="00217FBF" w:rsidRPr="00A46EF9" w:rsidRDefault="00217FBF" w:rsidP="007E4F30">
      <w:pPr>
        <w:pStyle w:val="ListParagraph"/>
        <w:rPr>
          <w:rFonts w:ascii="Verdana" w:eastAsia="Calibri" w:hAnsi="Verdana"/>
          <w:sz w:val="20"/>
          <w:szCs w:val="20"/>
          <w:lang w:eastAsia="en-US"/>
        </w:rPr>
      </w:pPr>
    </w:p>
    <w:p w14:paraId="1E5B7E8B" w14:textId="77777777" w:rsidR="00252B7E" w:rsidRPr="00252B7E" w:rsidRDefault="00252B7E" w:rsidP="00252B7E">
      <w:pPr>
        <w:pStyle w:val="ListParagraph"/>
        <w:rPr>
          <w:rFonts w:ascii="Verdana" w:eastAsia="Calibri" w:hAnsi="Verdana"/>
          <w:sz w:val="20"/>
          <w:szCs w:val="20"/>
          <w:lang w:eastAsia="en-US"/>
        </w:rPr>
      </w:pPr>
    </w:p>
    <w:p w14:paraId="44E19D47" w14:textId="74296645" w:rsidR="00252B7E" w:rsidRPr="00252B7E" w:rsidRDefault="00252B7E" w:rsidP="00252B7E">
      <w:pPr>
        <w:pStyle w:val="ListParagraph"/>
        <w:ind w:left="0"/>
        <w:rPr>
          <w:rFonts w:ascii="Verdana" w:eastAsia="Calibri" w:hAnsi="Verdana"/>
          <w:b/>
          <w:bCs/>
          <w:sz w:val="20"/>
          <w:szCs w:val="20"/>
          <w:lang w:eastAsia="en-US"/>
        </w:rPr>
      </w:pPr>
      <w:r w:rsidRPr="00252B7E">
        <w:rPr>
          <w:rFonts w:ascii="Verdana" w:eastAsia="Calibri" w:hAnsi="Verdana"/>
          <w:b/>
          <w:bCs/>
          <w:sz w:val="20"/>
          <w:szCs w:val="20"/>
          <w:lang w:eastAsia="en-US"/>
        </w:rPr>
        <w:t>Tokenisation of DNDC</w:t>
      </w:r>
    </w:p>
    <w:p w14:paraId="07F0772D" w14:textId="66A7B09A" w:rsidR="00C76BBA" w:rsidRDefault="00C76BBA" w:rsidP="005D1FD7">
      <w:pPr>
        <w:rPr>
          <w:rFonts w:ascii="Verdana" w:eastAsia="Calibri" w:hAnsi="Verdana"/>
          <w:sz w:val="20"/>
          <w:szCs w:val="20"/>
          <w:lang w:eastAsia="en-US"/>
        </w:rPr>
      </w:pPr>
    </w:p>
    <w:p w14:paraId="78F1F3CE" w14:textId="319ACB77" w:rsidR="005D1FD7" w:rsidRPr="005D1FD7" w:rsidRDefault="003C5019" w:rsidP="008E5EAC">
      <w:pPr>
        <w:pStyle w:val="ListParagraph"/>
        <w:numPr>
          <w:ilvl w:val="0"/>
          <w:numId w:val="15"/>
        </w:numPr>
        <w:rPr>
          <w:rFonts w:ascii="Verdana" w:eastAsia="Calibri" w:hAnsi="Verdana"/>
          <w:sz w:val="20"/>
          <w:szCs w:val="20"/>
          <w:lang w:eastAsia="en-US"/>
        </w:rPr>
      </w:pPr>
      <w:r>
        <w:rPr>
          <w:rFonts w:ascii="Verdana" w:eastAsia="Calibri" w:hAnsi="Verdana"/>
          <w:sz w:val="20"/>
          <w:szCs w:val="20"/>
          <w:lang w:eastAsia="en-US"/>
        </w:rPr>
        <w:t>As a</w:t>
      </w:r>
      <w:r w:rsidR="00634C21">
        <w:rPr>
          <w:rFonts w:ascii="Verdana" w:eastAsia="Calibri" w:hAnsi="Verdana"/>
          <w:sz w:val="20"/>
          <w:szCs w:val="20"/>
          <w:lang w:eastAsia="en-US"/>
        </w:rPr>
        <w:t>n</w:t>
      </w:r>
      <w:r>
        <w:rPr>
          <w:rFonts w:ascii="Verdana" w:eastAsia="Calibri" w:hAnsi="Verdana"/>
          <w:sz w:val="20"/>
          <w:szCs w:val="20"/>
          <w:lang w:eastAsia="en-US"/>
        </w:rPr>
        <w:t xml:space="preserve"> </w:t>
      </w:r>
      <w:r w:rsidR="00634C21">
        <w:rPr>
          <w:rFonts w:ascii="Verdana" w:eastAsia="Calibri" w:hAnsi="Verdana"/>
          <w:sz w:val="20"/>
          <w:szCs w:val="20"/>
          <w:lang w:eastAsia="en-US"/>
        </w:rPr>
        <w:t>I</w:t>
      </w:r>
      <w:r>
        <w:rPr>
          <w:rFonts w:ascii="Verdana" w:eastAsia="Calibri" w:hAnsi="Verdana"/>
          <w:sz w:val="20"/>
          <w:szCs w:val="20"/>
          <w:lang w:eastAsia="en-US"/>
        </w:rPr>
        <w:t xml:space="preserve">ssuer, </w:t>
      </w:r>
      <w:r w:rsidR="00CD3E65">
        <w:rPr>
          <w:rFonts w:ascii="Verdana" w:eastAsia="Calibri" w:hAnsi="Verdana"/>
          <w:sz w:val="20"/>
          <w:szCs w:val="20"/>
          <w:lang w:eastAsia="en-US"/>
        </w:rPr>
        <w:t xml:space="preserve">ANZ </w:t>
      </w:r>
      <w:r>
        <w:rPr>
          <w:rFonts w:ascii="Verdana" w:eastAsia="Calibri" w:hAnsi="Verdana"/>
          <w:sz w:val="20"/>
          <w:szCs w:val="20"/>
          <w:lang w:eastAsia="en-US"/>
        </w:rPr>
        <w:t xml:space="preserve">prioritises the resolution of </w:t>
      </w:r>
      <w:r w:rsidR="003A65A3">
        <w:rPr>
          <w:rFonts w:ascii="Verdana" w:eastAsia="Calibri" w:hAnsi="Verdana"/>
          <w:sz w:val="20"/>
          <w:szCs w:val="20"/>
          <w:lang w:eastAsia="en-US"/>
        </w:rPr>
        <w:t>s</w:t>
      </w:r>
      <w:r w:rsidR="003A65A3" w:rsidRPr="005D1FD7">
        <w:rPr>
          <w:rFonts w:ascii="Verdana" w:eastAsia="Calibri" w:hAnsi="Verdana"/>
          <w:sz w:val="20"/>
          <w:szCs w:val="20"/>
          <w:lang w:eastAsia="en-US"/>
        </w:rPr>
        <w:t xml:space="preserve">ynchronisation </w:t>
      </w:r>
      <w:r w:rsidR="00CD3E65">
        <w:rPr>
          <w:rFonts w:ascii="Verdana" w:eastAsia="Calibri" w:hAnsi="Verdana"/>
          <w:sz w:val="20"/>
          <w:szCs w:val="20"/>
          <w:lang w:eastAsia="en-US"/>
        </w:rPr>
        <w:t>as a priority follow</w:t>
      </w:r>
      <w:r w:rsidR="005D1FD7" w:rsidRPr="005D1FD7">
        <w:rPr>
          <w:rFonts w:ascii="Verdana" w:eastAsia="Calibri" w:hAnsi="Verdana"/>
          <w:sz w:val="20"/>
          <w:szCs w:val="20"/>
          <w:lang w:eastAsia="en-US"/>
        </w:rPr>
        <w:t xml:space="preserve">ed by </w:t>
      </w:r>
      <w:r w:rsidR="003A65A3">
        <w:rPr>
          <w:rFonts w:ascii="Verdana" w:eastAsia="Calibri" w:hAnsi="Verdana"/>
          <w:sz w:val="20"/>
          <w:szCs w:val="20"/>
          <w:lang w:eastAsia="en-US"/>
        </w:rPr>
        <w:t>v</w:t>
      </w:r>
      <w:r w:rsidR="003A65A3" w:rsidRPr="005D1FD7">
        <w:rPr>
          <w:rFonts w:ascii="Verdana" w:eastAsia="Calibri" w:hAnsi="Verdana"/>
          <w:sz w:val="20"/>
          <w:szCs w:val="20"/>
          <w:lang w:eastAsia="en-US"/>
        </w:rPr>
        <w:t>isibility</w:t>
      </w:r>
      <w:r>
        <w:rPr>
          <w:rFonts w:ascii="Verdana" w:eastAsia="Calibri" w:hAnsi="Verdana"/>
          <w:sz w:val="20"/>
          <w:szCs w:val="20"/>
          <w:lang w:eastAsia="en-US"/>
        </w:rPr>
        <w:t>, noting that</w:t>
      </w:r>
      <w:r w:rsidR="005D1FD7">
        <w:rPr>
          <w:rFonts w:ascii="Verdana" w:eastAsia="Calibri" w:hAnsi="Verdana"/>
          <w:sz w:val="20"/>
          <w:szCs w:val="20"/>
          <w:lang w:eastAsia="en-US"/>
        </w:rPr>
        <w:t xml:space="preserve"> </w:t>
      </w:r>
      <w:r w:rsidR="003A65A3">
        <w:rPr>
          <w:rFonts w:ascii="Verdana" w:eastAsia="Calibri" w:hAnsi="Verdana"/>
          <w:sz w:val="20"/>
          <w:szCs w:val="20"/>
          <w:lang w:eastAsia="en-US"/>
        </w:rPr>
        <w:t xml:space="preserve">porting </w:t>
      </w:r>
      <w:r>
        <w:rPr>
          <w:rFonts w:ascii="Verdana" w:eastAsia="Calibri" w:hAnsi="Verdana"/>
          <w:sz w:val="20"/>
          <w:szCs w:val="20"/>
          <w:lang w:eastAsia="en-US"/>
        </w:rPr>
        <w:t xml:space="preserve">needs to be solved by </w:t>
      </w:r>
      <w:r w:rsidR="003A65A3">
        <w:rPr>
          <w:rFonts w:ascii="Verdana" w:eastAsia="Calibri" w:hAnsi="Verdana"/>
          <w:sz w:val="20"/>
          <w:szCs w:val="20"/>
          <w:lang w:eastAsia="en-US"/>
        </w:rPr>
        <w:t>merchant acquirers (‘</w:t>
      </w:r>
      <w:r>
        <w:rPr>
          <w:rFonts w:ascii="Verdana" w:eastAsia="Calibri" w:hAnsi="Verdana"/>
          <w:sz w:val="20"/>
          <w:szCs w:val="20"/>
          <w:lang w:eastAsia="en-US"/>
        </w:rPr>
        <w:t>Acquirers</w:t>
      </w:r>
      <w:r w:rsidR="003A65A3">
        <w:rPr>
          <w:rFonts w:ascii="Verdana" w:eastAsia="Calibri" w:hAnsi="Verdana"/>
          <w:sz w:val="20"/>
          <w:szCs w:val="20"/>
          <w:lang w:eastAsia="en-US"/>
        </w:rPr>
        <w:t>’).</w:t>
      </w:r>
    </w:p>
    <w:p w14:paraId="700F5B06" w14:textId="1823F6E2" w:rsidR="005D1FD7" w:rsidRDefault="005D1FD7" w:rsidP="005D1FD7">
      <w:pPr>
        <w:pStyle w:val="ListParagraph"/>
        <w:rPr>
          <w:rFonts w:ascii="Verdana" w:eastAsia="Calibri" w:hAnsi="Verdana"/>
          <w:sz w:val="20"/>
          <w:szCs w:val="20"/>
          <w:lang w:eastAsia="en-US"/>
        </w:rPr>
      </w:pPr>
    </w:p>
    <w:p w14:paraId="364CBF30" w14:textId="3166C7EC" w:rsidR="00147218" w:rsidRDefault="003C5019" w:rsidP="00301E7B">
      <w:pPr>
        <w:pStyle w:val="ListParagraph"/>
        <w:numPr>
          <w:ilvl w:val="0"/>
          <w:numId w:val="15"/>
        </w:numPr>
        <w:rPr>
          <w:rFonts w:ascii="Verdana" w:eastAsia="Calibri" w:hAnsi="Verdana"/>
          <w:sz w:val="20"/>
          <w:szCs w:val="20"/>
          <w:lang w:eastAsia="en-US"/>
        </w:rPr>
      </w:pPr>
      <w:r>
        <w:rPr>
          <w:rFonts w:ascii="Verdana" w:eastAsia="Calibri" w:hAnsi="Verdana"/>
          <w:sz w:val="20"/>
          <w:szCs w:val="20"/>
          <w:lang w:eastAsia="en-US"/>
        </w:rPr>
        <w:t>ANZ encourages the establishment of an industry framework to govern how merchant tokens are offered and managed over lifecycle management events</w:t>
      </w:r>
      <w:r w:rsidR="00147218">
        <w:rPr>
          <w:rFonts w:ascii="Verdana" w:eastAsia="Calibri" w:hAnsi="Verdana"/>
          <w:sz w:val="20"/>
          <w:szCs w:val="20"/>
          <w:lang w:eastAsia="en-US"/>
        </w:rPr>
        <w:t xml:space="preserve"> (for example, lost/stolen, re-issue</w:t>
      </w:r>
      <w:r w:rsidR="00147218" w:rsidRPr="002B2915">
        <w:rPr>
          <w:rFonts w:ascii="Verdana" w:eastAsia="Calibri" w:hAnsi="Verdana"/>
          <w:sz w:val="20"/>
          <w:szCs w:val="20"/>
          <w:lang w:eastAsia="en-US"/>
        </w:rPr>
        <w:t>,</w:t>
      </w:r>
      <w:r w:rsidR="00147218">
        <w:rPr>
          <w:rFonts w:ascii="Verdana" w:eastAsia="Calibri" w:hAnsi="Verdana"/>
          <w:sz w:val="20"/>
          <w:szCs w:val="20"/>
          <w:lang w:eastAsia="en-US"/>
        </w:rPr>
        <w:t xml:space="preserve"> close), to ensure consistency for both Issuers, </w:t>
      </w:r>
      <w:proofErr w:type="gramStart"/>
      <w:r w:rsidR="00147218">
        <w:rPr>
          <w:rFonts w:ascii="Verdana" w:eastAsia="Calibri" w:hAnsi="Verdana"/>
          <w:sz w:val="20"/>
          <w:szCs w:val="20"/>
          <w:lang w:eastAsia="en-US"/>
        </w:rPr>
        <w:t>Acquirers</w:t>
      </w:r>
      <w:proofErr w:type="gramEnd"/>
      <w:r w:rsidR="00147218">
        <w:rPr>
          <w:rFonts w:ascii="Verdana" w:eastAsia="Calibri" w:hAnsi="Verdana"/>
          <w:sz w:val="20"/>
          <w:szCs w:val="20"/>
          <w:lang w:eastAsia="en-US"/>
        </w:rPr>
        <w:t xml:space="preserve"> and </w:t>
      </w:r>
      <w:r w:rsidR="003A65A3">
        <w:rPr>
          <w:rFonts w:ascii="Verdana" w:eastAsia="Calibri" w:hAnsi="Verdana"/>
          <w:sz w:val="20"/>
          <w:szCs w:val="20"/>
          <w:lang w:eastAsia="en-US"/>
        </w:rPr>
        <w:t>schemes.</w:t>
      </w:r>
    </w:p>
    <w:p w14:paraId="394F588C" w14:textId="77777777" w:rsidR="00147218" w:rsidRPr="007E4F30" w:rsidRDefault="00147218" w:rsidP="007E4F30">
      <w:pPr>
        <w:pStyle w:val="ListParagraph"/>
        <w:rPr>
          <w:rFonts w:ascii="Verdana" w:eastAsia="Calibri" w:hAnsi="Verdana"/>
          <w:sz w:val="20"/>
          <w:szCs w:val="20"/>
          <w:lang w:eastAsia="en-US"/>
        </w:rPr>
      </w:pPr>
    </w:p>
    <w:p w14:paraId="5114D231" w14:textId="77777777" w:rsidR="003A65A3" w:rsidRDefault="003A65A3" w:rsidP="00B74E6D">
      <w:pPr>
        <w:pStyle w:val="ListParagraph"/>
        <w:rPr>
          <w:rFonts w:ascii="Verdana" w:eastAsia="Calibri" w:hAnsi="Verdana"/>
          <w:sz w:val="20"/>
          <w:szCs w:val="20"/>
          <w:lang w:eastAsia="en-US"/>
        </w:rPr>
      </w:pPr>
    </w:p>
    <w:p w14:paraId="26D089BA" w14:textId="77777777" w:rsidR="003A65A3" w:rsidRPr="00B74E6D" w:rsidRDefault="003A65A3" w:rsidP="00B74E6D">
      <w:pPr>
        <w:pStyle w:val="ListParagraph"/>
        <w:rPr>
          <w:rFonts w:ascii="Verdana" w:eastAsia="Calibri" w:hAnsi="Verdana"/>
          <w:sz w:val="20"/>
          <w:szCs w:val="20"/>
          <w:lang w:eastAsia="en-US"/>
        </w:rPr>
      </w:pPr>
    </w:p>
    <w:p w14:paraId="61C521D1" w14:textId="57C8E562" w:rsidR="003C5019" w:rsidRDefault="003C5019" w:rsidP="00301E7B">
      <w:pPr>
        <w:pStyle w:val="ListParagraph"/>
        <w:numPr>
          <w:ilvl w:val="0"/>
          <w:numId w:val="15"/>
        </w:numPr>
        <w:rPr>
          <w:rFonts w:ascii="Verdana" w:eastAsia="Calibri" w:hAnsi="Verdana"/>
          <w:sz w:val="20"/>
          <w:szCs w:val="20"/>
          <w:lang w:eastAsia="en-US"/>
        </w:rPr>
      </w:pPr>
      <w:r>
        <w:rPr>
          <w:rFonts w:ascii="Verdana" w:eastAsia="Calibri" w:hAnsi="Verdana"/>
          <w:sz w:val="20"/>
          <w:szCs w:val="20"/>
          <w:lang w:eastAsia="en-US"/>
        </w:rPr>
        <w:t xml:space="preserve">All token participants (requestors and </w:t>
      </w:r>
      <w:r w:rsidR="00634C21">
        <w:rPr>
          <w:rFonts w:ascii="Verdana" w:eastAsia="Calibri" w:hAnsi="Verdana"/>
          <w:sz w:val="20"/>
          <w:szCs w:val="20"/>
          <w:lang w:eastAsia="en-US"/>
        </w:rPr>
        <w:t>I</w:t>
      </w:r>
      <w:r>
        <w:rPr>
          <w:rFonts w:ascii="Verdana" w:eastAsia="Calibri" w:hAnsi="Verdana"/>
          <w:sz w:val="20"/>
          <w:szCs w:val="20"/>
          <w:lang w:eastAsia="en-US"/>
        </w:rPr>
        <w:t>ssuers) should adhere to standards for the creation, management and ultimately deletion of token, and features to manage cards on file should be consistent across schemes. The approach of Issuers should be consistent, to ensure confidence across the network</w:t>
      </w:r>
      <w:r w:rsidR="00147218">
        <w:rPr>
          <w:rFonts w:ascii="Verdana" w:eastAsia="Calibri" w:hAnsi="Verdana"/>
          <w:sz w:val="20"/>
          <w:szCs w:val="20"/>
          <w:lang w:eastAsia="en-US"/>
        </w:rPr>
        <w:t>, with regards to:</w:t>
      </w:r>
    </w:p>
    <w:p w14:paraId="2EA826E0" w14:textId="77777777" w:rsidR="003C5019" w:rsidRPr="007E4F30" w:rsidRDefault="003C5019" w:rsidP="007E4F30">
      <w:pPr>
        <w:pStyle w:val="ListParagraph"/>
        <w:rPr>
          <w:rFonts w:ascii="Verdana" w:eastAsia="Calibri" w:hAnsi="Verdana"/>
          <w:sz w:val="20"/>
          <w:szCs w:val="20"/>
          <w:lang w:eastAsia="en-US"/>
        </w:rPr>
      </w:pPr>
    </w:p>
    <w:p w14:paraId="5763E72A" w14:textId="00C8FF8E" w:rsidR="003C5019" w:rsidRDefault="003C5019" w:rsidP="003C5019">
      <w:pPr>
        <w:pStyle w:val="ListParagraph"/>
        <w:numPr>
          <w:ilvl w:val="1"/>
          <w:numId w:val="15"/>
        </w:numPr>
        <w:rPr>
          <w:rFonts w:ascii="Verdana" w:eastAsia="Calibri" w:hAnsi="Verdana"/>
          <w:sz w:val="20"/>
          <w:szCs w:val="20"/>
          <w:lang w:eastAsia="en-US"/>
        </w:rPr>
      </w:pPr>
      <w:r>
        <w:rPr>
          <w:rFonts w:ascii="Verdana" w:eastAsia="Calibri" w:hAnsi="Verdana"/>
          <w:sz w:val="20"/>
          <w:szCs w:val="20"/>
          <w:lang w:eastAsia="en-US"/>
        </w:rPr>
        <w:t>Synchronisation</w:t>
      </w:r>
      <w:r w:rsidR="00147218">
        <w:rPr>
          <w:rFonts w:ascii="Verdana" w:eastAsia="Calibri" w:hAnsi="Verdana"/>
          <w:sz w:val="20"/>
          <w:szCs w:val="20"/>
          <w:lang w:eastAsia="en-US"/>
        </w:rPr>
        <w:t xml:space="preserve">, by </w:t>
      </w:r>
      <w:r w:rsidRPr="00301E7B">
        <w:rPr>
          <w:rFonts w:ascii="Verdana" w:eastAsia="Calibri" w:hAnsi="Verdana"/>
          <w:sz w:val="20"/>
          <w:szCs w:val="20"/>
          <w:lang w:eastAsia="en-US"/>
        </w:rPr>
        <w:t>act</w:t>
      </w:r>
      <w:r w:rsidR="00147218">
        <w:rPr>
          <w:rFonts w:ascii="Verdana" w:eastAsia="Calibri" w:hAnsi="Verdana"/>
          <w:sz w:val="20"/>
          <w:szCs w:val="20"/>
          <w:lang w:eastAsia="en-US"/>
        </w:rPr>
        <w:t>ing</w:t>
      </w:r>
      <w:r w:rsidRPr="00301E7B">
        <w:rPr>
          <w:rFonts w:ascii="Verdana" w:eastAsia="Calibri" w:hAnsi="Verdana"/>
          <w:sz w:val="20"/>
          <w:szCs w:val="20"/>
          <w:lang w:eastAsia="en-US"/>
        </w:rPr>
        <w:t xml:space="preserve"> as intermediar</w:t>
      </w:r>
      <w:r>
        <w:rPr>
          <w:rFonts w:ascii="Verdana" w:eastAsia="Calibri" w:hAnsi="Verdana"/>
          <w:sz w:val="20"/>
          <w:szCs w:val="20"/>
          <w:lang w:eastAsia="en-US"/>
        </w:rPr>
        <w:t>ies</w:t>
      </w:r>
      <w:r w:rsidRPr="00301E7B">
        <w:rPr>
          <w:rFonts w:ascii="Verdana" w:eastAsia="Calibri" w:hAnsi="Verdana"/>
          <w:sz w:val="20"/>
          <w:szCs w:val="20"/>
          <w:lang w:eastAsia="en-US"/>
        </w:rPr>
        <w:t xml:space="preserve"> between the international and domestic scheme</w:t>
      </w:r>
      <w:r w:rsidR="00147218">
        <w:rPr>
          <w:rFonts w:ascii="Verdana" w:eastAsia="Calibri" w:hAnsi="Verdana"/>
          <w:sz w:val="20"/>
          <w:szCs w:val="20"/>
          <w:lang w:eastAsia="en-US"/>
        </w:rPr>
        <w:t>s.</w:t>
      </w:r>
      <w:r w:rsidR="00147218" w:rsidRPr="00147218">
        <w:rPr>
          <w:rFonts w:ascii="Verdana" w:eastAsia="Calibri" w:hAnsi="Verdana"/>
          <w:sz w:val="20"/>
          <w:szCs w:val="20"/>
          <w:lang w:eastAsia="en-US"/>
        </w:rPr>
        <w:t xml:space="preserve"> </w:t>
      </w:r>
      <w:r w:rsidR="00147218">
        <w:rPr>
          <w:rFonts w:ascii="Verdana" w:eastAsia="Calibri" w:hAnsi="Verdana"/>
          <w:sz w:val="20"/>
          <w:szCs w:val="20"/>
          <w:lang w:eastAsia="en-US"/>
        </w:rPr>
        <w:t xml:space="preserve">Ensuring that </w:t>
      </w:r>
      <w:r w:rsidR="00634C21">
        <w:rPr>
          <w:rFonts w:ascii="Verdana" w:eastAsia="Calibri" w:hAnsi="Verdana"/>
          <w:sz w:val="20"/>
          <w:szCs w:val="20"/>
          <w:lang w:eastAsia="en-US"/>
        </w:rPr>
        <w:t>I</w:t>
      </w:r>
      <w:r w:rsidR="00147218">
        <w:rPr>
          <w:rFonts w:ascii="Verdana" w:eastAsia="Calibri" w:hAnsi="Verdana"/>
          <w:sz w:val="20"/>
          <w:szCs w:val="20"/>
          <w:lang w:eastAsia="en-US"/>
        </w:rPr>
        <w:t>ssuer offerings are consistent across card schemes is critical to the success of tokenisation. For example, if an international card scheme offered a ‘</w:t>
      </w:r>
      <w:r w:rsidR="00147218" w:rsidRPr="005459C2">
        <w:rPr>
          <w:rFonts w:ascii="Verdana" w:eastAsia="Calibri" w:hAnsi="Verdana"/>
          <w:sz w:val="20"/>
          <w:szCs w:val="20"/>
          <w:lang w:eastAsia="en-US"/>
        </w:rPr>
        <w:t>manage digital card service</w:t>
      </w:r>
      <w:r w:rsidR="00147218">
        <w:rPr>
          <w:rFonts w:ascii="Verdana" w:eastAsia="Calibri" w:hAnsi="Verdana"/>
          <w:sz w:val="20"/>
          <w:szCs w:val="20"/>
          <w:lang w:eastAsia="en-US"/>
        </w:rPr>
        <w:t xml:space="preserve">’ to Issuers </w:t>
      </w:r>
      <w:r w:rsidR="00147218" w:rsidRPr="005459C2">
        <w:rPr>
          <w:rFonts w:ascii="Verdana" w:eastAsia="Calibri" w:hAnsi="Verdana"/>
          <w:sz w:val="20"/>
          <w:szCs w:val="20"/>
          <w:lang w:eastAsia="en-US"/>
        </w:rPr>
        <w:t xml:space="preserve">but </w:t>
      </w:r>
      <w:r w:rsidR="00147218">
        <w:rPr>
          <w:rFonts w:ascii="Verdana" w:eastAsia="Calibri" w:hAnsi="Verdana"/>
          <w:sz w:val="20"/>
          <w:szCs w:val="20"/>
          <w:lang w:eastAsia="en-US"/>
        </w:rPr>
        <w:t>the domestic scheme did not, it would create technical complexities for Issuers to deliver such features to customers and may result in confusion amongst sections of the customer base</w:t>
      </w:r>
      <w:r w:rsidR="003A65A3">
        <w:rPr>
          <w:rFonts w:ascii="Verdana" w:eastAsia="Calibri" w:hAnsi="Verdana"/>
          <w:sz w:val="20"/>
          <w:szCs w:val="20"/>
          <w:lang w:eastAsia="en-US"/>
        </w:rPr>
        <w:t>.</w:t>
      </w:r>
    </w:p>
    <w:p w14:paraId="214F8BA4" w14:textId="5AA13C6E" w:rsidR="003C5019" w:rsidRDefault="003C5019" w:rsidP="007E4F30">
      <w:pPr>
        <w:pStyle w:val="ListParagraph"/>
        <w:numPr>
          <w:ilvl w:val="1"/>
          <w:numId w:val="15"/>
        </w:numPr>
        <w:rPr>
          <w:rFonts w:ascii="Verdana" w:eastAsia="Calibri" w:hAnsi="Verdana"/>
          <w:sz w:val="20"/>
          <w:szCs w:val="20"/>
          <w:lang w:eastAsia="en-US"/>
        </w:rPr>
      </w:pPr>
      <w:r>
        <w:rPr>
          <w:rFonts w:ascii="Verdana" w:eastAsia="Calibri" w:hAnsi="Verdana"/>
          <w:sz w:val="20"/>
          <w:szCs w:val="20"/>
          <w:lang w:eastAsia="en-US"/>
        </w:rPr>
        <w:t>Visibility</w:t>
      </w:r>
      <w:r w:rsidR="00147218">
        <w:rPr>
          <w:rFonts w:ascii="Verdana" w:eastAsia="Calibri" w:hAnsi="Verdana"/>
          <w:sz w:val="20"/>
          <w:szCs w:val="20"/>
          <w:lang w:eastAsia="en-US"/>
        </w:rPr>
        <w:t>, by providing customers with visibility of their tokenised and non-tokenised transactions, and education in distinguishing between the two</w:t>
      </w:r>
      <w:r w:rsidR="003A65A3">
        <w:rPr>
          <w:rFonts w:ascii="Verdana" w:eastAsia="Calibri" w:hAnsi="Verdana"/>
          <w:sz w:val="20"/>
          <w:szCs w:val="20"/>
          <w:lang w:eastAsia="en-US"/>
        </w:rPr>
        <w:t>.</w:t>
      </w:r>
    </w:p>
    <w:p w14:paraId="62AF3966" w14:textId="77777777" w:rsidR="003C5019" w:rsidRPr="007E4F30" w:rsidRDefault="003C5019" w:rsidP="007E4F30">
      <w:pPr>
        <w:pStyle w:val="ListParagraph"/>
        <w:rPr>
          <w:rFonts w:ascii="Verdana" w:eastAsia="Calibri" w:hAnsi="Verdana"/>
          <w:sz w:val="20"/>
          <w:szCs w:val="20"/>
          <w:lang w:eastAsia="en-US"/>
        </w:rPr>
      </w:pPr>
    </w:p>
    <w:p w14:paraId="1FCD33D0" w14:textId="6C2AD7A1" w:rsidR="00FA1A52" w:rsidRPr="00437555" w:rsidRDefault="00437555" w:rsidP="00005340">
      <w:pPr>
        <w:pStyle w:val="NormalWeb"/>
        <w:numPr>
          <w:ilvl w:val="0"/>
          <w:numId w:val="15"/>
        </w:numPr>
        <w:shd w:val="clear" w:color="auto" w:fill="FFFFFF"/>
        <w:spacing w:before="150" w:beforeAutospacing="0" w:after="0" w:afterAutospacing="0"/>
        <w:rPr>
          <w:rFonts w:ascii="Verdana" w:eastAsia="Calibri" w:hAnsi="Verdana"/>
          <w:bCs/>
          <w:sz w:val="20"/>
          <w:szCs w:val="20"/>
          <w:lang w:eastAsia="en-US"/>
        </w:rPr>
      </w:pPr>
      <w:r w:rsidRPr="00437555">
        <w:rPr>
          <w:rFonts w:ascii="Verdana" w:eastAsia="Calibri" w:hAnsi="Verdana"/>
          <w:sz w:val="20"/>
          <w:szCs w:val="20"/>
          <w:lang w:eastAsia="en-US"/>
        </w:rPr>
        <w:t xml:space="preserve">ANZ is supportive of the RBA taking broader action to encourage tokenisation of card payments </w:t>
      </w:r>
      <w:r w:rsidR="0032596B">
        <w:rPr>
          <w:rFonts w:ascii="Verdana" w:eastAsia="Calibri" w:hAnsi="Verdana"/>
          <w:sz w:val="20"/>
          <w:szCs w:val="20"/>
          <w:lang w:eastAsia="en-US"/>
        </w:rPr>
        <w:t xml:space="preserve">and </w:t>
      </w:r>
      <w:r w:rsidRPr="00437555">
        <w:rPr>
          <w:rFonts w:ascii="Verdana" w:eastAsia="Calibri" w:hAnsi="Verdana"/>
          <w:sz w:val="20"/>
          <w:szCs w:val="20"/>
          <w:lang w:eastAsia="en-US"/>
        </w:rPr>
        <w:t xml:space="preserve">removing </w:t>
      </w:r>
      <w:r w:rsidR="003A65A3">
        <w:rPr>
          <w:rFonts w:ascii="Verdana" w:eastAsia="Calibri" w:hAnsi="Verdana"/>
          <w:sz w:val="20"/>
          <w:szCs w:val="20"/>
          <w:lang w:eastAsia="en-US"/>
        </w:rPr>
        <w:t>Payment Account Numbers (‘</w:t>
      </w:r>
      <w:r w:rsidRPr="00437555">
        <w:rPr>
          <w:rFonts w:ascii="Verdana" w:eastAsia="Calibri" w:hAnsi="Verdana"/>
          <w:sz w:val="20"/>
          <w:szCs w:val="20"/>
          <w:lang w:eastAsia="en-US"/>
        </w:rPr>
        <w:t>PAN</w:t>
      </w:r>
      <w:r w:rsidR="00A672D6">
        <w:rPr>
          <w:rFonts w:ascii="Verdana" w:eastAsia="Calibri" w:hAnsi="Verdana"/>
          <w:sz w:val="20"/>
          <w:szCs w:val="20"/>
          <w:lang w:eastAsia="en-US"/>
        </w:rPr>
        <w:t>’</w:t>
      </w:r>
      <w:r w:rsidR="003A65A3">
        <w:rPr>
          <w:rFonts w:ascii="Verdana" w:eastAsia="Calibri" w:hAnsi="Verdana"/>
          <w:sz w:val="20"/>
          <w:szCs w:val="20"/>
          <w:lang w:eastAsia="en-US"/>
        </w:rPr>
        <w:t>)</w:t>
      </w:r>
      <w:r w:rsidR="00A672D6">
        <w:rPr>
          <w:rFonts w:ascii="Verdana" w:eastAsia="Calibri" w:hAnsi="Verdana"/>
          <w:sz w:val="20"/>
          <w:szCs w:val="20"/>
          <w:lang w:eastAsia="en-US"/>
        </w:rPr>
        <w:t xml:space="preserve"> from storage</w:t>
      </w:r>
      <w:r w:rsidRPr="00437555">
        <w:rPr>
          <w:rFonts w:ascii="Verdana" w:eastAsia="Calibri" w:hAnsi="Verdana"/>
          <w:sz w:val="20"/>
          <w:szCs w:val="20"/>
          <w:lang w:eastAsia="en-US"/>
        </w:rPr>
        <w:t xml:space="preserve"> to provide greater confidence in the integrity of the card system. </w:t>
      </w:r>
      <w:r w:rsidR="0032596B">
        <w:rPr>
          <w:rFonts w:ascii="Verdana" w:eastAsia="Calibri" w:hAnsi="Verdana"/>
          <w:sz w:val="20"/>
          <w:szCs w:val="20"/>
          <w:lang w:eastAsia="en-US"/>
        </w:rPr>
        <w:t>The</w:t>
      </w:r>
      <w:r w:rsidRPr="00437555">
        <w:rPr>
          <w:rFonts w:ascii="Verdana" w:eastAsia="Calibri" w:hAnsi="Verdana"/>
          <w:sz w:val="20"/>
          <w:szCs w:val="20"/>
          <w:lang w:eastAsia="en-US"/>
        </w:rPr>
        <w:t xml:space="preserve"> international card schemes should be encouraged to share the </w:t>
      </w:r>
      <w:r w:rsidR="002A5B23">
        <w:rPr>
          <w:rFonts w:ascii="Verdana" w:eastAsia="Calibri" w:hAnsi="Verdana"/>
          <w:sz w:val="20"/>
          <w:szCs w:val="20"/>
          <w:lang w:eastAsia="en-US"/>
        </w:rPr>
        <w:t xml:space="preserve">Payment Account Reference </w:t>
      </w:r>
      <w:r w:rsidR="003A65A3">
        <w:rPr>
          <w:rFonts w:ascii="Verdana" w:eastAsia="Calibri" w:hAnsi="Verdana"/>
          <w:sz w:val="20"/>
          <w:szCs w:val="20"/>
          <w:lang w:eastAsia="en-US"/>
        </w:rPr>
        <w:t xml:space="preserve">(‘PAR’) </w:t>
      </w:r>
      <w:r w:rsidR="002A5B23">
        <w:rPr>
          <w:rFonts w:ascii="Verdana" w:eastAsia="Calibri" w:hAnsi="Verdana"/>
          <w:sz w:val="20"/>
          <w:szCs w:val="20"/>
          <w:lang w:eastAsia="en-US"/>
        </w:rPr>
        <w:t xml:space="preserve">unique identifier </w:t>
      </w:r>
      <w:r w:rsidRPr="00437555">
        <w:rPr>
          <w:rFonts w:ascii="Verdana" w:eastAsia="Calibri" w:hAnsi="Verdana"/>
          <w:sz w:val="20"/>
          <w:szCs w:val="20"/>
          <w:lang w:eastAsia="en-US"/>
        </w:rPr>
        <w:t xml:space="preserve">with domestic card schemes to minimise disruption to merchant loyalty programs and </w:t>
      </w:r>
      <w:bookmarkEnd w:id="0"/>
      <w:r w:rsidR="00A672D6">
        <w:rPr>
          <w:rFonts w:ascii="Verdana" w:eastAsia="Calibri" w:hAnsi="Verdana"/>
          <w:sz w:val="20"/>
          <w:szCs w:val="20"/>
          <w:lang w:eastAsia="en-US"/>
        </w:rPr>
        <w:t xml:space="preserve">ad-hoc </w:t>
      </w:r>
      <w:r>
        <w:rPr>
          <w:rFonts w:ascii="Verdana" w:eastAsia="Calibri" w:hAnsi="Verdana"/>
          <w:sz w:val="20"/>
          <w:szCs w:val="20"/>
          <w:lang w:eastAsia="en-US"/>
        </w:rPr>
        <w:t xml:space="preserve">fraud </w:t>
      </w:r>
      <w:r w:rsidR="00A672D6">
        <w:rPr>
          <w:rFonts w:ascii="Verdana" w:eastAsia="Calibri" w:hAnsi="Verdana"/>
          <w:sz w:val="20"/>
          <w:szCs w:val="20"/>
          <w:lang w:eastAsia="en-US"/>
        </w:rPr>
        <w:t>investigations facilitated with a token</w:t>
      </w:r>
      <w:r w:rsidR="003A65A3">
        <w:rPr>
          <w:rFonts w:ascii="Verdana" w:eastAsia="Calibri" w:hAnsi="Verdana"/>
          <w:sz w:val="20"/>
          <w:szCs w:val="20"/>
          <w:lang w:eastAsia="en-US"/>
        </w:rPr>
        <w:t>.</w:t>
      </w:r>
      <w:r w:rsidR="00A672D6">
        <w:rPr>
          <w:rFonts w:ascii="Verdana" w:eastAsia="Calibri" w:hAnsi="Verdana"/>
          <w:sz w:val="20"/>
          <w:szCs w:val="20"/>
          <w:lang w:eastAsia="en-US"/>
        </w:rPr>
        <w:t xml:space="preserve"> </w:t>
      </w:r>
      <w:r>
        <w:rPr>
          <w:rFonts w:ascii="Verdana" w:eastAsia="Calibri" w:hAnsi="Verdana"/>
          <w:sz w:val="20"/>
          <w:szCs w:val="20"/>
          <w:lang w:eastAsia="en-US"/>
        </w:rPr>
        <w:t xml:space="preserve"> </w:t>
      </w:r>
    </w:p>
    <w:p w14:paraId="02F98BAF" w14:textId="77777777" w:rsidR="00437555" w:rsidRPr="00437555" w:rsidRDefault="00437555" w:rsidP="00437555">
      <w:pPr>
        <w:pStyle w:val="NormalWeb"/>
        <w:shd w:val="clear" w:color="auto" w:fill="FFFFFF"/>
        <w:spacing w:before="150" w:beforeAutospacing="0" w:after="0" w:afterAutospacing="0"/>
        <w:rPr>
          <w:rFonts w:ascii="Verdana" w:eastAsia="Calibri" w:hAnsi="Verdana"/>
          <w:bCs/>
          <w:sz w:val="20"/>
          <w:szCs w:val="20"/>
          <w:lang w:eastAsia="en-US"/>
        </w:rPr>
      </w:pPr>
    </w:p>
    <w:p w14:paraId="086ED081" w14:textId="211AE4EE" w:rsidR="005311B9" w:rsidRPr="005311B9" w:rsidRDefault="00D26FAD" w:rsidP="00C31818">
      <w:pPr>
        <w:rPr>
          <w:rFonts w:ascii="Verdana" w:eastAsia="Calibri" w:hAnsi="Verdana"/>
          <w:sz w:val="20"/>
          <w:szCs w:val="20"/>
          <w:lang w:eastAsia="en-US"/>
        </w:rPr>
      </w:pPr>
      <w:r>
        <w:rPr>
          <w:rFonts w:ascii="Verdana" w:eastAsia="Calibri" w:hAnsi="Verdana"/>
          <w:bCs/>
          <w:sz w:val="20"/>
          <w:szCs w:val="20"/>
          <w:lang w:eastAsia="en-US"/>
        </w:rPr>
        <w:t xml:space="preserve">We look forward to further consultation with the RBA on this important topic. </w:t>
      </w:r>
    </w:p>
    <w:p w14:paraId="42F02011" w14:textId="77E66B18" w:rsidR="00BB0D9D" w:rsidRPr="006155FE" w:rsidRDefault="00BB0D9D" w:rsidP="00BB0D9D">
      <w:pPr>
        <w:rPr>
          <w:rFonts w:ascii="Verdana" w:eastAsia="Calibri" w:hAnsi="Verdana"/>
          <w:sz w:val="20"/>
          <w:szCs w:val="20"/>
          <w:lang w:eastAsia="en-US"/>
        </w:rPr>
      </w:pPr>
    </w:p>
    <w:p w14:paraId="110B10A8" w14:textId="77777777" w:rsidR="00BB0D9D" w:rsidRPr="006155FE" w:rsidRDefault="00BB0D9D" w:rsidP="00BB0D9D">
      <w:pPr>
        <w:rPr>
          <w:rFonts w:ascii="Verdana" w:eastAsia="Calibri" w:hAnsi="Verdana"/>
          <w:sz w:val="20"/>
          <w:szCs w:val="20"/>
          <w:lang w:eastAsia="en-US"/>
        </w:rPr>
      </w:pPr>
    </w:p>
    <w:p w14:paraId="41B7F68C" w14:textId="1025268C" w:rsidR="00227B4A" w:rsidRPr="006155FE" w:rsidRDefault="00256F84" w:rsidP="00256F84">
      <w:pPr>
        <w:rPr>
          <w:rFonts w:ascii="Verdana" w:hAnsi="Verdana"/>
          <w:sz w:val="20"/>
          <w:szCs w:val="20"/>
        </w:rPr>
      </w:pPr>
      <w:r w:rsidRPr="006155FE">
        <w:rPr>
          <w:rFonts w:ascii="Verdana" w:hAnsi="Verdana"/>
          <w:sz w:val="20"/>
          <w:szCs w:val="20"/>
        </w:rPr>
        <w:t>Yours sincerely</w:t>
      </w:r>
      <w:r w:rsidR="00D26FAD">
        <w:rPr>
          <w:rFonts w:ascii="Verdana" w:hAnsi="Verdana"/>
          <w:sz w:val="20"/>
          <w:szCs w:val="20"/>
        </w:rPr>
        <w:t>,</w:t>
      </w:r>
    </w:p>
    <w:p w14:paraId="497A2A3B" w14:textId="0DA517BC" w:rsidR="00256F84" w:rsidRDefault="00256F84" w:rsidP="00256F84">
      <w:pPr>
        <w:rPr>
          <w:rFonts w:ascii="Verdana" w:hAnsi="Verdana"/>
          <w:noProof/>
          <w:sz w:val="20"/>
          <w:szCs w:val="20"/>
        </w:rPr>
      </w:pPr>
    </w:p>
    <w:p w14:paraId="6EB2FD4F" w14:textId="7C73884B" w:rsidR="00860534" w:rsidRPr="006155FE" w:rsidRDefault="008401A3" w:rsidP="00256F84">
      <w:pPr>
        <w:rPr>
          <w:rFonts w:ascii="Verdana" w:hAnsi="Verdana"/>
          <w:sz w:val="20"/>
          <w:szCs w:val="20"/>
        </w:rPr>
      </w:pPr>
      <w:r>
        <w:rPr>
          <w:rFonts w:ascii="Verdana" w:hAnsi="Verdana"/>
          <w:noProof/>
          <w:sz w:val="20"/>
          <w:szCs w:val="20"/>
        </w:rPr>
        <w:drawing>
          <wp:inline distT="0" distB="0" distL="0" distR="0" wp14:anchorId="1D9162D5" wp14:editId="6D893927">
            <wp:extent cx="914400" cy="5743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ackie Signatu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7379" cy="576257"/>
                    </a:xfrm>
                    <a:prstGeom prst="rect">
                      <a:avLst/>
                    </a:prstGeom>
                  </pic:spPr>
                </pic:pic>
              </a:graphicData>
            </a:graphic>
          </wp:inline>
        </w:drawing>
      </w:r>
    </w:p>
    <w:p w14:paraId="63ACC4C5" w14:textId="3A78F7AA" w:rsidR="00256F84" w:rsidRPr="006155FE" w:rsidRDefault="00A07E98" w:rsidP="00256F84">
      <w:pPr>
        <w:rPr>
          <w:rFonts w:ascii="Verdana" w:hAnsi="Verdana"/>
          <w:b/>
          <w:sz w:val="20"/>
          <w:szCs w:val="20"/>
        </w:rPr>
      </w:pPr>
      <w:r>
        <w:rPr>
          <w:rFonts w:ascii="Verdana" w:hAnsi="Verdana"/>
          <w:b/>
          <w:sz w:val="20"/>
          <w:szCs w:val="20"/>
        </w:rPr>
        <w:t>Jackie Kallman</w:t>
      </w:r>
    </w:p>
    <w:p w14:paraId="7605AA2E" w14:textId="7539C354" w:rsidR="0085792E" w:rsidRDefault="00E47AD5" w:rsidP="00256F84">
      <w:pPr>
        <w:rPr>
          <w:rFonts w:ascii="Verdana" w:hAnsi="Verdana"/>
          <w:b/>
          <w:sz w:val="20"/>
          <w:szCs w:val="20"/>
        </w:rPr>
      </w:pPr>
      <w:r>
        <w:rPr>
          <w:rFonts w:ascii="Verdana" w:hAnsi="Verdana"/>
          <w:b/>
          <w:sz w:val="20"/>
          <w:szCs w:val="20"/>
        </w:rPr>
        <w:t>Head of Payments Industry and Engagement</w:t>
      </w:r>
    </w:p>
    <w:p w14:paraId="4AEB7318" w14:textId="45AB2EEB" w:rsidR="00AD00DE" w:rsidRDefault="00AD00DE" w:rsidP="00256F84">
      <w:pPr>
        <w:rPr>
          <w:rFonts w:ascii="Verdana" w:hAnsi="Verdana"/>
          <w:b/>
          <w:sz w:val="20"/>
          <w:szCs w:val="20"/>
        </w:rPr>
      </w:pPr>
    </w:p>
    <w:sectPr w:rsidR="00AD00DE" w:rsidSect="00A622B3">
      <w:headerReference w:type="even" r:id="rId9"/>
      <w:headerReference w:type="default" r:id="rId10"/>
      <w:footerReference w:type="even" r:id="rId11"/>
      <w:footerReference w:type="default" r:id="rId12"/>
      <w:headerReference w:type="first" r:id="rId13"/>
      <w:footerReference w:type="first" r:id="rId14"/>
      <w:pgSz w:w="11907" w:h="16839" w:code="9"/>
      <w:pgMar w:top="720" w:right="1418" w:bottom="360" w:left="1418" w:header="567" w:footer="25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953E9" w14:textId="77777777" w:rsidR="00DA0CAD" w:rsidRDefault="00DA0CAD">
      <w:r>
        <w:separator/>
      </w:r>
    </w:p>
  </w:endnote>
  <w:endnote w:type="continuationSeparator" w:id="0">
    <w:p w14:paraId="047396FF" w14:textId="77777777" w:rsidR="00DA0CAD" w:rsidRDefault="00DA0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05388" w14:textId="77777777" w:rsidR="00E86BFE" w:rsidRDefault="00E86BFE" w:rsidP="005934C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A14F97" w14:textId="77777777" w:rsidR="00E86BFE" w:rsidRDefault="00E86BFE" w:rsidP="001A62A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73490" w14:textId="77777777" w:rsidR="00A622B3" w:rsidRPr="00A622B3" w:rsidRDefault="00A622B3" w:rsidP="00A622B3">
    <w:pPr>
      <w:pStyle w:val="Footer"/>
      <w:spacing w:line="360" w:lineRule="auto"/>
      <w:rPr>
        <w:rFonts w:ascii="Verdana" w:hAnsi="Verdana"/>
        <w:color w:val="00B0F0"/>
        <w:sz w:val="14"/>
        <w:szCs w:val="14"/>
      </w:rPr>
    </w:pPr>
    <w:r>
      <w:rPr>
        <w:rFonts w:ascii="Verdana" w:hAnsi="Verdana"/>
        <w:color w:val="00B0F0"/>
        <w:sz w:val="14"/>
        <w:szCs w:val="14"/>
      </w:rPr>
      <w:t>Australia and New Zealand Banking Group Limited (ANZ) ABN 11 005 357 522.</w:t>
    </w:r>
  </w:p>
  <w:p w14:paraId="39C85C58" w14:textId="5E719E04" w:rsidR="002D6170" w:rsidRDefault="002D6170" w:rsidP="002E5C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68246" w14:textId="77777777" w:rsidR="00F21B21" w:rsidRPr="002E2170" w:rsidRDefault="00A622B3" w:rsidP="00A622B3">
    <w:pPr>
      <w:pStyle w:val="Footer"/>
      <w:spacing w:line="360" w:lineRule="auto"/>
      <w:rPr>
        <w:rFonts w:ascii="Verdana" w:hAnsi="Verdana"/>
        <w:color w:val="808080"/>
        <w:sz w:val="14"/>
        <w:szCs w:val="14"/>
      </w:rPr>
    </w:pPr>
    <w:r w:rsidRPr="002E2170">
      <w:rPr>
        <w:rFonts w:ascii="Verdana" w:hAnsi="Verdana"/>
        <w:color w:val="808080"/>
        <w:sz w:val="14"/>
        <w:szCs w:val="14"/>
      </w:rPr>
      <w:t>833 Collins Street, Docklands, VIC 3008 Australia</w:t>
    </w:r>
  </w:p>
  <w:p w14:paraId="5D6D2A9F" w14:textId="300B0454" w:rsidR="00A622B3" w:rsidRDefault="00A622B3" w:rsidP="00A622B3">
    <w:pPr>
      <w:pStyle w:val="Footer"/>
      <w:spacing w:line="360" w:lineRule="auto"/>
      <w:rPr>
        <w:rFonts w:ascii="Verdana" w:hAnsi="Verdana"/>
        <w:color w:val="00B0F0"/>
        <w:sz w:val="14"/>
        <w:szCs w:val="14"/>
      </w:rPr>
    </w:pPr>
    <w:r>
      <w:rPr>
        <w:rFonts w:ascii="Verdana" w:hAnsi="Verdana"/>
        <w:color w:val="00B0F0"/>
        <w:sz w:val="14"/>
        <w:szCs w:val="14"/>
      </w:rPr>
      <w:t>Australia and New Zealand Banking Group Limited (ANZ) ABN 11 005 357 522.</w:t>
    </w:r>
  </w:p>
  <w:p w14:paraId="31B1E375" w14:textId="18D0E83B" w:rsidR="00BA01CC" w:rsidRPr="00A622B3" w:rsidRDefault="00BA01CC" w:rsidP="002E5CA0">
    <w:pPr>
      <w:pStyle w:val="Footer"/>
      <w:spacing w:line="360" w:lineRule="auto"/>
      <w:rPr>
        <w:rFonts w:ascii="Verdana" w:hAnsi="Verdana"/>
        <w:color w:val="00B0F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0DF51" w14:textId="77777777" w:rsidR="00DA0CAD" w:rsidRDefault="00DA0CAD">
      <w:r>
        <w:separator/>
      </w:r>
    </w:p>
  </w:footnote>
  <w:footnote w:type="continuationSeparator" w:id="0">
    <w:p w14:paraId="63057CDF" w14:textId="77777777" w:rsidR="00DA0CAD" w:rsidRDefault="00DA0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2AB4C" w14:textId="77777777" w:rsidR="00634C21" w:rsidRDefault="00634C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C8BA3" w14:textId="77777777" w:rsidR="008A7386" w:rsidRDefault="008A7386" w:rsidP="00761D6C">
    <w:pPr>
      <w:pStyle w:val="Header"/>
    </w:pPr>
  </w:p>
  <w:p w14:paraId="3725D3FE" w14:textId="77777777" w:rsidR="00E86BFE" w:rsidRPr="00761D6C" w:rsidRDefault="00A52628" w:rsidP="00761D6C">
    <w:pPr>
      <w:pStyle w:val="Header"/>
    </w:pPr>
    <w:r>
      <w:rPr>
        <w:noProof/>
      </w:rPr>
      <w:drawing>
        <wp:inline distT="0" distB="0" distL="0" distR="0" wp14:anchorId="67675314" wp14:editId="01EB146A">
          <wp:extent cx="1247775" cy="409575"/>
          <wp:effectExtent l="0" t="0" r="9525" b="9525"/>
          <wp:docPr id="1" name="Picture 1" descr="ANZ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Z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095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7F97F" w14:textId="77777777" w:rsidR="00CF5671" w:rsidRDefault="00A52628" w:rsidP="00CF5671">
    <w:pPr>
      <w:pStyle w:val="Footer"/>
      <w:spacing w:line="300" w:lineRule="auto"/>
      <w:ind w:right="6"/>
      <w:jc w:val="right"/>
      <w:rPr>
        <w:rFonts w:ascii="Verdana" w:hAnsi="Verdana"/>
        <w:color w:val="C0C0C0"/>
        <w:sz w:val="16"/>
        <w:szCs w:val="16"/>
      </w:rPr>
    </w:pPr>
    <w:r>
      <w:rPr>
        <w:noProof/>
      </w:rPr>
      <w:drawing>
        <wp:anchor distT="0" distB="0" distL="114300" distR="114300" simplePos="0" relativeHeight="251656704" behindDoc="0" locked="0" layoutInCell="1" allowOverlap="1" wp14:anchorId="327ADA6F" wp14:editId="2E1AA972">
          <wp:simplePos x="0" y="0"/>
          <wp:positionH relativeFrom="column">
            <wp:posOffset>5119370</wp:posOffset>
          </wp:positionH>
          <wp:positionV relativeFrom="paragraph">
            <wp:posOffset>87630</wp:posOffset>
          </wp:positionV>
          <wp:extent cx="1247775" cy="409575"/>
          <wp:effectExtent l="0" t="0" r="9525" b="9525"/>
          <wp:wrapNone/>
          <wp:docPr id="2" name="Picture 2" descr="ANZ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Z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095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0" locked="0" layoutInCell="1" allowOverlap="1" wp14:anchorId="4FE35214" wp14:editId="5ED0B709">
          <wp:simplePos x="0" y="0"/>
          <wp:positionH relativeFrom="column">
            <wp:posOffset>-919480</wp:posOffset>
          </wp:positionH>
          <wp:positionV relativeFrom="paragraph">
            <wp:posOffset>-255270</wp:posOffset>
          </wp:positionV>
          <wp:extent cx="7791450" cy="304800"/>
          <wp:effectExtent l="0" t="0" r="0" b="0"/>
          <wp:wrapNone/>
          <wp:docPr id="3" name="Picture 3" descr="Letter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tter Heade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91450" cy="30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3B53D4" w14:textId="77777777" w:rsidR="00CF5671" w:rsidRDefault="00CF5671" w:rsidP="00CF5671">
    <w:pPr>
      <w:pStyle w:val="Footer"/>
      <w:spacing w:line="300" w:lineRule="auto"/>
      <w:ind w:right="6"/>
      <w:jc w:val="right"/>
      <w:rPr>
        <w:rFonts w:ascii="Verdana" w:hAnsi="Verdana"/>
        <w:color w:val="C0C0C0"/>
        <w:sz w:val="16"/>
        <w:szCs w:val="16"/>
      </w:rPr>
    </w:pPr>
  </w:p>
  <w:p w14:paraId="6F0BCBEC" w14:textId="77777777" w:rsidR="00CF5671" w:rsidRDefault="00CF5671" w:rsidP="00A622B3">
    <w:pPr>
      <w:pStyle w:val="Footer"/>
      <w:spacing w:line="300" w:lineRule="auto"/>
      <w:ind w:right="6"/>
      <w:rPr>
        <w:rFonts w:ascii="Verdana" w:hAnsi="Verdana"/>
        <w:color w:val="C0C0C0"/>
        <w:sz w:val="16"/>
        <w:szCs w:val="16"/>
      </w:rPr>
    </w:pPr>
  </w:p>
  <w:p w14:paraId="329B09C2" w14:textId="77777777" w:rsidR="00A622B3" w:rsidRDefault="00A622B3" w:rsidP="00A622B3">
    <w:pPr>
      <w:pStyle w:val="Footer"/>
      <w:spacing w:line="300" w:lineRule="auto"/>
      <w:ind w:right="6"/>
      <w:rPr>
        <w:rFonts w:ascii="Verdana" w:hAnsi="Verdana"/>
        <w:b/>
        <w:color w:val="C0C0C0"/>
        <w:sz w:val="16"/>
        <w:szCs w:val="16"/>
      </w:rPr>
    </w:pPr>
  </w:p>
  <w:p w14:paraId="00D2160C" w14:textId="0D222F2A" w:rsidR="00A622B3" w:rsidRPr="00763C0E" w:rsidRDefault="001F436F" w:rsidP="00A622B3">
    <w:pPr>
      <w:pStyle w:val="Footer"/>
      <w:spacing w:line="300" w:lineRule="auto"/>
      <w:ind w:right="6"/>
      <w:rPr>
        <w:rFonts w:ascii="Verdana" w:hAnsi="Verdana"/>
        <w:color w:val="808080"/>
        <w:sz w:val="16"/>
        <w:szCs w:val="16"/>
      </w:rPr>
    </w:pPr>
    <w:r>
      <w:rPr>
        <w:rFonts w:ascii="Verdana" w:hAnsi="Verdana"/>
        <w:b/>
        <w:color w:val="808080"/>
        <w:sz w:val="16"/>
        <w:szCs w:val="16"/>
      </w:rPr>
      <w:t>Jackie Kallman</w:t>
    </w:r>
    <w:r w:rsidR="00A622B3" w:rsidRPr="00763C0E">
      <w:rPr>
        <w:rFonts w:ascii="Verdana" w:hAnsi="Verdana"/>
        <w:color w:val="808080"/>
        <w:sz w:val="16"/>
        <w:szCs w:val="16"/>
      </w:rPr>
      <w:t xml:space="preserve"> | </w:t>
    </w:r>
    <w:r w:rsidR="00E47AD5">
      <w:rPr>
        <w:rFonts w:ascii="Verdana" w:hAnsi="Verdana"/>
        <w:color w:val="808080"/>
        <w:sz w:val="16"/>
        <w:szCs w:val="16"/>
      </w:rPr>
      <w:t>Head of Pay</w:t>
    </w:r>
    <w:r>
      <w:rPr>
        <w:rFonts w:ascii="Verdana" w:hAnsi="Verdana"/>
        <w:color w:val="808080"/>
        <w:sz w:val="16"/>
        <w:szCs w:val="16"/>
      </w:rPr>
      <w:t>ments Industry</w:t>
    </w:r>
    <w:r w:rsidR="00E47AD5">
      <w:rPr>
        <w:rFonts w:ascii="Verdana" w:hAnsi="Verdana"/>
        <w:color w:val="808080"/>
        <w:sz w:val="16"/>
        <w:szCs w:val="16"/>
      </w:rPr>
      <w:t xml:space="preserve"> and Engagement</w:t>
    </w:r>
    <w:r>
      <w:rPr>
        <w:rFonts w:ascii="Verdana" w:hAnsi="Verdana"/>
        <w:color w:val="808080"/>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25F15"/>
    <w:multiLevelType w:val="hybridMultilevel"/>
    <w:tmpl w:val="0C52EBD0"/>
    <w:lvl w:ilvl="0" w:tplc="A9D49972">
      <w:numFmt w:val="bullet"/>
      <w:lvlText w:val=""/>
      <w:lvlJc w:val="left"/>
      <w:pPr>
        <w:ind w:left="0" w:hanging="720"/>
      </w:pPr>
      <w:rPr>
        <w:rFonts w:ascii="Symbol" w:eastAsia="Times New Roman" w:hAnsi="Symbol" w:cs="Times New Roman" w:hint="default"/>
      </w:rPr>
    </w:lvl>
    <w:lvl w:ilvl="1" w:tplc="EEEC871C">
      <w:numFmt w:val="bullet"/>
      <w:lvlText w:val="•"/>
      <w:lvlJc w:val="left"/>
      <w:pPr>
        <w:ind w:left="720" w:hanging="720"/>
      </w:pPr>
      <w:rPr>
        <w:rFonts w:ascii="Verdana" w:eastAsia="Times New Roman" w:hAnsi="Verdana" w:cs="Times New Roman" w:hint="default"/>
      </w:rPr>
    </w:lvl>
    <w:lvl w:ilvl="2" w:tplc="0C090001">
      <w:start w:val="1"/>
      <w:numFmt w:val="bullet"/>
      <w:lvlText w:val=""/>
      <w:lvlJc w:val="left"/>
      <w:pPr>
        <w:ind w:left="1080" w:hanging="360"/>
      </w:pPr>
      <w:rPr>
        <w:rFonts w:ascii="Symbol" w:hAnsi="Symbol" w:hint="default"/>
      </w:rPr>
    </w:lvl>
    <w:lvl w:ilvl="3" w:tplc="0C090001" w:tentative="1">
      <w:start w:val="1"/>
      <w:numFmt w:val="bullet"/>
      <w:lvlText w:val=""/>
      <w:lvlJc w:val="left"/>
      <w:pPr>
        <w:ind w:left="1800" w:hanging="360"/>
      </w:pPr>
      <w:rPr>
        <w:rFonts w:ascii="Symbol" w:hAnsi="Symbol" w:hint="default"/>
      </w:rPr>
    </w:lvl>
    <w:lvl w:ilvl="4" w:tplc="0C090003" w:tentative="1">
      <w:start w:val="1"/>
      <w:numFmt w:val="bullet"/>
      <w:lvlText w:val="o"/>
      <w:lvlJc w:val="left"/>
      <w:pPr>
        <w:ind w:left="2520" w:hanging="360"/>
      </w:pPr>
      <w:rPr>
        <w:rFonts w:ascii="Courier New" w:hAnsi="Courier New" w:cs="Courier New" w:hint="default"/>
      </w:rPr>
    </w:lvl>
    <w:lvl w:ilvl="5" w:tplc="0C090005" w:tentative="1">
      <w:start w:val="1"/>
      <w:numFmt w:val="bullet"/>
      <w:lvlText w:val=""/>
      <w:lvlJc w:val="left"/>
      <w:pPr>
        <w:ind w:left="3240" w:hanging="360"/>
      </w:pPr>
      <w:rPr>
        <w:rFonts w:ascii="Wingdings" w:hAnsi="Wingdings" w:hint="default"/>
      </w:rPr>
    </w:lvl>
    <w:lvl w:ilvl="6" w:tplc="0C090001" w:tentative="1">
      <w:start w:val="1"/>
      <w:numFmt w:val="bullet"/>
      <w:lvlText w:val=""/>
      <w:lvlJc w:val="left"/>
      <w:pPr>
        <w:ind w:left="3960" w:hanging="360"/>
      </w:pPr>
      <w:rPr>
        <w:rFonts w:ascii="Symbol" w:hAnsi="Symbol" w:hint="default"/>
      </w:rPr>
    </w:lvl>
    <w:lvl w:ilvl="7" w:tplc="0C090003" w:tentative="1">
      <w:start w:val="1"/>
      <w:numFmt w:val="bullet"/>
      <w:lvlText w:val="o"/>
      <w:lvlJc w:val="left"/>
      <w:pPr>
        <w:ind w:left="4680" w:hanging="360"/>
      </w:pPr>
      <w:rPr>
        <w:rFonts w:ascii="Courier New" w:hAnsi="Courier New" w:cs="Courier New" w:hint="default"/>
      </w:rPr>
    </w:lvl>
    <w:lvl w:ilvl="8" w:tplc="0C090005" w:tentative="1">
      <w:start w:val="1"/>
      <w:numFmt w:val="bullet"/>
      <w:lvlText w:val=""/>
      <w:lvlJc w:val="left"/>
      <w:pPr>
        <w:ind w:left="5400" w:hanging="360"/>
      </w:pPr>
      <w:rPr>
        <w:rFonts w:ascii="Wingdings" w:hAnsi="Wingdings" w:hint="default"/>
      </w:rPr>
    </w:lvl>
  </w:abstractNum>
  <w:abstractNum w:abstractNumId="1" w15:restartNumberingAfterBreak="0">
    <w:nsid w:val="22B40656"/>
    <w:multiLevelType w:val="hybridMultilevel"/>
    <w:tmpl w:val="7D48AC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62750B6"/>
    <w:multiLevelType w:val="hybridMultilevel"/>
    <w:tmpl w:val="2384EC9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A41248"/>
    <w:multiLevelType w:val="hybridMultilevel"/>
    <w:tmpl w:val="045457D6"/>
    <w:lvl w:ilvl="0" w:tplc="0C090001">
      <w:start w:val="1"/>
      <w:numFmt w:val="bullet"/>
      <w:lvlText w:val=""/>
      <w:lvlJc w:val="left"/>
      <w:pPr>
        <w:ind w:left="795" w:hanging="360"/>
      </w:pPr>
      <w:rPr>
        <w:rFonts w:ascii="Symbol" w:hAnsi="Symbol" w:hint="default"/>
      </w:rPr>
    </w:lvl>
    <w:lvl w:ilvl="1" w:tplc="0C090003" w:tentative="1">
      <w:start w:val="1"/>
      <w:numFmt w:val="bullet"/>
      <w:lvlText w:val="o"/>
      <w:lvlJc w:val="left"/>
      <w:pPr>
        <w:ind w:left="1515" w:hanging="360"/>
      </w:pPr>
      <w:rPr>
        <w:rFonts w:ascii="Courier New" w:hAnsi="Courier New" w:cs="Courier New" w:hint="default"/>
      </w:rPr>
    </w:lvl>
    <w:lvl w:ilvl="2" w:tplc="0C090005" w:tentative="1">
      <w:start w:val="1"/>
      <w:numFmt w:val="bullet"/>
      <w:lvlText w:val=""/>
      <w:lvlJc w:val="left"/>
      <w:pPr>
        <w:ind w:left="2235" w:hanging="360"/>
      </w:pPr>
      <w:rPr>
        <w:rFonts w:ascii="Wingdings" w:hAnsi="Wingdings" w:hint="default"/>
      </w:rPr>
    </w:lvl>
    <w:lvl w:ilvl="3" w:tplc="0C090001" w:tentative="1">
      <w:start w:val="1"/>
      <w:numFmt w:val="bullet"/>
      <w:lvlText w:val=""/>
      <w:lvlJc w:val="left"/>
      <w:pPr>
        <w:ind w:left="2955" w:hanging="360"/>
      </w:pPr>
      <w:rPr>
        <w:rFonts w:ascii="Symbol" w:hAnsi="Symbol" w:hint="default"/>
      </w:rPr>
    </w:lvl>
    <w:lvl w:ilvl="4" w:tplc="0C090003" w:tentative="1">
      <w:start w:val="1"/>
      <w:numFmt w:val="bullet"/>
      <w:lvlText w:val="o"/>
      <w:lvlJc w:val="left"/>
      <w:pPr>
        <w:ind w:left="3675" w:hanging="360"/>
      </w:pPr>
      <w:rPr>
        <w:rFonts w:ascii="Courier New" w:hAnsi="Courier New" w:cs="Courier New" w:hint="default"/>
      </w:rPr>
    </w:lvl>
    <w:lvl w:ilvl="5" w:tplc="0C090005" w:tentative="1">
      <w:start w:val="1"/>
      <w:numFmt w:val="bullet"/>
      <w:lvlText w:val=""/>
      <w:lvlJc w:val="left"/>
      <w:pPr>
        <w:ind w:left="4395" w:hanging="360"/>
      </w:pPr>
      <w:rPr>
        <w:rFonts w:ascii="Wingdings" w:hAnsi="Wingdings" w:hint="default"/>
      </w:rPr>
    </w:lvl>
    <w:lvl w:ilvl="6" w:tplc="0C090001" w:tentative="1">
      <w:start w:val="1"/>
      <w:numFmt w:val="bullet"/>
      <w:lvlText w:val=""/>
      <w:lvlJc w:val="left"/>
      <w:pPr>
        <w:ind w:left="5115" w:hanging="360"/>
      </w:pPr>
      <w:rPr>
        <w:rFonts w:ascii="Symbol" w:hAnsi="Symbol" w:hint="default"/>
      </w:rPr>
    </w:lvl>
    <w:lvl w:ilvl="7" w:tplc="0C090003" w:tentative="1">
      <w:start w:val="1"/>
      <w:numFmt w:val="bullet"/>
      <w:lvlText w:val="o"/>
      <w:lvlJc w:val="left"/>
      <w:pPr>
        <w:ind w:left="5835" w:hanging="360"/>
      </w:pPr>
      <w:rPr>
        <w:rFonts w:ascii="Courier New" w:hAnsi="Courier New" w:cs="Courier New" w:hint="default"/>
      </w:rPr>
    </w:lvl>
    <w:lvl w:ilvl="8" w:tplc="0C090005" w:tentative="1">
      <w:start w:val="1"/>
      <w:numFmt w:val="bullet"/>
      <w:lvlText w:val=""/>
      <w:lvlJc w:val="left"/>
      <w:pPr>
        <w:ind w:left="6555" w:hanging="360"/>
      </w:pPr>
      <w:rPr>
        <w:rFonts w:ascii="Wingdings" w:hAnsi="Wingdings" w:hint="default"/>
      </w:rPr>
    </w:lvl>
  </w:abstractNum>
  <w:abstractNum w:abstractNumId="4" w15:restartNumberingAfterBreak="0">
    <w:nsid w:val="30D16BCF"/>
    <w:multiLevelType w:val="hybridMultilevel"/>
    <w:tmpl w:val="837000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3E21758"/>
    <w:multiLevelType w:val="hybridMultilevel"/>
    <w:tmpl w:val="69901F4A"/>
    <w:lvl w:ilvl="0" w:tplc="4BB499AE">
      <w:start w:val="1"/>
      <w:numFmt w:val="decimal"/>
      <w:lvlText w:val="%1."/>
      <w:lvlJc w:val="left"/>
      <w:pPr>
        <w:ind w:left="720" w:hanging="360"/>
      </w:pPr>
      <w:rPr>
        <w:rFonts w:ascii="Verdana" w:eastAsia="Calibri" w:hAnsi="Verdana" w:cs="Times New Roman"/>
      </w:rPr>
    </w:lvl>
    <w:lvl w:ilvl="1" w:tplc="0C09001B">
      <w:start w:val="1"/>
      <w:numFmt w:val="lowerRoman"/>
      <w:lvlText w:val="%2."/>
      <w:lvlJc w:val="right"/>
      <w:pPr>
        <w:ind w:left="1440" w:hanging="360"/>
      </w:p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B404E08"/>
    <w:multiLevelType w:val="hybridMultilevel"/>
    <w:tmpl w:val="9648DC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CDF6695"/>
    <w:multiLevelType w:val="hybridMultilevel"/>
    <w:tmpl w:val="B64886C2"/>
    <w:lvl w:ilvl="0" w:tplc="8C4CB6F8">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D886FEF"/>
    <w:multiLevelType w:val="hybridMultilevel"/>
    <w:tmpl w:val="0D2A807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5EBD30A8"/>
    <w:multiLevelType w:val="hybridMultilevel"/>
    <w:tmpl w:val="32068AEE"/>
    <w:lvl w:ilvl="0" w:tplc="95EC03BC">
      <w:start w:val="2"/>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623E2F17"/>
    <w:multiLevelType w:val="hybridMultilevel"/>
    <w:tmpl w:val="89CA9D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57748AC"/>
    <w:multiLevelType w:val="hybridMultilevel"/>
    <w:tmpl w:val="09880EE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6C234122"/>
    <w:multiLevelType w:val="hybridMultilevel"/>
    <w:tmpl w:val="03C29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C721C6E"/>
    <w:multiLevelType w:val="hybridMultilevel"/>
    <w:tmpl w:val="A6102EA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F914A5B"/>
    <w:multiLevelType w:val="hybridMultilevel"/>
    <w:tmpl w:val="B6962D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6697E21"/>
    <w:multiLevelType w:val="hybridMultilevel"/>
    <w:tmpl w:val="6A302960"/>
    <w:lvl w:ilvl="0" w:tplc="B3205D8E">
      <w:numFmt w:val="bullet"/>
      <w:lvlText w:val="•"/>
      <w:lvlJc w:val="left"/>
      <w:pPr>
        <w:ind w:left="720" w:hanging="720"/>
      </w:pPr>
      <w:rPr>
        <w:rFonts w:ascii="Verdana" w:eastAsia="Times New Roman" w:hAnsi="Verdana" w:cs="Times New Roman"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7D15620C"/>
    <w:multiLevelType w:val="hybridMultilevel"/>
    <w:tmpl w:val="885EEA64"/>
    <w:lvl w:ilvl="0" w:tplc="A9D49972">
      <w:numFmt w:val="bullet"/>
      <w:lvlText w:val=""/>
      <w:lvlJc w:val="left"/>
      <w:pPr>
        <w:ind w:left="-720" w:hanging="720"/>
      </w:pPr>
      <w:rPr>
        <w:rFonts w:ascii="Symbol" w:eastAsia="Times New Roman" w:hAnsi="Symbol" w:cs="Times New Roman" w:hint="default"/>
      </w:rPr>
    </w:lvl>
    <w:lvl w:ilvl="1" w:tplc="EEEC871C">
      <w:numFmt w:val="bullet"/>
      <w:lvlText w:val="•"/>
      <w:lvlJc w:val="left"/>
      <w:pPr>
        <w:ind w:left="0" w:hanging="720"/>
      </w:pPr>
      <w:rPr>
        <w:rFonts w:ascii="Verdana" w:eastAsia="Times New Roman" w:hAnsi="Verdana" w:cs="Times New Roman" w:hint="default"/>
      </w:rPr>
    </w:lvl>
    <w:lvl w:ilvl="2" w:tplc="0C090005">
      <w:start w:val="1"/>
      <w:numFmt w:val="bullet"/>
      <w:lvlText w:val=""/>
      <w:lvlJc w:val="left"/>
      <w:pPr>
        <w:ind w:left="360" w:hanging="360"/>
      </w:pPr>
      <w:rPr>
        <w:rFonts w:ascii="Wingdings" w:hAnsi="Wingdings" w:hint="default"/>
      </w:rPr>
    </w:lvl>
    <w:lvl w:ilvl="3" w:tplc="0C090001" w:tentative="1">
      <w:start w:val="1"/>
      <w:numFmt w:val="bullet"/>
      <w:lvlText w:val=""/>
      <w:lvlJc w:val="left"/>
      <w:pPr>
        <w:ind w:left="1080" w:hanging="360"/>
      </w:pPr>
      <w:rPr>
        <w:rFonts w:ascii="Symbol" w:hAnsi="Symbol" w:hint="default"/>
      </w:rPr>
    </w:lvl>
    <w:lvl w:ilvl="4" w:tplc="0C090003" w:tentative="1">
      <w:start w:val="1"/>
      <w:numFmt w:val="bullet"/>
      <w:lvlText w:val="o"/>
      <w:lvlJc w:val="left"/>
      <w:pPr>
        <w:ind w:left="1800" w:hanging="360"/>
      </w:pPr>
      <w:rPr>
        <w:rFonts w:ascii="Courier New" w:hAnsi="Courier New" w:cs="Courier New" w:hint="default"/>
      </w:rPr>
    </w:lvl>
    <w:lvl w:ilvl="5" w:tplc="0C090005" w:tentative="1">
      <w:start w:val="1"/>
      <w:numFmt w:val="bullet"/>
      <w:lvlText w:val=""/>
      <w:lvlJc w:val="left"/>
      <w:pPr>
        <w:ind w:left="2520" w:hanging="360"/>
      </w:pPr>
      <w:rPr>
        <w:rFonts w:ascii="Wingdings" w:hAnsi="Wingdings" w:hint="default"/>
      </w:rPr>
    </w:lvl>
    <w:lvl w:ilvl="6" w:tplc="0C090001" w:tentative="1">
      <w:start w:val="1"/>
      <w:numFmt w:val="bullet"/>
      <w:lvlText w:val=""/>
      <w:lvlJc w:val="left"/>
      <w:pPr>
        <w:ind w:left="3240" w:hanging="360"/>
      </w:pPr>
      <w:rPr>
        <w:rFonts w:ascii="Symbol" w:hAnsi="Symbol" w:hint="default"/>
      </w:rPr>
    </w:lvl>
    <w:lvl w:ilvl="7" w:tplc="0C090003" w:tentative="1">
      <w:start w:val="1"/>
      <w:numFmt w:val="bullet"/>
      <w:lvlText w:val="o"/>
      <w:lvlJc w:val="left"/>
      <w:pPr>
        <w:ind w:left="3960" w:hanging="360"/>
      </w:pPr>
      <w:rPr>
        <w:rFonts w:ascii="Courier New" w:hAnsi="Courier New" w:cs="Courier New" w:hint="default"/>
      </w:rPr>
    </w:lvl>
    <w:lvl w:ilvl="8" w:tplc="0C090005" w:tentative="1">
      <w:start w:val="1"/>
      <w:numFmt w:val="bullet"/>
      <w:lvlText w:val=""/>
      <w:lvlJc w:val="left"/>
      <w:pPr>
        <w:ind w:left="4680" w:hanging="360"/>
      </w:pPr>
      <w:rPr>
        <w:rFonts w:ascii="Wingdings" w:hAnsi="Wingdings" w:hint="default"/>
      </w:rPr>
    </w:lvl>
  </w:abstractNum>
  <w:abstractNum w:abstractNumId="17" w15:restartNumberingAfterBreak="0">
    <w:nsid w:val="7FEB3865"/>
    <w:multiLevelType w:val="multilevel"/>
    <w:tmpl w:val="71508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88884334">
    <w:abstractNumId w:val="2"/>
  </w:num>
  <w:num w:numId="2" w16cid:durableId="777020198">
    <w:abstractNumId w:val="4"/>
  </w:num>
  <w:num w:numId="3" w16cid:durableId="1090857027">
    <w:abstractNumId w:val="16"/>
  </w:num>
  <w:num w:numId="4" w16cid:durableId="1508248725">
    <w:abstractNumId w:val="0"/>
  </w:num>
  <w:num w:numId="5" w16cid:durableId="1576667855">
    <w:abstractNumId w:val="6"/>
  </w:num>
  <w:num w:numId="6" w16cid:durableId="884104279">
    <w:abstractNumId w:val="12"/>
  </w:num>
  <w:num w:numId="7" w16cid:durableId="1032077621">
    <w:abstractNumId w:val="1"/>
  </w:num>
  <w:num w:numId="8" w16cid:durableId="1106342814">
    <w:abstractNumId w:val="15"/>
  </w:num>
  <w:num w:numId="9" w16cid:durableId="667681453">
    <w:abstractNumId w:val="3"/>
  </w:num>
  <w:num w:numId="10" w16cid:durableId="1546990085">
    <w:abstractNumId w:val="13"/>
  </w:num>
  <w:num w:numId="11" w16cid:durableId="485635905">
    <w:abstractNumId w:val="10"/>
  </w:num>
  <w:num w:numId="12" w16cid:durableId="1372026794">
    <w:abstractNumId w:val="8"/>
  </w:num>
  <w:num w:numId="13" w16cid:durableId="1958951305">
    <w:abstractNumId w:val="14"/>
  </w:num>
  <w:num w:numId="14" w16cid:durableId="2099521323">
    <w:abstractNumId w:val="17"/>
  </w:num>
  <w:num w:numId="15" w16cid:durableId="177693927">
    <w:abstractNumId w:val="5"/>
  </w:num>
  <w:num w:numId="16" w16cid:durableId="1094207705">
    <w:abstractNumId w:val="9"/>
  </w:num>
  <w:num w:numId="17" w16cid:durableId="1729955271">
    <w:abstractNumId w:val="7"/>
  </w:num>
  <w:num w:numId="18" w16cid:durableId="30593835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6150083">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20" w16cid:durableId="1730880281">
    <w:abstractNumId w:val="5"/>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C32"/>
    <w:rsid w:val="0000229D"/>
    <w:rsid w:val="00002F36"/>
    <w:rsid w:val="000050BA"/>
    <w:rsid w:val="0001129A"/>
    <w:rsid w:val="00023393"/>
    <w:rsid w:val="00034330"/>
    <w:rsid w:val="0004494E"/>
    <w:rsid w:val="000460D5"/>
    <w:rsid w:val="00046934"/>
    <w:rsid w:val="00050316"/>
    <w:rsid w:val="000534D3"/>
    <w:rsid w:val="00062635"/>
    <w:rsid w:val="00066A4F"/>
    <w:rsid w:val="0007053E"/>
    <w:rsid w:val="00082AC5"/>
    <w:rsid w:val="000873DE"/>
    <w:rsid w:val="00092043"/>
    <w:rsid w:val="000948DC"/>
    <w:rsid w:val="000A26E8"/>
    <w:rsid w:val="000A528B"/>
    <w:rsid w:val="000B61EC"/>
    <w:rsid w:val="000C4F82"/>
    <w:rsid w:val="000D0D15"/>
    <w:rsid w:val="000D550D"/>
    <w:rsid w:val="000D7A89"/>
    <w:rsid w:val="000E087F"/>
    <w:rsid w:val="000E5248"/>
    <w:rsid w:val="000E5FF3"/>
    <w:rsid w:val="000F1FA2"/>
    <w:rsid w:val="000F5B40"/>
    <w:rsid w:val="00107CD1"/>
    <w:rsid w:val="001154FC"/>
    <w:rsid w:val="00120EC0"/>
    <w:rsid w:val="00141CBA"/>
    <w:rsid w:val="00147218"/>
    <w:rsid w:val="00151210"/>
    <w:rsid w:val="00161AEB"/>
    <w:rsid w:val="00163274"/>
    <w:rsid w:val="00171B43"/>
    <w:rsid w:val="00172831"/>
    <w:rsid w:val="00174DE1"/>
    <w:rsid w:val="00176FDE"/>
    <w:rsid w:val="00180200"/>
    <w:rsid w:val="00182315"/>
    <w:rsid w:val="00185593"/>
    <w:rsid w:val="0018748C"/>
    <w:rsid w:val="00190529"/>
    <w:rsid w:val="00192C2F"/>
    <w:rsid w:val="00195730"/>
    <w:rsid w:val="001A23E2"/>
    <w:rsid w:val="001A62A6"/>
    <w:rsid w:val="001B5AE6"/>
    <w:rsid w:val="001C0B4D"/>
    <w:rsid w:val="001C1B65"/>
    <w:rsid w:val="001C2474"/>
    <w:rsid w:val="001C443F"/>
    <w:rsid w:val="001C46AD"/>
    <w:rsid w:val="001D3682"/>
    <w:rsid w:val="001E3122"/>
    <w:rsid w:val="001F3F85"/>
    <w:rsid w:val="001F436F"/>
    <w:rsid w:val="002044B1"/>
    <w:rsid w:val="00205A2B"/>
    <w:rsid w:val="00207758"/>
    <w:rsid w:val="0021307E"/>
    <w:rsid w:val="00217FBF"/>
    <w:rsid w:val="0022093C"/>
    <w:rsid w:val="00227B4A"/>
    <w:rsid w:val="00231509"/>
    <w:rsid w:val="00233EFD"/>
    <w:rsid w:val="00236590"/>
    <w:rsid w:val="00250D83"/>
    <w:rsid w:val="002517DF"/>
    <w:rsid w:val="00252B7E"/>
    <w:rsid w:val="00256F84"/>
    <w:rsid w:val="002606BA"/>
    <w:rsid w:val="00260F9B"/>
    <w:rsid w:val="00282076"/>
    <w:rsid w:val="00285A2C"/>
    <w:rsid w:val="0028646B"/>
    <w:rsid w:val="00297915"/>
    <w:rsid w:val="002A5B23"/>
    <w:rsid w:val="002A646D"/>
    <w:rsid w:val="002B2150"/>
    <w:rsid w:val="002B2915"/>
    <w:rsid w:val="002B4488"/>
    <w:rsid w:val="002C0E90"/>
    <w:rsid w:val="002D6170"/>
    <w:rsid w:val="002D61C3"/>
    <w:rsid w:val="002E2170"/>
    <w:rsid w:val="002E2F1C"/>
    <w:rsid w:val="002E5CA0"/>
    <w:rsid w:val="002E5DC9"/>
    <w:rsid w:val="002E65D4"/>
    <w:rsid w:val="002E6EBD"/>
    <w:rsid w:val="002F67D3"/>
    <w:rsid w:val="002F68FF"/>
    <w:rsid w:val="002F7696"/>
    <w:rsid w:val="00301E7B"/>
    <w:rsid w:val="003136DD"/>
    <w:rsid w:val="00313DD8"/>
    <w:rsid w:val="003144AC"/>
    <w:rsid w:val="00316552"/>
    <w:rsid w:val="003171E8"/>
    <w:rsid w:val="00317998"/>
    <w:rsid w:val="00317B4C"/>
    <w:rsid w:val="00324A24"/>
    <w:rsid w:val="00324F58"/>
    <w:rsid w:val="0032508D"/>
    <w:rsid w:val="0032596B"/>
    <w:rsid w:val="003262E2"/>
    <w:rsid w:val="0033306D"/>
    <w:rsid w:val="003424B1"/>
    <w:rsid w:val="00352F24"/>
    <w:rsid w:val="003532FD"/>
    <w:rsid w:val="0035444A"/>
    <w:rsid w:val="003719DF"/>
    <w:rsid w:val="00373F5F"/>
    <w:rsid w:val="003806F7"/>
    <w:rsid w:val="00392706"/>
    <w:rsid w:val="00392982"/>
    <w:rsid w:val="003A52CE"/>
    <w:rsid w:val="003A65A3"/>
    <w:rsid w:val="003B2A53"/>
    <w:rsid w:val="003B5918"/>
    <w:rsid w:val="003C2774"/>
    <w:rsid w:val="003C40A3"/>
    <w:rsid w:val="003C48FC"/>
    <w:rsid w:val="003C5019"/>
    <w:rsid w:val="003C5DDF"/>
    <w:rsid w:val="003D00CD"/>
    <w:rsid w:val="003D51F8"/>
    <w:rsid w:val="003E16FC"/>
    <w:rsid w:val="003E6402"/>
    <w:rsid w:val="003F347B"/>
    <w:rsid w:val="003F40B8"/>
    <w:rsid w:val="004067D4"/>
    <w:rsid w:val="0042579B"/>
    <w:rsid w:val="0042639F"/>
    <w:rsid w:val="00437555"/>
    <w:rsid w:val="0044182F"/>
    <w:rsid w:val="00447EAF"/>
    <w:rsid w:val="0045068B"/>
    <w:rsid w:val="00453BC5"/>
    <w:rsid w:val="00456437"/>
    <w:rsid w:val="0046393A"/>
    <w:rsid w:val="004672E1"/>
    <w:rsid w:val="00474ABA"/>
    <w:rsid w:val="00482E6F"/>
    <w:rsid w:val="00487FD9"/>
    <w:rsid w:val="004A274D"/>
    <w:rsid w:val="004A4612"/>
    <w:rsid w:val="004B1949"/>
    <w:rsid w:val="004B7F5C"/>
    <w:rsid w:val="004D4ED7"/>
    <w:rsid w:val="004E33D5"/>
    <w:rsid w:val="004E3D1B"/>
    <w:rsid w:val="004E518B"/>
    <w:rsid w:val="004F1557"/>
    <w:rsid w:val="004F69F9"/>
    <w:rsid w:val="004F6B84"/>
    <w:rsid w:val="00504E05"/>
    <w:rsid w:val="00507F30"/>
    <w:rsid w:val="00515B15"/>
    <w:rsid w:val="00524B02"/>
    <w:rsid w:val="005264E0"/>
    <w:rsid w:val="005311B9"/>
    <w:rsid w:val="00543A69"/>
    <w:rsid w:val="005445B9"/>
    <w:rsid w:val="005459C2"/>
    <w:rsid w:val="00553637"/>
    <w:rsid w:val="00554FED"/>
    <w:rsid w:val="0055756A"/>
    <w:rsid w:val="00562B2A"/>
    <w:rsid w:val="00564DB6"/>
    <w:rsid w:val="005711D3"/>
    <w:rsid w:val="00580C4E"/>
    <w:rsid w:val="00586CB5"/>
    <w:rsid w:val="00590FBF"/>
    <w:rsid w:val="005934C9"/>
    <w:rsid w:val="00594C83"/>
    <w:rsid w:val="005971D9"/>
    <w:rsid w:val="005A5C68"/>
    <w:rsid w:val="005B6C67"/>
    <w:rsid w:val="005D0AD0"/>
    <w:rsid w:val="005D1FD7"/>
    <w:rsid w:val="005D27E5"/>
    <w:rsid w:val="005D42F9"/>
    <w:rsid w:val="005E2972"/>
    <w:rsid w:val="005F6103"/>
    <w:rsid w:val="00602075"/>
    <w:rsid w:val="00602F44"/>
    <w:rsid w:val="00604FCA"/>
    <w:rsid w:val="00605109"/>
    <w:rsid w:val="00610F1B"/>
    <w:rsid w:val="00611160"/>
    <w:rsid w:val="00612628"/>
    <w:rsid w:val="006155FE"/>
    <w:rsid w:val="0062142A"/>
    <w:rsid w:val="00624015"/>
    <w:rsid w:val="00625721"/>
    <w:rsid w:val="00634C21"/>
    <w:rsid w:val="00644802"/>
    <w:rsid w:val="0064483E"/>
    <w:rsid w:val="006460E6"/>
    <w:rsid w:val="00653111"/>
    <w:rsid w:val="00661BED"/>
    <w:rsid w:val="0067050F"/>
    <w:rsid w:val="006722D6"/>
    <w:rsid w:val="00675211"/>
    <w:rsid w:val="00675B47"/>
    <w:rsid w:val="00682B52"/>
    <w:rsid w:val="00684E3A"/>
    <w:rsid w:val="006857D2"/>
    <w:rsid w:val="00686065"/>
    <w:rsid w:val="006946FC"/>
    <w:rsid w:val="006A1D88"/>
    <w:rsid w:val="006A2D73"/>
    <w:rsid w:val="006A62EB"/>
    <w:rsid w:val="006C4971"/>
    <w:rsid w:val="006C6BCE"/>
    <w:rsid w:val="006E0B74"/>
    <w:rsid w:val="006F235D"/>
    <w:rsid w:val="006F2A77"/>
    <w:rsid w:val="00701A37"/>
    <w:rsid w:val="00704C76"/>
    <w:rsid w:val="0071293B"/>
    <w:rsid w:val="00722CF3"/>
    <w:rsid w:val="00725ACD"/>
    <w:rsid w:val="00725B89"/>
    <w:rsid w:val="00730F38"/>
    <w:rsid w:val="00734263"/>
    <w:rsid w:val="00740A67"/>
    <w:rsid w:val="00750C81"/>
    <w:rsid w:val="00752D13"/>
    <w:rsid w:val="00753595"/>
    <w:rsid w:val="00761D6C"/>
    <w:rsid w:val="00763C0E"/>
    <w:rsid w:val="00765CCA"/>
    <w:rsid w:val="0077051A"/>
    <w:rsid w:val="00783BB1"/>
    <w:rsid w:val="00795607"/>
    <w:rsid w:val="00795C4B"/>
    <w:rsid w:val="007A3440"/>
    <w:rsid w:val="007A36B8"/>
    <w:rsid w:val="007A4C7E"/>
    <w:rsid w:val="007A67E4"/>
    <w:rsid w:val="007C1EF3"/>
    <w:rsid w:val="007D334C"/>
    <w:rsid w:val="007E4240"/>
    <w:rsid w:val="007E48F1"/>
    <w:rsid w:val="007E4F30"/>
    <w:rsid w:val="007E5CAE"/>
    <w:rsid w:val="007E6700"/>
    <w:rsid w:val="007F057D"/>
    <w:rsid w:val="007F563B"/>
    <w:rsid w:val="007F694C"/>
    <w:rsid w:val="00820CEF"/>
    <w:rsid w:val="008332E8"/>
    <w:rsid w:val="00834FCD"/>
    <w:rsid w:val="008401A3"/>
    <w:rsid w:val="008413E2"/>
    <w:rsid w:val="00841EDB"/>
    <w:rsid w:val="008434F6"/>
    <w:rsid w:val="008510D4"/>
    <w:rsid w:val="00851E17"/>
    <w:rsid w:val="0085792E"/>
    <w:rsid w:val="00860534"/>
    <w:rsid w:val="00861248"/>
    <w:rsid w:val="008618C6"/>
    <w:rsid w:val="00864D80"/>
    <w:rsid w:val="0086569D"/>
    <w:rsid w:val="00866E04"/>
    <w:rsid w:val="00872AE9"/>
    <w:rsid w:val="00872B57"/>
    <w:rsid w:val="00874808"/>
    <w:rsid w:val="0087543C"/>
    <w:rsid w:val="008926D2"/>
    <w:rsid w:val="008969DC"/>
    <w:rsid w:val="008A5031"/>
    <w:rsid w:val="008A7386"/>
    <w:rsid w:val="008B0C20"/>
    <w:rsid w:val="008B5244"/>
    <w:rsid w:val="008E013E"/>
    <w:rsid w:val="008E0DC5"/>
    <w:rsid w:val="008F4DE2"/>
    <w:rsid w:val="00902264"/>
    <w:rsid w:val="00904EA3"/>
    <w:rsid w:val="009051B4"/>
    <w:rsid w:val="00915C45"/>
    <w:rsid w:val="009207E7"/>
    <w:rsid w:val="009256FA"/>
    <w:rsid w:val="009334F6"/>
    <w:rsid w:val="0094157F"/>
    <w:rsid w:val="00946E05"/>
    <w:rsid w:val="0095028F"/>
    <w:rsid w:val="00955C74"/>
    <w:rsid w:val="00962150"/>
    <w:rsid w:val="00962EF7"/>
    <w:rsid w:val="00971FB9"/>
    <w:rsid w:val="009736F9"/>
    <w:rsid w:val="009750EF"/>
    <w:rsid w:val="00985372"/>
    <w:rsid w:val="00986B9B"/>
    <w:rsid w:val="00987646"/>
    <w:rsid w:val="00995DC7"/>
    <w:rsid w:val="009A37C5"/>
    <w:rsid w:val="009B1030"/>
    <w:rsid w:val="009D1496"/>
    <w:rsid w:val="009E2B1F"/>
    <w:rsid w:val="009E33C8"/>
    <w:rsid w:val="009E3594"/>
    <w:rsid w:val="009E369D"/>
    <w:rsid w:val="009E704F"/>
    <w:rsid w:val="009F715B"/>
    <w:rsid w:val="00A007DC"/>
    <w:rsid w:val="00A0194B"/>
    <w:rsid w:val="00A06594"/>
    <w:rsid w:val="00A07E98"/>
    <w:rsid w:val="00A12579"/>
    <w:rsid w:val="00A23AF0"/>
    <w:rsid w:val="00A26C7A"/>
    <w:rsid w:val="00A30DE0"/>
    <w:rsid w:val="00A40E3E"/>
    <w:rsid w:val="00A44CA4"/>
    <w:rsid w:val="00A46EF9"/>
    <w:rsid w:val="00A471AD"/>
    <w:rsid w:val="00A50644"/>
    <w:rsid w:val="00A52628"/>
    <w:rsid w:val="00A53672"/>
    <w:rsid w:val="00A56622"/>
    <w:rsid w:val="00A61694"/>
    <w:rsid w:val="00A622B3"/>
    <w:rsid w:val="00A672D6"/>
    <w:rsid w:val="00A67F9F"/>
    <w:rsid w:val="00A81E8E"/>
    <w:rsid w:val="00A83203"/>
    <w:rsid w:val="00A84896"/>
    <w:rsid w:val="00A8621D"/>
    <w:rsid w:val="00AA5732"/>
    <w:rsid w:val="00AA5E17"/>
    <w:rsid w:val="00AB671B"/>
    <w:rsid w:val="00AB7868"/>
    <w:rsid w:val="00AC5ECC"/>
    <w:rsid w:val="00AC7292"/>
    <w:rsid w:val="00AD00DE"/>
    <w:rsid w:val="00AD33A6"/>
    <w:rsid w:val="00AD4FEE"/>
    <w:rsid w:val="00AD5618"/>
    <w:rsid w:val="00AF04D3"/>
    <w:rsid w:val="00B1303F"/>
    <w:rsid w:val="00B2478B"/>
    <w:rsid w:val="00B27BC0"/>
    <w:rsid w:val="00B30C90"/>
    <w:rsid w:val="00B33080"/>
    <w:rsid w:val="00B469D2"/>
    <w:rsid w:val="00B70112"/>
    <w:rsid w:val="00B74E6D"/>
    <w:rsid w:val="00B75D9E"/>
    <w:rsid w:val="00B8237A"/>
    <w:rsid w:val="00B83A48"/>
    <w:rsid w:val="00B87135"/>
    <w:rsid w:val="00B93620"/>
    <w:rsid w:val="00B94167"/>
    <w:rsid w:val="00B952DE"/>
    <w:rsid w:val="00BA01CC"/>
    <w:rsid w:val="00BB0D9D"/>
    <w:rsid w:val="00BB3609"/>
    <w:rsid w:val="00BB38F2"/>
    <w:rsid w:val="00BC7E39"/>
    <w:rsid w:val="00BD2182"/>
    <w:rsid w:val="00BD28E4"/>
    <w:rsid w:val="00BD34E9"/>
    <w:rsid w:val="00BE124F"/>
    <w:rsid w:val="00BE5610"/>
    <w:rsid w:val="00C02056"/>
    <w:rsid w:val="00C05515"/>
    <w:rsid w:val="00C05EF6"/>
    <w:rsid w:val="00C13C32"/>
    <w:rsid w:val="00C17086"/>
    <w:rsid w:val="00C17C42"/>
    <w:rsid w:val="00C305B5"/>
    <w:rsid w:val="00C31818"/>
    <w:rsid w:val="00C37BD7"/>
    <w:rsid w:val="00C37C60"/>
    <w:rsid w:val="00C4227A"/>
    <w:rsid w:val="00C46924"/>
    <w:rsid w:val="00C51641"/>
    <w:rsid w:val="00C56C2C"/>
    <w:rsid w:val="00C71547"/>
    <w:rsid w:val="00C74F7C"/>
    <w:rsid w:val="00C76BBA"/>
    <w:rsid w:val="00C77158"/>
    <w:rsid w:val="00CA2D2C"/>
    <w:rsid w:val="00CB7066"/>
    <w:rsid w:val="00CB757C"/>
    <w:rsid w:val="00CC4F56"/>
    <w:rsid w:val="00CD3E65"/>
    <w:rsid w:val="00CD40D8"/>
    <w:rsid w:val="00CD5D1B"/>
    <w:rsid w:val="00CE039D"/>
    <w:rsid w:val="00CE3455"/>
    <w:rsid w:val="00CF0740"/>
    <w:rsid w:val="00CF196A"/>
    <w:rsid w:val="00CF2FA2"/>
    <w:rsid w:val="00CF5671"/>
    <w:rsid w:val="00CF5D09"/>
    <w:rsid w:val="00D04351"/>
    <w:rsid w:val="00D13367"/>
    <w:rsid w:val="00D146C7"/>
    <w:rsid w:val="00D17FEF"/>
    <w:rsid w:val="00D26FAD"/>
    <w:rsid w:val="00D37078"/>
    <w:rsid w:val="00D4224C"/>
    <w:rsid w:val="00D47750"/>
    <w:rsid w:val="00D57173"/>
    <w:rsid w:val="00D63A43"/>
    <w:rsid w:val="00D65E20"/>
    <w:rsid w:val="00D7499F"/>
    <w:rsid w:val="00D80BFA"/>
    <w:rsid w:val="00D82E3A"/>
    <w:rsid w:val="00D83F71"/>
    <w:rsid w:val="00D9330C"/>
    <w:rsid w:val="00D93852"/>
    <w:rsid w:val="00D94432"/>
    <w:rsid w:val="00D966C7"/>
    <w:rsid w:val="00D97221"/>
    <w:rsid w:val="00DA0CAD"/>
    <w:rsid w:val="00DA5944"/>
    <w:rsid w:val="00DA5FE2"/>
    <w:rsid w:val="00DB44CC"/>
    <w:rsid w:val="00DB7A3F"/>
    <w:rsid w:val="00DD0024"/>
    <w:rsid w:val="00DD2915"/>
    <w:rsid w:val="00DE76E0"/>
    <w:rsid w:val="00DF30BA"/>
    <w:rsid w:val="00E01A07"/>
    <w:rsid w:val="00E01A8C"/>
    <w:rsid w:val="00E07312"/>
    <w:rsid w:val="00E07D25"/>
    <w:rsid w:val="00E16913"/>
    <w:rsid w:val="00E173D8"/>
    <w:rsid w:val="00E20CBC"/>
    <w:rsid w:val="00E236D8"/>
    <w:rsid w:val="00E24D62"/>
    <w:rsid w:val="00E332C3"/>
    <w:rsid w:val="00E34AEE"/>
    <w:rsid w:val="00E40FB1"/>
    <w:rsid w:val="00E43A72"/>
    <w:rsid w:val="00E47109"/>
    <w:rsid w:val="00E47AD5"/>
    <w:rsid w:val="00E55855"/>
    <w:rsid w:val="00E55975"/>
    <w:rsid w:val="00E57D7E"/>
    <w:rsid w:val="00E6366D"/>
    <w:rsid w:val="00E63B5D"/>
    <w:rsid w:val="00E64C4E"/>
    <w:rsid w:val="00E6542D"/>
    <w:rsid w:val="00E73ED8"/>
    <w:rsid w:val="00E765E2"/>
    <w:rsid w:val="00E76F57"/>
    <w:rsid w:val="00E81C00"/>
    <w:rsid w:val="00E83E53"/>
    <w:rsid w:val="00E86BFE"/>
    <w:rsid w:val="00E9207C"/>
    <w:rsid w:val="00E9346C"/>
    <w:rsid w:val="00E93FF3"/>
    <w:rsid w:val="00EA025D"/>
    <w:rsid w:val="00EA0B39"/>
    <w:rsid w:val="00EA0D33"/>
    <w:rsid w:val="00EA2695"/>
    <w:rsid w:val="00EA2DA3"/>
    <w:rsid w:val="00EA30B8"/>
    <w:rsid w:val="00EB11E6"/>
    <w:rsid w:val="00EC21D6"/>
    <w:rsid w:val="00EE0EC4"/>
    <w:rsid w:val="00EE3A81"/>
    <w:rsid w:val="00EE3EF7"/>
    <w:rsid w:val="00EE5CF7"/>
    <w:rsid w:val="00EE65BC"/>
    <w:rsid w:val="00EF14E8"/>
    <w:rsid w:val="00EF768B"/>
    <w:rsid w:val="00F015E8"/>
    <w:rsid w:val="00F0462C"/>
    <w:rsid w:val="00F04B24"/>
    <w:rsid w:val="00F0620C"/>
    <w:rsid w:val="00F07388"/>
    <w:rsid w:val="00F135F9"/>
    <w:rsid w:val="00F14F96"/>
    <w:rsid w:val="00F21099"/>
    <w:rsid w:val="00F21B21"/>
    <w:rsid w:val="00F229A8"/>
    <w:rsid w:val="00F37803"/>
    <w:rsid w:val="00F60CF2"/>
    <w:rsid w:val="00F62CAA"/>
    <w:rsid w:val="00F74885"/>
    <w:rsid w:val="00F81F41"/>
    <w:rsid w:val="00F825E5"/>
    <w:rsid w:val="00F86574"/>
    <w:rsid w:val="00F87923"/>
    <w:rsid w:val="00F914CD"/>
    <w:rsid w:val="00F91DFC"/>
    <w:rsid w:val="00FA1A52"/>
    <w:rsid w:val="00FD1CD8"/>
    <w:rsid w:val="00FD3FD5"/>
    <w:rsid w:val="00FE58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BBD737"/>
  <w15:docId w15:val="{074B4FFB-7118-4E87-BB9B-1FC4D3072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2F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1A62A6"/>
    <w:pPr>
      <w:tabs>
        <w:tab w:val="center" w:pos="4320"/>
        <w:tab w:val="right" w:pos="8640"/>
      </w:tabs>
    </w:pPr>
  </w:style>
  <w:style w:type="character" w:styleId="PageNumber">
    <w:name w:val="page number"/>
    <w:basedOn w:val="DefaultParagraphFont"/>
    <w:rsid w:val="001A62A6"/>
  </w:style>
  <w:style w:type="paragraph" w:styleId="BalloonText">
    <w:name w:val="Balloon Text"/>
    <w:basedOn w:val="Normal"/>
    <w:semiHidden/>
    <w:rsid w:val="006946FC"/>
    <w:rPr>
      <w:rFonts w:ascii="Tahoma" w:hAnsi="Tahoma" w:cs="Tahoma"/>
      <w:sz w:val="16"/>
      <w:szCs w:val="16"/>
    </w:rPr>
  </w:style>
  <w:style w:type="paragraph" w:styleId="Header">
    <w:name w:val="header"/>
    <w:basedOn w:val="Normal"/>
    <w:rsid w:val="00297915"/>
    <w:pPr>
      <w:tabs>
        <w:tab w:val="center" w:pos="4320"/>
        <w:tab w:val="right" w:pos="8640"/>
      </w:tabs>
    </w:pPr>
  </w:style>
  <w:style w:type="character" w:styleId="Hyperlink">
    <w:name w:val="Hyperlink"/>
    <w:uiPriority w:val="99"/>
    <w:rsid w:val="009E3594"/>
    <w:rPr>
      <w:color w:val="0000FF"/>
      <w:u w:val="single"/>
    </w:rPr>
  </w:style>
  <w:style w:type="paragraph" w:styleId="BodyText">
    <w:name w:val="Body Text"/>
    <w:basedOn w:val="Normal"/>
    <w:rsid w:val="00AF04D3"/>
    <w:rPr>
      <w:rFonts w:ascii="Verdana" w:hAnsi="Verdana"/>
      <w:iCs/>
      <w:sz w:val="20"/>
      <w:lang w:eastAsia="en-US"/>
    </w:rPr>
  </w:style>
  <w:style w:type="paragraph" w:styleId="NormalWeb">
    <w:name w:val="Normal (Web)"/>
    <w:basedOn w:val="Normal"/>
    <w:uiPriority w:val="99"/>
    <w:rsid w:val="00F015E8"/>
    <w:pPr>
      <w:spacing w:before="100" w:beforeAutospacing="1" w:after="100" w:afterAutospacing="1"/>
    </w:pPr>
  </w:style>
  <w:style w:type="character" w:styleId="Strong">
    <w:name w:val="Strong"/>
    <w:uiPriority w:val="22"/>
    <w:qFormat/>
    <w:rsid w:val="003D00CD"/>
    <w:rPr>
      <w:b/>
      <w:bCs/>
    </w:rPr>
  </w:style>
  <w:style w:type="paragraph" w:styleId="ListParagraph">
    <w:name w:val="List Paragraph"/>
    <w:basedOn w:val="Normal"/>
    <w:uiPriority w:val="34"/>
    <w:qFormat/>
    <w:rsid w:val="001C46AD"/>
    <w:pPr>
      <w:ind w:left="720"/>
      <w:contextualSpacing/>
    </w:pPr>
  </w:style>
  <w:style w:type="character" w:styleId="CommentReference">
    <w:name w:val="annotation reference"/>
    <w:basedOn w:val="DefaultParagraphFont"/>
    <w:rsid w:val="00A50644"/>
    <w:rPr>
      <w:sz w:val="16"/>
      <w:szCs w:val="16"/>
    </w:rPr>
  </w:style>
  <w:style w:type="paragraph" w:styleId="CommentText">
    <w:name w:val="annotation text"/>
    <w:basedOn w:val="Normal"/>
    <w:link w:val="CommentTextChar"/>
    <w:uiPriority w:val="99"/>
    <w:rsid w:val="00A50644"/>
    <w:rPr>
      <w:sz w:val="20"/>
      <w:szCs w:val="20"/>
    </w:rPr>
  </w:style>
  <w:style w:type="character" w:customStyle="1" w:styleId="CommentTextChar">
    <w:name w:val="Comment Text Char"/>
    <w:basedOn w:val="DefaultParagraphFont"/>
    <w:link w:val="CommentText"/>
    <w:uiPriority w:val="99"/>
    <w:rsid w:val="00A50644"/>
  </w:style>
  <w:style w:type="paragraph" w:styleId="CommentSubject">
    <w:name w:val="annotation subject"/>
    <w:basedOn w:val="CommentText"/>
    <w:next w:val="CommentText"/>
    <w:link w:val="CommentSubjectChar"/>
    <w:rsid w:val="00A50644"/>
    <w:rPr>
      <w:b/>
      <w:bCs/>
    </w:rPr>
  </w:style>
  <w:style w:type="character" w:customStyle="1" w:styleId="CommentSubjectChar">
    <w:name w:val="Comment Subject Char"/>
    <w:basedOn w:val="CommentTextChar"/>
    <w:link w:val="CommentSubject"/>
    <w:rsid w:val="00A50644"/>
    <w:rPr>
      <w:b/>
      <w:bCs/>
    </w:rPr>
  </w:style>
  <w:style w:type="paragraph" w:styleId="FootnoteText">
    <w:name w:val="footnote text"/>
    <w:basedOn w:val="Normal"/>
    <w:link w:val="FootnoteTextChar"/>
    <w:semiHidden/>
    <w:unhideWhenUsed/>
    <w:rsid w:val="00E57D7E"/>
    <w:rPr>
      <w:sz w:val="20"/>
      <w:szCs w:val="20"/>
    </w:rPr>
  </w:style>
  <w:style w:type="character" w:customStyle="1" w:styleId="FootnoteTextChar">
    <w:name w:val="Footnote Text Char"/>
    <w:basedOn w:val="DefaultParagraphFont"/>
    <w:link w:val="FootnoteText"/>
    <w:semiHidden/>
    <w:rsid w:val="00E57D7E"/>
  </w:style>
  <w:style w:type="character" w:styleId="FootnoteReference">
    <w:name w:val="footnote reference"/>
    <w:basedOn w:val="DefaultParagraphFont"/>
    <w:semiHidden/>
    <w:unhideWhenUsed/>
    <w:rsid w:val="00E57D7E"/>
    <w:rPr>
      <w:vertAlign w:val="superscript"/>
    </w:rPr>
  </w:style>
  <w:style w:type="character" w:styleId="FollowedHyperlink">
    <w:name w:val="FollowedHyperlink"/>
    <w:basedOn w:val="DefaultParagraphFont"/>
    <w:semiHidden/>
    <w:unhideWhenUsed/>
    <w:rsid w:val="00E57D7E"/>
    <w:rPr>
      <w:color w:val="800080" w:themeColor="followedHyperlink"/>
      <w:u w:val="single"/>
    </w:rPr>
  </w:style>
  <w:style w:type="paragraph" w:styleId="EndnoteText">
    <w:name w:val="endnote text"/>
    <w:basedOn w:val="Normal"/>
    <w:link w:val="EndnoteTextChar"/>
    <w:semiHidden/>
    <w:unhideWhenUsed/>
    <w:rsid w:val="008413E2"/>
    <w:rPr>
      <w:sz w:val="20"/>
      <w:szCs w:val="20"/>
    </w:rPr>
  </w:style>
  <w:style w:type="character" w:customStyle="1" w:styleId="EndnoteTextChar">
    <w:name w:val="Endnote Text Char"/>
    <w:basedOn w:val="DefaultParagraphFont"/>
    <w:link w:val="EndnoteText"/>
    <w:semiHidden/>
    <w:rsid w:val="008413E2"/>
  </w:style>
  <w:style w:type="character" w:styleId="EndnoteReference">
    <w:name w:val="endnote reference"/>
    <w:basedOn w:val="DefaultParagraphFont"/>
    <w:semiHidden/>
    <w:unhideWhenUsed/>
    <w:rsid w:val="008413E2"/>
    <w:rPr>
      <w:vertAlign w:val="superscript"/>
    </w:rPr>
  </w:style>
  <w:style w:type="paragraph" w:customStyle="1" w:styleId="xmsolistparagraph">
    <w:name w:val="x_msolistparagraph"/>
    <w:basedOn w:val="Normal"/>
    <w:rsid w:val="00EA30B8"/>
    <w:pPr>
      <w:ind w:left="720"/>
    </w:pPr>
    <w:rPr>
      <w:rFonts w:eastAsiaTheme="minorHAnsi"/>
    </w:rPr>
  </w:style>
  <w:style w:type="paragraph" w:customStyle="1" w:styleId="Default">
    <w:name w:val="Default"/>
    <w:rsid w:val="003F347B"/>
    <w:pPr>
      <w:autoSpaceDE w:val="0"/>
      <w:autoSpaceDN w:val="0"/>
      <w:adjustRightInd w:val="0"/>
    </w:pPr>
    <w:rPr>
      <w:rFonts w:ascii="Calibri" w:hAnsi="Calibri" w:cs="Calibri"/>
      <w:color w:val="000000"/>
      <w:sz w:val="24"/>
      <w:szCs w:val="24"/>
    </w:rPr>
  </w:style>
  <w:style w:type="paragraph" w:styleId="Revision">
    <w:name w:val="Revision"/>
    <w:hidden/>
    <w:uiPriority w:val="99"/>
    <w:semiHidden/>
    <w:rsid w:val="0033306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32510">
      <w:bodyDiv w:val="1"/>
      <w:marLeft w:val="0"/>
      <w:marRight w:val="0"/>
      <w:marTop w:val="0"/>
      <w:marBottom w:val="0"/>
      <w:divBdr>
        <w:top w:val="none" w:sz="0" w:space="0" w:color="auto"/>
        <w:left w:val="none" w:sz="0" w:space="0" w:color="auto"/>
        <w:bottom w:val="none" w:sz="0" w:space="0" w:color="auto"/>
        <w:right w:val="none" w:sz="0" w:space="0" w:color="auto"/>
      </w:divBdr>
    </w:div>
    <w:div w:id="153376923">
      <w:bodyDiv w:val="1"/>
      <w:marLeft w:val="0"/>
      <w:marRight w:val="0"/>
      <w:marTop w:val="0"/>
      <w:marBottom w:val="0"/>
      <w:divBdr>
        <w:top w:val="none" w:sz="0" w:space="0" w:color="auto"/>
        <w:left w:val="none" w:sz="0" w:space="0" w:color="auto"/>
        <w:bottom w:val="none" w:sz="0" w:space="0" w:color="auto"/>
        <w:right w:val="none" w:sz="0" w:space="0" w:color="auto"/>
      </w:divBdr>
    </w:div>
    <w:div w:id="348023667">
      <w:bodyDiv w:val="1"/>
      <w:marLeft w:val="0"/>
      <w:marRight w:val="0"/>
      <w:marTop w:val="0"/>
      <w:marBottom w:val="0"/>
      <w:divBdr>
        <w:top w:val="none" w:sz="0" w:space="0" w:color="auto"/>
        <w:left w:val="none" w:sz="0" w:space="0" w:color="auto"/>
        <w:bottom w:val="none" w:sz="0" w:space="0" w:color="auto"/>
        <w:right w:val="none" w:sz="0" w:space="0" w:color="auto"/>
      </w:divBdr>
    </w:div>
    <w:div w:id="481967228">
      <w:bodyDiv w:val="1"/>
      <w:marLeft w:val="0"/>
      <w:marRight w:val="0"/>
      <w:marTop w:val="0"/>
      <w:marBottom w:val="0"/>
      <w:divBdr>
        <w:top w:val="none" w:sz="0" w:space="0" w:color="auto"/>
        <w:left w:val="none" w:sz="0" w:space="0" w:color="auto"/>
        <w:bottom w:val="none" w:sz="0" w:space="0" w:color="auto"/>
        <w:right w:val="none" w:sz="0" w:space="0" w:color="auto"/>
      </w:divBdr>
    </w:div>
    <w:div w:id="545873705">
      <w:bodyDiv w:val="1"/>
      <w:marLeft w:val="0"/>
      <w:marRight w:val="0"/>
      <w:marTop w:val="0"/>
      <w:marBottom w:val="0"/>
      <w:divBdr>
        <w:top w:val="none" w:sz="0" w:space="0" w:color="auto"/>
        <w:left w:val="none" w:sz="0" w:space="0" w:color="auto"/>
        <w:bottom w:val="none" w:sz="0" w:space="0" w:color="auto"/>
        <w:right w:val="none" w:sz="0" w:space="0" w:color="auto"/>
      </w:divBdr>
    </w:div>
    <w:div w:id="768433843">
      <w:bodyDiv w:val="1"/>
      <w:marLeft w:val="0"/>
      <w:marRight w:val="0"/>
      <w:marTop w:val="0"/>
      <w:marBottom w:val="0"/>
      <w:divBdr>
        <w:top w:val="none" w:sz="0" w:space="0" w:color="auto"/>
        <w:left w:val="none" w:sz="0" w:space="0" w:color="auto"/>
        <w:bottom w:val="none" w:sz="0" w:space="0" w:color="auto"/>
        <w:right w:val="none" w:sz="0" w:space="0" w:color="auto"/>
      </w:divBdr>
    </w:div>
    <w:div w:id="793719662">
      <w:bodyDiv w:val="1"/>
      <w:marLeft w:val="0"/>
      <w:marRight w:val="0"/>
      <w:marTop w:val="0"/>
      <w:marBottom w:val="0"/>
      <w:divBdr>
        <w:top w:val="none" w:sz="0" w:space="0" w:color="auto"/>
        <w:left w:val="none" w:sz="0" w:space="0" w:color="auto"/>
        <w:bottom w:val="none" w:sz="0" w:space="0" w:color="auto"/>
        <w:right w:val="none" w:sz="0" w:space="0" w:color="auto"/>
      </w:divBdr>
    </w:div>
    <w:div w:id="970792825">
      <w:bodyDiv w:val="1"/>
      <w:marLeft w:val="0"/>
      <w:marRight w:val="0"/>
      <w:marTop w:val="0"/>
      <w:marBottom w:val="0"/>
      <w:divBdr>
        <w:top w:val="none" w:sz="0" w:space="0" w:color="auto"/>
        <w:left w:val="none" w:sz="0" w:space="0" w:color="auto"/>
        <w:bottom w:val="none" w:sz="0" w:space="0" w:color="auto"/>
        <w:right w:val="none" w:sz="0" w:space="0" w:color="auto"/>
      </w:divBdr>
    </w:div>
    <w:div w:id="1275940393">
      <w:bodyDiv w:val="1"/>
      <w:marLeft w:val="0"/>
      <w:marRight w:val="0"/>
      <w:marTop w:val="0"/>
      <w:marBottom w:val="0"/>
      <w:divBdr>
        <w:top w:val="none" w:sz="0" w:space="0" w:color="auto"/>
        <w:left w:val="none" w:sz="0" w:space="0" w:color="auto"/>
        <w:bottom w:val="none" w:sz="0" w:space="0" w:color="auto"/>
        <w:right w:val="none" w:sz="0" w:space="0" w:color="auto"/>
      </w:divBdr>
    </w:div>
    <w:div w:id="1536652058">
      <w:bodyDiv w:val="1"/>
      <w:marLeft w:val="0"/>
      <w:marRight w:val="0"/>
      <w:marTop w:val="0"/>
      <w:marBottom w:val="0"/>
      <w:divBdr>
        <w:top w:val="none" w:sz="0" w:space="0" w:color="auto"/>
        <w:left w:val="none" w:sz="0" w:space="0" w:color="auto"/>
        <w:bottom w:val="none" w:sz="0" w:space="0" w:color="auto"/>
        <w:right w:val="none" w:sz="0" w:space="0" w:color="auto"/>
      </w:divBdr>
    </w:div>
    <w:div w:id="1539321762">
      <w:bodyDiv w:val="1"/>
      <w:marLeft w:val="0"/>
      <w:marRight w:val="0"/>
      <w:marTop w:val="0"/>
      <w:marBottom w:val="0"/>
      <w:divBdr>
        <w:top w:val="none" w:sz="0" w:space="0" w:color="auto"/>
        <w:left w:val="none" w:sz="0" w:space="0" w:color="auto"/>
        <w:bottom w:val="none" w:sz="0" w:space="0" w:color="auto"/>
        <w:right w:val="none" w:sz="0" w:space="0" w:color="auto"/>
      </w:divBdr>
    </w:div>
    <w:div w:id="1575385470">
      <w:bodyDiv w:val="1"/>
      <w:marLeft w:val="0"/>
      <w:marRight w:val="0"/>
      <w:marTop w:val="0"/>
      <w:marBottom w:val="0"/>
      <w:divBdr>
        <w:top w:val="none" w:sz="0" w:space="0" w:color="auto"/>
        <w:left w:val="none" w:sz="0" w:space="0" w:color="auto"/>
        <w:bottom w:val="none" w:sz="0" w:space="0" w:color="auto"/>
        <w:right w:val="none" w:sz="0" w:space="0" w:color="auto"/>
      </w:divBdr>
    </w:div>
    <w:div w:id="1629315042">
      <w:bodyDiv w:val="1"/>
      <w:marLeft w:val="0"/>
      <w:marRight w:val="0"/>
      <w:marTop w:val="0"/>
      <w:marBottom w:val="0"/>
      <w:divBdr>
        <w:top w:val="none" w:sz="0" w:space="0" w:color="auto"/>
        <w:left w:val="none" w:sz="0" w:space="0" w:color="auto"/>
        <w:bottom w:val="none" w:sz="0" w:space="0" w:color="auto"/>
        <w:right w:val="none" w:sz="0" w:space="0" w:color="auto"/>
      </w:divBdr>
    </w:div>
    <w:div w:id="1754669335">
      <w:bodyDiv w:val="1"/>
      <w:marLeft w:val="0"/>
      <w:marRight w:val="0"/>
      <w:marTop w:val="0"/>
      <w:marBottom w:val="0"/>
      <w:divBdr>
        <w:top w:val="none" w:sz="0" w:space="0" w:color="auto"/>
        <w:left w:val="none" w:sz="0" w:space="0" w:color="auto"/>
        <w:bottom w:val="none" w:sz="0" w:space="0" w:color="auto"/>
        <w:right w:val="none" w:sz="0" w:space="0" w:color="auto"/>
      </w:divBdr>
    </w:div>
    <w:div w:id="1920823570">
      <w:bodyDiv w:val="1"/>
      <w:marLeft w:val="0"/>
      <w:marRight w:val="0"/>
      <w:marTop w:val="0"/>
      <w:marBottom w:val="0"/>
      <w:divBdr>
        <w:top w:val="none" w:sz="0" w:space="0" w:color="auto"/>
        <w:left w:val="none" w:sz="0" w:space="0" w:color="auto"/>
        <w:bottom w:val="none" w:sz="0" w:space="0" w:color="auto"/>
        <w:right w:val="none" w:sz="0" w:space="0" w:color="auto"/>
      </w:divBdr>
    </w:div>
    <w:div w:id="2056811503">
      <w:bodyDiv w:val="1"/>
      <w:marLeft w:val="0"/>
      <w:marRight w:val="0"/>
      <w:marTop w:val="0"/>
      <w:marBottom w:val="0"/>
      <w:divBdr>
        <w:top w:val="none" w:sz="0" w:space="0" w:color="auto"/>
        <w:left w:val="none" w:sz="0" w:space="0" w:color="auto"/>
        <w:bottom w:val="none" w:sz="0" w:space="0" w:color="auto"/>
        <w:right w:val="none" w:sz="0" w:space="0" w:color="auto"/>
      </w:divBdr>
    </w:div>
    <w:div w:id="211624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C2EED-D3C1-4289-BC38-EBDEB1CC7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573</Words>
  <Characters>3251</Characters>
  <Application>Microsoft Office Word</Application>
  <DocSecurity>0</DocSecurity>
  <Lines>69</Lines>
  <Paragraphs>43</Paragraphs>
  <ScaleCrop>false</ScaleCrop>
  <HeadingPairs>
    <vt:vector size="2" baseType="variant">
      <vt:variant>
        <vt:lpstr>Title</vt:lpstr>
      </vt:variant>
      <vt:variant>
        <vt:i4>1</vt:i4>
      </vt:variant>
    </vt:vector>
  </HeadingPairs>
  <TitlesOfParts>
    <vt:vector size="1" baseType="lpstr">
      <vt:lpstr>Letter to Superannuation and SMSF Clients</vt:lpstr>
    </vt:vector>
  </TitlesOfParts>
  <Company>ANZ</Company>
  <LinksUpToDate>false</LinksUpToDate>
  <CharactersWithSpaces>3781</CharactersWithSpaces>
  <SharedDoc>false</SharedDoc>
  <HLinks>
    <vt:vector size="6" baseType="variant">
      <vt:variant>
        <vt:i4>8323073</vt:i4>
      </vt:variant>
      <vt:variant>
        <vt:i4>2</vt:i4>
      </vt:variant>
      <vt:variant>
        <vt:i4>0</vt:i4>
      </vt:variant>
      <vt:variant>
        <vt:i4>5</vt:i4>
      </vt:variant>
      <vt:variant>
        <vt:lpwstr>mailto:Ben.Walker@anz.com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to Superannuation and SMSF Clients</dc:title>
  <dc:subject/>
  <dc:creator>Reserve Bank of Australia</dc:creator>
  <cp:keywords/>
  <dc:description/>
  <cp:lastModifiedBy>PALANIAPPAN, Thiru</cp:lastModifiedBy>
  <cp:revision>2</cp:revision>
  <cp:lastPrinted>2023-09-28T00:19:00Z</cp:lastPrinted>
  <dcterms:created xsi:type="dcterms:W3CDTF">2023-09-28T00:21:00Z</dcterms:created>
  <dcterms:modified xsi:type="dcterms:W3CDTF">2023-09-28T00:21:00Z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1b3d200c-23ee-4401-8ed5-c69f83182574</vt:lpwstr>
  </property>
  <property fmtid="{D5CDD505-2E9C-101B-9397-08002B2CF9AE}" pid="3" name="Classification">
    <vt:lpwstr>I</vt:lpwstr>
  </property>
</Properties>
</file>