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96F8C" w14:textId="3935CF48" w:rsidR="002824D7" w:rsidRPr="00CF0B82" w:rsidRDefault="00054FE5" w:rsidP="001B2E05">
      <w:r w:rsidRPr="00CF0B82">
        <w:rPr>
          <w:noProof/>
          <w:lang w:eastAsia="en-AU"/>
        </w:rPr>
        <w:drawing>
          <wp:anchor distT="0" distB="0" distL="114300" distR="114300" simplePos="0" relativeHeight="251658240" behindDoc="1" locked="0" layoutInCell="1" allowOverlap="1" wp14:anchorId="3A296F94" wp14:editId="3A296F95">
            <wp:simplePos x="0" y="0"/>
            <wp:positionH relativeFrom="column">
              <wp:posOffset>2514600</wp:posOffset>
            </wp:positionH>
            <wp:positionV relativeFrom="paragraph">
              <wp:posOffset>3204210</wp:posOffset>
            </wp:positionV>
            <wp:extent cx="5094605" cy="5123815"/>
            <wp:effectExtent l="0" t="0" r="10795" b="6985"/>
            <wp:wrapNone/>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4605" cy="5123815"/>
                    </a:xfrm>
                    <a:prstGeom prst="rect">
                      <a:avLst/>
                    </a:prstGeom>
                    <a:noFill/>
                    <a:ln>
                      <a:noFill/>
                    </a:ln>
                  </pic:spPr>
                </pic:pic>
              </a:graphicData>
            </a:graphic>
            <wp14:sizeRelH relativeFrom="page">
              <wp14:pctWidth>0</wp14:pctWidth>
            </wp14:sizeRelH>
            <wp14:sizeRelV relativeFrom="page">
              <wp14:pctHeight>0</wp14:pctHeight>
            </wp14:sizeRelV>
          </wp:anchor>
        </w:drawing>
      </w:r>
      <w:r w:rsidR="000963D2">
        <w:t>9</w:t>
      </w:r>
      <w:r w:rsidR="006C5175">
        <w:t xml:space="preserve"> July 2021</w:t>
      </w:r>
    </w:p>
    <w:p w14:paraId="3C5468DA" w14:textId="77777777" w:rsidR="00F0292B" w:rsidRDefault="00F0292B" w:rsidP="00AB47F1">
      <w:pPr>
        <w:spacing w:before="0"/>
      </w:pPr>
    </w:p>
    <w:p w14:paraId="6815231E" w14:textId="77777777" w:rsidR="00B0589C" w:rsidRDefault="00B0589C" w:rsidP="00AB47F1">
      <w:pPr>
        <w:spacing w:before="0"/>
      </w:pPr>
      <w:r>
        <w:t>Dr Tony Richards</w:t>
      </w:r>
    </w:p>
    <w:p w14:paraId="68843E54" w14:textId="32D31D3B" w:rsidR="00AB47F1" w:rsidRDefault="00AB47F1" w:rsidP="00AB47F1">
      <w:pPr>
        <w:spacing w:before="0"/>
      </w:pPr>
      <w:r>
        <w:t xml:space="preserve">Head of Payments Policy Department, </w:t>
      </w:r>
      <w:r>
        <w:tab/>
      </w:r>
      <w:r>
        <w:tab/>
      </w:r>
      <w:r>
        <w:tab/>
      </w:r>
      <w:r>
        <w:tab/>
      </w:r>
      <w:r>
        <w:tab/>
      </w:r>
      <w:r>
        <w:tab/>
      </w:r>
      <w:r>
        <w:tab/>
      </w:r>
    </w:p>
    <w:p w14:paraId="3457FF46" w14:textId="77777777" w:rsidR="00AB47F1" w:rsidRDefault="00AB47F1" w:rsidP="00AB47F1">
      <w:pPr>
        <w:spacing w:before="0"/>
      </w:pPr>
      <w:r>
        <w:t>Reserve Bank of Australia</w:t>
      </w:r>
    </w:p>
    <w:p w14:paraId="2EE8E358" w14:textId="77777777" w:rsidR="00AB47F1" w:rsidRDefault="00AB47F1" w:rsidP="00AB47F1">
      <w:pPr>
        <w:spacing w:before="0"/>
      </w:pPr>
      <w:r>
        <w:t>GPO Box 3947</w:t>
      </w:r>
    </w:p>
    <w:p w14:paraId="37666250" w14:textId="77777777" w:rsidR="00AB47F1" w:rsidRDefault="00AB47F1" w:rsidP="00AB47F1">
      <w:pPr>
        <w:spacing w:before="0"/>
      </w:pPr>
      <w:r>
        <w:t>Sydney NSW 2001</w:t>
      </w:r>
    </w:p>
    <w:p w14:paraId="017D59CD" w14:textId="77777777" w:rsidR="00F0292B" w:rsidRDefault="00F0292B" w:rsidP="00AB47F1">
      <w:pPr>
        <w:spacing w:before="0"/>
      </w:pPr>
    </w:p>
    <w:p w14:paraId="3A296F8E" w14:textId="168DE436" w:rsidR="00710E40" w:rsidRPr="00CF0B82" w:rsidRDefault="00084050" w:rsidP="00AB47F1">
      <w:pPr>
        <w:spacing w:before="0"/>
      </w:pPr>
      <w:r>
        <w:t xml:space="preserve">Email: </w:t>
      </w:r>
      <w:r w:rsidR="00AB47F1">
        <w:t>pysubmissions@rba.gov.au</w:t>
      </w:r>
      <w:r>
        <w:t xml:space="preserve"> </w:t>
      </w:r>
    </w:p>
    <w:p w14:paraId="3A296F8F" w14:textId="7A93F5E5" w:rsidR="0097557C" w:rsidRDefault="003D7701" w:rsidP="001B2E05">
      <w:pPr>
        <w:pStyle w:val="DateandRecipient"/>
      </w:pPr>
      <w:r w:rsidRPr="00CF0B82">
        <w:t>Dear</w:t>
      </w:r>
      <w:r w:rsidR="002824D7" w:rsidRPr="00CF0B82">
        <w:t xml:space="preserve"> </w:t>
      </w:r>
      <w:r w:rsidR="00A109BE">
        <w:t>Dr Richards</w:t>
      </w:r>
    </w:p>
    <w:p w14:paraId="404ED088" w14:textId="7B4BC82E" w:rsidR="00FB0362" w:rsidRPr="00FB0362" w:rsidRDefault="008B0054" w:rsidP="008E096C">
      <w:pPr>
        <w:pStyle w:val="Heading2"/>
      </w:pPr>
      <w:r>
        <w:t>Response to the Review of Retail Payments Regulation</w:t>
      </w:r>
      <w:r w:rsidR="006E054E">
        <w:t xml:space="preserve"> – Consultation Paper</w:t>
      </w:r>
    </w:p>
    <w:p w14:paraId="7A39AB3D" w14:textId="7CB74EB7" w:rsidR="00C275DD" w:rsidRDefault="003F2945" w:rsidP="00C275DD">
      <w:r w:rsidRPr="003F2945">
        <w:t xml:space="preserve">Thank you for the opportunity to respond to the </w:t>
      </w:r>
      <w:r w:rsidR="00FE4693">
        <w:t xml:space="preserve">Reserve Bank of Australia (Bank) </w:t>
      </w:r>
      <w:r w:rsidRPr="003F2945">
        <w:t>Review of Retail Payments Regulation</w:t>
      </w:r>
      <w:r w:rsidR="004C7F88">
        <w:t xml:space="preserve"> – Consultation </w:t>
      </w:r>
      <w:r w:rsidRPr="003F2945">
        <w:t>Paper</w:t>
      </w:r>
      <w:r w:rsidR="0026452E">
        <w:t xml:space="preserve"> (Consultation Paper)</w:t>
      </w:r>
      <w:r w:rsidRPr="003F2945">
        <w:t>.</w:t>
      </w:r>
    </w:p>
    <w:p w14:paraId="4DB7D095" w14:textId="62033144" w:rsidR="000063BC" w:rsidRDefault="000063BC" w:rsidP="000063BC">
      <w:pPr>
        <w:pStyle w:val="Heading2"/>
      </w:pPr>
      <w:r>
        <w:t>About Payments Consulting Networ</w:t>
      </w:r>
      <w:r w:rsidR="00FE37AD">
        <w:t>k</w:t>
      </w:r>
      <w:r w:rsidR="003257BF">
        <w:t xml:space="preserve"> and Merchant Pricing Hub</w:t>
      </w:r>
    </w:p>
    <w:p w14:paraId="06D89DAB" w14:textId="2152F819" w:rsidR="000D6830" w:rsidRDefault="00E17939" w:rsidP="00FE37AD">
      <w:r w:rsidRPr="00E17939">
        <w:t xml:space="preserve">Payments Consulting Network </w:t>
      </w:r>
      <w:r>
        <w:t xml:space="preserve">(PCN) </w:t>
      </w:r>
      <w:r w:rsidRPr="00E17939">
        <w:t xml:space="preserve">has been providing consulting and advisory services to the financial services </w:t>
      </w:r>
      <w:r w:rsidR="00496E73">
        <w:t>and payments industry</w:t>
      </w:r>
      <w:r w:rsidRPr="00E17939">
        <w:t xml:space="preserve"> since 2013.</w:t>
      </w:r>
    </w:p>
    <w:p w14:paraId="0F52F15B" w14:textId="5E05E7C8" w:rsidR="00FE37AD" w:rsidRDefault="00E17939" w:rsidP="00FE37AD">
      <w:r w:rsidRPr="00E17939">
        <w:t xml:space="preserve">More recently, </w:t>
      </w:r>
      <w:r w:rsidR="00235414">
        <w:t>over the last 12 months we</w:t>
      </w:r>
      <w:r w:rsidRPr="00E17939">
        <w:t xml:space="preserve"> </w:t>
      </w:r>
      <w:r w:rsidR="00104697">
        <w:t xml:space="preserve">have </w:t>
      </w:r>
      <w:r w:rsidRPr="00E17939">
        <w:t>support</w:t>
      </w:r>
      <w:r w:rsidR="00235414">
        <w:t>ed over one hundred</w:t>
      </w:r>
      <w:r w:rsidRPr="00E17939">
        <w:t xml:space="preserve"> small, </w:t>
      </w:r>
      <w:r w:rsidR="00AF33CF" w:rsidRPr="00E17939">
        <w:t>medium,</w:t>
      </w:r>
      <w:r w:rsidRPr="00E17939">
        <w:t xml:space="preserve"> and large businesses, industry associations, and not-for-profit </w:t>
      </w:r>
      <w:r w:rsidRPr="00E731EC">
        <w:t>organisations</w:t>
      </w:r>
      <w:r w:rsidRPr="00E17939">
        <w:t xml:space="preserve">, to </w:t>
      </w:r>
      <w:r w:rsidR="00104697">
        <w:t>lower</w:t>
      </w:r>
      <w:r w:rsidRPr="00E17939">
        <w:t xml:space="preserve"> payments acceptance costs and improve service levels.</w:t>
      </w:r>
      <w:r w:rsidR="007C01CA">
        <w:t xml:space="preserve"> </w:t>
      </w:r>
      <w:r w:rsidR="008D375A">
        <w:t>Our Merchant Pricing Hub service (</w:t>
      </w:r>
      <w:hyperlink r:id="rId11" w:history="1">
        <w:r w:rsidR="008D375A" w:rsidRPr="00B912E4">
          <w:rPr>
            <w:rStyle w:val="Hyperlink"/>
            <w:color w:val="4F7AB5" w:themeColor="accent4"/>
          </w:rPr>
          <w:t>merchantpricing.com</w:t>
        </w:r>
      </w:hyperlink>
      <w:r w:rsidR="008D375A">
        <w:t>) highlights the range of services we provide</w:t>
      </w:r>
      <w:r w:rsidR="002A5684">
        <w:t xml:space="preserve"> including: pricing comparisons, payments optimi</w:t>
      </w:r>
      <w:r w:rsidR="00825490">
        <w:t>s</w:t>
      </w:r>
      <w:r w:rsidR="002A5684">
        <w:t>ation reviews, request for proposal</w:t>
      </w:r>
      <w:r w:rsidR="0051208F">
        <w:t xml:space="preserve"> management</w:t>
      </w:r>
      <w:r w:rsidR="002A5684">
        <w:t xml:space="preserve"> and card scheme negotiations.</w:t>
      </w:r>
    </w:p>
    <w:p w14:paraId="3182242E" w14:textId="1FB6503D" w:rsidR="001E570F" w:rsidRDefault="002324F4" w:rsidP="002324F4">
      <w:pPr>
        <w:pStyle w:val="Heading2"/>
      </w:pPr>
      <w:r>
        <w:t>Consultation Paper Policy Framework</w:t>
      </w:r>
      <w:r w:rsidR="00D63906">
        <w:t xml:space="preserve"> Components</w:t>
      </w:r>
    </w:p>
    <w:p w14:paraId="3030E876" w14:textId="3EAE054E" w:rsidR="00D63906" w:rsidRDefault="00D63906" w:rsidP="00D63906">
      <w:pPr>
        <w:pStyle w:val="Heading3"/>
        <w:rPr>
          <w:i w:val="0"/>
          <w:iCs/>
        </w:rPr>
      </w:pPr>
      <w:r>
        <w:t xml:space="preserve">Dual-network debit cards </w:t>
      </w:r>
      <w:r w:rsidR="00C03C83">
        <w:t xml:space="preserve">(DNDCs) </w:t>
      </w:r>
      <w:r>
        <w:t>and least-cost routing</w:t>
      </w:r>
      <w:r w:rsidR="001943AA">
        <w:t xml:space="preserve"> (LCR)</w:t>
      </w:r>
    </w:p>
    <w:p w14:paraId="7F3FDEDD" w14:textId="37D9FF4F" w:rsidR="006E4BC4" w:rsidRDefault="00E876DD" w:rsidP="0015719C">
      <w:pPr>
        <w:pStyle w:val="Heading4"/>
      </w:pPr>
      <w:r w:rsidRPr="002E283A">
        <w:t>The Bank would state an explicit expectation that the major banks will continue to issue DNDCs, with both schemes to be provisioned in all relevant form factors offered by the issuer (such as in mobile wallets as well as physical cards).</w:t>
      </w:r>
    </w:p>
    <w:p w14:paraId="255FF9FF" w14:textId="5370753D" w:rsidR="00825631" w:rsidRDefault="00F210B9" w:rsidP="002F496D">
      <w:pPr>
        <w:pStyle w:val="NormalIndent"/>
      </w:pPr>
      <w:r>
        <w:t xml:space="preserve">PCN </w:t>
      </w:r>
      <w:r w:rsidR="00AE4FED">
        <w:t>supports continued issuance of DND</w:t>
      </w:r>
      <w:r w:rsidR="00091E2E">
        <w:t>Cs</w:t>
      </w:r>
      <w:r w:rsidR="00AE4FED">
        <w:t xml:space="preserve"> by the major banks and the provisioning</w:t>
      </w:r>
      <w:r w:rsidR="001D43B8">
        <w:t xml:space="preserve"> of both schemes</w:t>
      </w:r>
      <w:r w:rsidR="00AE4FED">
        <w:t xml:space="preserve"> in all relevant form factors offered by the issue</w:t>
      </w:r>
      <w:r w:rsidR="00F27D5B">
        <w:t>r</w:t>
      </w:r>
      <w:r w:rsidR="00AE4FED">
        <w:t xml:space="preserve"> (</w:t>
      </w:r>
      <w:r w:rsidR="0050367A">
        <w:t>e.g. mobile wallets and physical cards)</w:t>
      </w:r>
      <w:r w:rsidR="00825631">
        <w:t>.</w:t>
      </w:r>
    </w:p>
    <w:p w14:paraId="7E3652DA" w14:textId="6FEAC0AB" w:rsidR="0050408D" w:rsidRDefault="00825631" w:rsidP="002F496D">
      <w:pPr>
        <w:pStyle w:val="NormalIndent"/>
      </w:pPr>
      <w:r>
        <w:lastRenderedPageBreak/>
        <w:t>W</w:t>
      </w:r>
      <w:r w:rsidR="0050367A">
        <w:t xml:space="preserve">ide scale </w:t>
      </w:r>
      <w:r w:rsidR="00091E2E">
        <w:t xml:space="preserve">availability </w:t>
      </w:r>
      <w:r w:rsidR="00D05E5D">
        <w:t>and use by consumers of DNDCs is critical to</w:t>
      </w:r>
      <w:r w:rsidR="002F496D">
        <w:t xml:space="preserve"> the ongoing rollout of </w:t>
      </w:r>
      <w:r w:rsidR="0050408D">
        <w:t>least-cost r</w:t>
      </w:r>
      <w:r w:rsidR="002F496D">
        <w:t>outing, which gives merchants choice and the ability to process transactions according to the lowest cost network.</w:t>
      </w:r>
      <w:r>
        <w:t xml:space="preserve"> </w:t>
      </w:r>
      <w:r w:rsidR="00B87E51">
        <w:t xml:space="preserve">PCN notes that the </w:t>
      </w:r>
      <w:r w:rsidR="000808EE">
        <w:t xml:space="preserve">eftpos </w:t>
      </w:r>
      <w:r w:rsidR="00723128">
        <w:t>Priority 2 Gold Package Rate is 2 cents</w:t>
      </w:r>
      <w:r w:rsidR="003D1507">
        <w:t xml:space="preserve"> </w:t>
      </w:r>
      <w:r w:rsidR="00150FC0">
        <w:t>(which applies to DNDC transactions routed to eftpos)</w:t>
      </w:r>
      <w:r w:rsidR="004C5486">
        <w:t xml:space="preserve"> which is significantly lower than the 6 cent </w:t>
      </w:r>
      <w:r w:rsidR="003764BF">
        <w:t xml:space="preserve">single network debit card </w:t>
      </w:r>
      <w:r w:rsidR="002C44E5">
        <w:t>(</w:t>
      </w:r>
      <w:r w:rsidR="004C5486">
        <w:t>SNDC</w:t>
      </w:r>
      <w:r w:rsidR="002C44E5">
        <w:t>)</w:t>
      </w:r>
      <w:r w:rsidR="004C5486">
        <w:t xml:space="preserve"> interchange </w:t>
      </w:r>
      <w:r w:rsidR="000408EE">
        <w:t xml:space="preserve">fee cap </w:t>
      </w:r>
      <w:r w:rsidR="004C5486">
        <w:t>proposed by the Bank.</w:t>
      </w:r>
    </w:p>
    <w:p w14:paraId="41243B69" w14:textId="677E3601" w:rsidR="0015719C" w:rsidRDefault="002F496D" w:rsidP="002F496D">
      <w:pPr>
        <w:pStyle w:val="NormalIndent"/>
      </w:pPr>
      <w:r>
        <w:t xml:space="preserve">Any move to </w:t>
      </w:r>
      <w:r w:rsidR="00CA3991">
        <w:t>SNDCs</w:t>
      </w:r>
      <w:r w:rsidR="0050408D">
        <w:t xml:space="preserve"> </w:t>
      </w:r>
      <w:r>
        <w:t xml:space="preserve">will also see consumers losing access to services such as cash out </w:t>
      </w:r>
      <w:r w:rsidR="0050408D">
        <w:t>and</w:t>
      </w:r>
      <w:r>
        <w:t xml:space="preserve"> real time Medicare </w:t>
      </w:r>
      <w:r w:rsidR="0076646D">
        <w:t>and health fund refunds.</w:t>
      </w:r>
    </w:p>
    <w:p w14:paraId="7BF1169A" w14:textId="5161D7E4" w:rsidR="00CB5C7C" w:rsidRDefault="0098379D" w:rsidP="002F496D">
      <w:pPr>
        <w:pStyle w:val="NormalIndent"/>
      </w:pPr>
      <w:r>
        <w:t xml:space="preserve">Hence, PCN </w:t>
      </w:r>
      <w:r w:rsidR="00A803DE">
        <w:t xml:space="preserve">only supports </w:t>
      </w:r>
      <w:r w:rsidR="0046756F">
        <w:t xml:space="preserve">further issuance of SNDCs by </w:t>
      </w:r>
      <w:r w:rsidR="00BF4D8A">
        <w:t>non-</w:t>
      </w:r>
      <w:r w:rsidR="0046756F">
        <w:t xml:space="preserve">major banks should the interchange fee </w:t>
      </w:r>
      <w:r w:rsidR="002447B3">
        <w:t xml:space="preserve">cap for SNDC transactions be set at a lower level than DNDC transactions as </w:t>
      </w:r>
      <w:r w:rsidR="00BF4D8A">
        <w:t>proposed</w:t>
      </w:r>
      <w:r w:rsidR="002447B3">
        <w:t xml:space="preserve"> in </w:t>
      </w:r>
      <w:r w:rsidR="00D64B01">
        <w:t>point</w:t>
      </w:r>
      <w:r w:rsidR="000408EE">
        <w:t>s</w:t>
      </w:r>
      <w:r w:rsidR="00D64B01">
        <w:t xml:space="preserve"> 2 </w:t>
      </w:r>
      <w:r w:rsidR="000408EE">
        <w:t>and 6, which follow</w:t>
      </w:r>
      <w:r w:rsidR="00D64B01">
        <w:t>.</w:t>
      </w:r>
    </w:p>
    <w:p w14:paraId="17F80398" w14:textId="46DCA079" w:rsidR="0076646D" w:rsidRDefault="00391A6B" w:rsidP="00391A6B">
      <w:pPr>
        <w:pStyle w:val="Heading4"/>
      </w:pPr>
      <w:r w:rsidRPr="00391A6B">
        <w:t>The Bank's interchange standards would be amended to set a lower cents-based interchange cap for SNDC transactions than for DNDC transactions.</w:t>
      </w:r>
    </w:p>
    <w:p w14:paraId="236C3573" w14:textId="21D78BE5" w:rsidR="00480992" w:rsidRDefault="00480992" w:rsidP="00480992">
      <w:pPr>
        <w:pStyle w:val="NormalIndent"/>
      </w:pPr>
      <w:r>
        <w:t>If the Bank is to</w:t>
      </w:r>
      <w:r w:rsidR="00AD39C5">
        <w:t xml:space="preserve"> continue to permit non-major bank card issuers to offer</w:t>
      </w:r>
      <w:r w:rsidR="00C03C83">
        <w:t xml:space="preserve"> </w:t>
      </w:r>
      <w:r w:rsidR="00AD39C5">
        <w:t>SNDC</w:t>
      </w:r>
      <w:r w:rsidR="008376F2">
        <w:t>s</w:t>
      </w:r>
      <w:r w:rsidR="00FE312F">
        <w:t>, then PCN supports setting a lower cents-based interchange cap for SNDC</w:t>
      </w:r>
      <w:r w:rsidR="008376F2">
        <w:t>s</w:t>
      </w:r>
      <w:r w:rsidR="00FE312F">
        <w:t xml:space="preserve"> to incentivi</w:t>
      </w:r>
      <w:r w:rsidR="00C13768">
        <w:t>s</w:t>
      </w:r>
      <w:r w:rsidR="00FE312F">
        <w:t xml:space="preserve">e continued </w:t>
      </w:r>
      <w:r w:rsidR="008376F2">
        <w:t>issuance of DNDCs.</w:t>
      </w:r>
    </w:p>
    <w:p w14:paraId="3028FD20" w14:textId="27328CB4" w:rsidR="00CC0F72" w:rsidRDefault="003A3330" w:rsidP="00CA3991">
      <w:pPr>
        <w:pStyle w:val="Heading4"/>
      </w:pPr>
      <w:r w:rsidRPr="003A3330">
        <w:t>The Bank would state an expectation that all acquirers and payment facilitators (which provide card acceptance services to merchants) will offer and promote LCR functionality to merchants in the device-present (in-person) environment.</w:t>
      </w:r>
    </w:p>
    <w:p w14:paraId="389BF4D1" w14:textId="5D3162E4" w:rsidR="00EB32B6" w:rsidRDefault="00043192" w:rsidP="00F841EF">
      <w:pPr>
        <w:pStyle w:val="NormalIndent"/>
      </w:pPr>
      <w:r>
        <w:t>All</w:t>
      </w:r>
      <w:r w:rsidR="00F841EF">
        <w:t xml:space="preserve"> acquirers and payment facilitators</w:t>
      </w:r>
      <w:r w:rsidR="008C5566">
        <w:t xml:space="preserve"> already</w:t>
      </w:r>
      <w:r w:rsidR="00F841EF">
        <w:t xml:space="preserve"> </w:t>
      </w:r>
      <w:r w:rsidR="00D47D69">
        <w:t>offer LCR functionality</w:t>
      </w:r>
      <w:r w:rsidR="00173FBF">
        <w:t xml:space="preserve"> to merchants in the device-present (in-person) environment</w:t>
      </w:r>
      <w:r w:rsidR="00D47D69">
        <w:t xml:space="preserve"> and information on how this can be enabled is typically made available on their websites.</w:t>
      </w:r>
    </w:p>
    <w:p w14:paraId="75F99D9C" w14:textId="0B0D5C09" w:rsidR="00EB32B6" w:rsidRDefault="00043192" w:rsidP="00F841EF">
      <w:pPr>
        <w:pStyle w:val="NormalIndent"/>
      </w:pPr>
      <w:r>
        <w:t xml:space="preserve">However, </w:t>
      </w:r>
      <w:r w:rsidR="008D242F">
        <w:t>PCN</w:t>
      </w:r>
      <w:r w:rsidR="00EB32B6">
        <w:t xml:space="preserve"> would like to raise the following observations:</w:t>
      </w:r>
    </w:p>
    <w:p w14:paraId="573B9CC3" w14:textId="0EF9BADD" w:rsidR="00DE1974" w:rsidRDefault="00F62C38" w:rsidP="00DE1974">
      <w:pPr>
        <w:pStyle w:val="NormalIndent"/>
        <w:numPr>
          <w:ilvl w:val="0"/>
          <w:numId w:val="16"/>
        </w:numPr>
      </w:pPr>
      <w:r>
        <w:t>PCN has</w:t>
      </w:r>
      <w:r w:rsidR="001562A1">
        <w:t xml:space="preserve"> </w:t>
      </w:r>
      <w:r w:rsidR="005D15F8">
        <w:t>supported</w:t>
      </w:r>
      <w:r w:rsidR="001562A1">
        <w:t xml:space="preserve"> </w:t>
      </w:r>
      <w:r w:rsidR="001943AA">
        <w:t xml:space="preserve">over </w:t>
      </w:r>
      <w:r w:rsidR="008A6734">
        <w:t>one hundred</w:t>
      </w:r>
      <w:r w:rsidR="008A6734" w:rsidRPr="00E17939">
        <w:t xml:space="preserve"> small, medium, and large businesses, industry associations, and not-for-profit </w:t>
      </w:r>
      <w:r w:rsidR="008A6734" w:rsidRPr="00E731EC">
        <w:t>organisations</w:t>
      </w:r>
      <w:r w:rsidR="005D15F8">
        <w:t xml:space="preserve"> </w:t>
      </w:r>
      <w:r w:rsidR="001943AA">
        <w:t>over the last 12 months</w:t>
      </w:r>
      <w:r w:rsidR="00BF4083">
        <w:t xml:space="preserve"> reduce their payments acceptance costs. L</w:t>
      </w:r>
      <w:r w:rsidR="001943AA">
        <w:t>ess than 7%</w:t>
      </w:r>
      <w:r w:rsidR="00BF4083">
        <w:t xml:space="preserve"> of these clients</w:t>
      </w:r>
      <w:r w:rsidR="001943AA">
        <w:t xml:space="preserve"> had enabled LCR</w:t>
      </w:r>
      <w:r w:rsidR="00367089">
        <w:t xml:space="preserve"> prior to </w:t>
      </w:r>
      <w:r w:rsidR="00DE1974">
        <w:t>PCN</w:t>
      </w:r>
      <w:r w:rsidR="006576E1">
        <w:t xml:space="preserve"> being engaged</w:t>
      </w:r>
      <w:r w:rsidR="001943AA">
        <w:t>.</w:t>
      </w:r>
      <w:r w:rsidR="00F66B96">
        <w:t xml:space="preserve"> Hence, while</w:t>
      </w:r>
      <w:r w:rsidR="00845E58">
        <w:t xml:space="preserve"> acquirers and payment facilitators provide</w:t>
      </w:r>
      <w:r w:rsidR="00F66B96">
        <w:t xml:space="preserve"> </w:t>
      </w:r>
      <w:r w:rsidR="00A67EE3">
        <w:t>LCR capability and information on how to enable</w:t>
      </w:r>
      <w:r w:rsidR="00A82DB4">
        <w:t xml:space="preserve"> it</w:t>
      </w:r>
      <w:r w:rsidR="00A67EE3">
        <w:t xml:space="preserve">, most merchants still have not </w:t>
      </w:r>
      <w:r w:rsidR="00B87B7F">
        <w:t>taken advantage of thi</w:t>
      </w:r>
      <w:r w:rsidR="009A6DB5">
        <w:t>s feature.</w:t>
      </w:r>
    </w:p>
    <w:p w14:paraId="5701D3EF" w14:textId="2FE33AA2" w:rsidR="0055010B" w:rsidRDefault="007F5860" w:rsidP="00DE1974">
      <w:pPr>
        <w:pStyle w:val="NormalIndent"/>
        <w:numPr>
          <w:ilvl w:val="0"/>
          <w:numId w:val="16"/>
        </w:numPr>
      </w:pPr>
      <w:r>
        <w:t xml:space="preserve">Requesting LCR be enabled can also lead to mixed results in some instances. </w:t>
      </w:r>
      <w:r w:rsidR="00805AE4">
        <w:t>During</w:t>
      </w:r>
      <w:r w:rsidR="003E7589">
        <w:t xml:space="preserve"> our project work over the last </w:t>
      </w:r>
      <w:r w:rsidR="00233242">
        <w:t>12 months</w:t>
      </w:r>
      <w:r w:rsidR="00CC087D">
        <w:t>,</w:t>
      </w:r>
      <w:r w:rsidR="00233242">
        <w:t xml:space="preserve"> we </w:t>
      </w:r>
      <w:r w:rsidR="00612B3C">
        <w:t xml:space="preserve">have </w:t>
      </w:r>
      <w:r w:rsidR="006B5EFF">
        <w:t>been informed of</w:t>
      </w:r>
      <w:r w:rsidR="00233242">
        <w:t xml:space="preserve"> </w:t>
      </w:r>
      <w:r w:rsidR="00ED4AAA">
        <w:t>several</w:t>
      </w:r>
      <w:r w:rsidR="00233242">
        <w:t xml:space="preserve"> instances where </w:t>
      </w:r>
      <w:r w:rsidR="005E0BC4">
        <w:t>retail and hospitality clients</w:t>
      </w:r>
      <w:r w:rsidR="00327DE0">
        <w:t xml:space="preserve"> ha</w:t>
      </w:r>
      <w:r w:rsidR="00CC087D">
        <w:t>d</w:t>
      </w:r>
      <w:r w:rsidR="00327DE0">
        <w:t xml:space="preserve"> requested</w:t>
      </w:r>
      <w:r w:rsidR="008A2BA9">
        <w:t xml:space="preserve"> LCR be implemented but </w:t>
      </w:r>
      <w:r w:rsidR="00246763">
        <w:t>were</w:t>
      </w:r>
      <w:r w:rsidR="008A2BA9">
        <w:t xml:space="preserve"> </w:t>
      </w:r>
      <w:r w:rsidR="00020323">
        <w:t>advi</w:t>
      </w:r>
      <w:r w:rsidR="0055010B">
        <w:t>s</w:t>
      </w:r>
      <w:r w:rsidR="00E51646">
        <w:t>e</w:t>
      </w:r>
      <w:r w:rsidR="00020323">
        <w:t>d</w:t>
      </w:r>
      <w:r w:rsidR="005E0BC4">
        <w:t xml:space="preserve"> by their inc</w:t>
      </w:r>
      <w:r w:rsidR="00876ECA">
        <w:t>umbent bank</w:t>
      </w:r>
      <w:r w:rsidR="00020323">
        <w:t xml:space="preserve"> that the savings would be minimal, or that total fees may increase</w:t>
      </w:r>
      <w:r w:rsidR="00006E07">
        <w:t>. Some examples of these have been outlined below</w:t>
      </w:r>
      <w:r w:rsidR="00020323">
        <w:t>:</w:t>
      </w:r>
    </w:p>
    <w:p w14:paraId="30B6718D" w14:textId="47818F63" w:rsidR="00DB13E1" w:rsidRDefault="0055010B" w:rsidP="0055010B">
      <w:pPr>
        <w:pStyle w:val="NormalIndent"/>
        <w:numPr>
          <w:ilvl w:val="1"/>
          <w:numId w:val="16"/>
        </w:numPr>
      </w:pPr>
      <w:r>
        <w:t>Merchant #1</w:t>
      </w:r>
      <w:r w:rsidR="0062612F">
        <w:t xml:space="preserve"> </w:t>
      </w:r>
      <w:r w:rsidR="00E51646">
        <w:t>(</w:t>
      </w:r>
      <w:r>
        <w:t xml:space="preserve">circa $1 million annual </w:t>
      </w:r>
      <w:r w:rsidR="00D24A51">
        <w:t>payments</w:t>
      </w:r>
      <w:r w:rsidR="00E51646">
        <w:t xml:space="preserve">) – </w:t>
      </w:r>
      <w:r w:rsidR="00D24A51">
        <w:t xml:space="preserve">advised by </w:t>
      </w:r>
      <w:r w:rsidR="003952BB">
        <w:t>the incumbent</w:t>
      </w:r>
      <w:r w:rsidR="00D24A51">
        <w:t xml:space="preserve"> </w:t>
      </w:r>
      <w:r w:rsidR="00ED165D">
        <w:t>bank</w:t>
      </w:r>
      <w:r w:rsidR="00D24A51">
        <w:t xml:space="preserve"> that implementing LCR would lead to a</w:t>
      </w:r>
      <w:r w:rsidR="001D17E5">
        <w:t>n</w:t>
      </w:r>
      <w:r w:rsidR="00D24A51">
        <w:t xml:space="preserve"> increase</w:t>
      </w:r>
      <w:r w:rsidR="001D17E5">
        <w:t xml:space="preserve"> in total fees</w:t>
      </w:r>
      <w:r w:rsidR="007977C7">
        <w:t>.</w:t>
      </w:r>
      <w:r w:rsidR="0062612F">
        <w:t xml:space="preserve"> PCN achieved a </w:t>
      </w:r>
      <w:r w:rsidR="00427A54">
        <w:t>fee saving</w:t>
      </w:r>
      <w:r w:rsidR="004C4B81">
        <w:t xml:space="preserve"> of over 30%</w:t>
      </w:r>
      <w:r w:rsidR="006848ED">
        <w:t xml:space="preserve"> by</w:t>
      </w:r>
      <w:r w:rsidR="00427A54">
        <w:t xml:space="preserve"> moving the client to a more </w:t>
      </w:r>
      <w:r w:rsidR="00DB13E1">
        <w:t>cost-effective</w:t>
      </w:r>
      <w:r w:rsidR="00427A54">
        <w:t xml:space="preserve"> pricing plan </w:t>
      </w:r>
      <w:r w:rsidR="00707ACD">
        <w:t>with</w:t>
      </w:r>
      <w:r w:rsidR="0049665D">
        <w:t xml:space="preserve"> LCR </w:t>
      </w:r>
      <w:r w:rsidR="00707ACD">
        <w:t xml:space="preserve">enabled </w:t>
      </w:r>
      <w:r w:rsidR="00F55500">
        <w:t xml:space="preserve">using </w:t>
      </w:r>
      <w:r w:rsidR="00427A54">
        <w:t xml:space="preserve">an alternate </w:t>
      </w:r>
      <w:r w:rsidR="000D2DE3">
        <w:t>bank</w:t>
      </w:r>
      <w:r w:rsidR="00DB13E1">
        <w:t>.</w:t>
      </w:r>
    </w:p>
    <w:p w14:paraId="14AEA60B" w14:textId="158F351B" w:rsidR="002273FF" w:rsidRDefault="002273FF" w:rsidP="002273FF">
      <w:pPr>
        <w:pStyle w:val="NormalIndent"/>
        <w:numPr>
          <w:ilvl w:val="1"/>
          <w:numId w:val="16"/>
        </w:numPr>
      </w:pPr>
      <w:r w:rsidRPr="00FC2CE3">
        <w:t>Merchant #</w:t>
      </w:r>
      <w:r w:rsidR="006A602C">
        <w:t>2</w:t>
      </w:r>
      <w:r w:rsidRPr="00FC2CE3">
        <w:t xml:space="preserve"> (</w:t>
      </w:r>
      <w:r w:rsidR="00C5464E">
        <w:t>circa</w:t>
      </w:r>
      <w:r w:rsidRPr="00FC2CE3">
        <w:t xml:space="preserve"> $1</w:t>
      </w:r>
      <w:r>
        <w:t>0</w:t>
      </w:r>
      <w:r w:rsidRPr="00FC2CE3">
        <w:t>0 million annual payments) – received an LCR pricing restructure proposal from the incumbent bank that would achieve a fee saving</w:t>
      </w:r>
      <w:r w:rsidR="000C45FA">
        <w:t xml:space="preserve"> under 1%</w:t>
      </w:r>
      <w:r w:rsidRPr="00FC2CE3">
        <w:t xml:space="preserve">. </w:t>
      </w:r>
      <w:r w:rsidRPr="000E0AFE">
        <w:t>PCN ran a competitive tender process (</w:t>
      </w:r>
      <w:r w:rsidR="00D20B09">
        <w:t xml:space="preserve">with </w:t>
      </w:r>
      <w:r w:rsidR="00D20B09" w:rsidRPr="00DD7AFA">
        <w:t>LCR</w:t>
      </w:r>
      <w:r w:rsidR="00D20B09">
        <w:t xml:space="preserve"> enabled)</w:t>
      </w:r>
      <w:r w:rsidR="00BC55B2">
        <w:t xml:space="preserve"> and accessed</w:t>
      </w:r>
      <w:r w:rsidRPr="000E0AFE">
        <w:t xml:space="preserve"> </w:t>
      </w:r>
      <w:r w:rsidR="00202E1A">
        <w:t>lower</w:t>
      </w:r>
      <w:r w:rsidRPr="000E0AFE">
        <w:t xml:space="preserve"> strategic merchant rates resulting in improved pricing</w:t>
      </w:r>
      <w:r w:rsidR="00026AFA">
        <w:t xml:space="preserve"> with an alternate payment facilitator</w:t>
      </w:r>
      <w:r w:rsidRPr="000E0AFE">
        <w:t xml:space="preserve"> that achieved a fee saving of over 30%.</w:t>
      </w:r>
    </w:p>
    <w:p w14:paraId="7697C94B" w14:textId="0D1E107F" w:rsidR="00F618FB" w:rsidRDefault="00817C71" w:rsidP="0055010B">
      <w:pPr>
        <w:pStyle w:val="NormalIndent"/>
        <w:numPr>
          <w:ilvl w:val="1"/>
          <w:numId w:val="16"/>
        </w:numPr>
      </w:pPr>
      <w:r>
        <w:t>Merchant #</w:t>
      </w:r>
      <w:r w:rsidR="006A602C">
        <w:t>3</w:t>
      </w:r>
      <w:r>
        <w:t xml:space="preserve"> (</w:t>
      </w:r>
      <w:r w:rsidR="006A602C">
        <w:t>circa</w:t>
      </w:r>
      <w:r>
        <w:t xml:space="preserve"> $</w:t>
      </w:r>
      <w:r w:rsidR="00C5464E">
        <w:t>100</w:t>
      </w:r>
      <w:r>
        <w:t xml:space="preserve"> million annual payments) </w:t>
      </w:r>
      <w:r w:rsidR="005A76C7">
        <w:t>–</w:t>
      </w:r>
      <w:r>
        <w:t xml:space="preserve"> </w:t>
      </w:r>
      <w:r w:rsidR="005A76C7">
        <w:t>received an LCR pricing restructure proposal</w:t>
      </w:r>
      <w:r w:rsidR="000D2DE3">
        <w:t xml:space="preserve"> from </w:t>
      </w:r>
      <w:r w:rsidR="00ED3E59">
        <w:t>the incumbent</w:t>
      </w:r>
      <w:r w:rsidR="000D2DE3">
        <w:t xml:space="preserve"> bank</w:t>
      </w:r>
      <w:r w:rsidR="005A76C7">
        <w:t xml:space="preserve"> that would achieve a </w:t>
      </w:r>
      <w:r w:rsidR="00C17787">
        <w:t>10% fee saving</w:t>
      </w:r>
      <w:r w:rsidR="00116738">
        <w:t>.</w:t>
      </w:r>
      <w:r w:rsidR="00C17787">
        <w:t xml:space="preserve"> PCN </w:t>
      </w:r>
      <w:r w:rsidR="00DD7AFA">
        <w:t>ran</w:t>
      </w:r>
      <w:r w:rsidR="00DD7AFA" w:rsidRPr="00DD7AFA">
        <w:t xml:space="preserve"> a competitive tender process (</w:t>
      </w:r>
      <w:r w:rsidR="00D20B09">
        <w:t xml:space="preserve">with </w:t>
      </w:r>
      <w:r w:rsidR="00D20B09" w:rsidRPr="00DD7AFA">
        <w:t>LCR</w:t>
      </w:r>
      <w:r w:rsidR="00D20B09">
        <w:t xml:space="preserve"> enabled</w:t>
      </w:r>
      <w:r w:rsidR="00DD7AFA" w:rsidRPr="00DD7AFA">
        <w:t>)</w:t>
      </w:r>
      <w:r w:rsidR="00E6116F">
        <w:t xml:space="preserve"> and</w:t>
      </w:r>
      <w:r w:rsidR="00477093">
        <w:t xml:space="preserve"> </w:t>
      </w:r>
      <w:r w:rsidR="00202E1A">
        <w:t>accessed lower</w:t>
      </w:r>
      <w:r w:rsidR="00DD7AFA" w:rsidRPr="00DD7AFA">
        <w:t xml:space="preserve"> strategic merchant rates</w:t>
      </w:r>
      <w:r w:rsidR="00E6116F">
        <w:t xml:space="preserve"> </w:t>
      </w:r>
      <w:r w:rsidR="007B4E27">
        <w:t xml:space="preserve">resulting in improved pricing </w:t>
      </w:r>
      <w:r w:rsidR="00FF0F74">
        <w:t xml:space="preserve">with an alternate payment facilitator </w:t>
      </w:r>
      <w:r w:rsidR="000E0AFE">
        <w:t>that</w:t>
      </w:r>
      <w:r w:rsidR="00DD7AFA" w:rsidRPr="00DD7AFA">
        <w:t xml:space="preserve"> achieve</w:t>
      </w:r>
      <w:r w:rsidR="000E0AFE">
        <w:t>d</w:t>
      </w:r>
      <w:r w:rsidR="00DD7AFA" w:rsidRPr="00DD7AFA">
        <w:t xml:space="preserve"> a </w:t>
      </w:r>
      <w:r w:rsidR="00FC2CE3">
        <w:t>fee</w:t>
      </w:r>
      <w:r w:rsidR="00DD7AFA" w:rsidRPr="00DD7AFA">
        <w:t xml:space="preserve"> saving of over 30%.</w:t>
      </w:r>
    </w:p>
    <w:p w14:paraId="02B2CF9D" w14:textId="65873CF3" w:rsidR="00AB5F3D" w:rsidRDefault="00AB5F3D" w:rsidP="0055010B">
      <w:pPr>
        <w:pStyle w:val="NormalIndent"/>
        <w:numPr>
          <w:ilvl w:val="1"/>
          <w:numId w:val="16"/>
        </w:numPr>
      </w:pPr>
      <w:r>
        <w:t>Merchant #</w:t>
      </w:r>
      <w:r w:rsidR="006A602C">
        <w:t>4</w:t>
      </w:r>
      <w:r>
        <w:t xml:space="preserve"> (greater than $500 million annual payments) – </w:t>
      </w:r>
      <w:r w:rsidR="0076188E">
        <w:t xml:space="preserve">had already </w:t>
      </w:r>
      <w:r w:rsidR="00655749">
        <w:t>enabled</w:t>
      </w:r>
      <w:r>
        <w:t xml:space="preserve"> LCR</w:t>
      </w:r>
      <w:r w:rsidR="00FA2CF3">
        <w:t xml:space="preserve"> with</w:t>
      </w:r>
      <w:r>
        <w:t xml:space="preserve"> the incumbent bank</w:t>
      </w:r>
      <w:r w:rsidR="00FA2CF3">
        <w:t>.</w:t>
      </w:r>
      <w:r>
        <w:t xml:space="preserve"> PCN ran</w:t>
      </w:r>
      <w:r w:rsidRPr="00DD7AFA">
        <w:t xml:space="preserve"> a competitive tender process (</w:t>
      </w:r>
      <w:r w:rsidR="00FA2CF3">
        <w:t xml:space="preserve">with </w:t>
      </w:r>
      <w:r w:rsidRPr="00DD7AFA">
        <w:t>LCR</w:t>
      </w:r>
      <w:r w:rsidR="00FA2CF3">
        <w:t xml:space="preserve"> enabled</w:t>
      </w:r>
      <w:r w:rsidRPr="00DD7AFA">
        <w:t>)</w:t>
      </w:r>
      <w:r>
        <w:t xml:space="preserve"> and negotiated</w:t>
      </w:r>
      <w:r w:rsidRPr="00DD7AFA">
        <w:t xml:space="preserve"> </w:t>
      </w:r>
      <w:r w:rsidR="005F223C">
        <w:t>lower</w:t>
      </w:r>
      <w:r w:rsidRPr="00DD7AFA">
        <w:t xml:space="preserve"> strategic merchant rates</w:t>
      </w:r>
      <w:r>
        <w:t xml:space="preserve"> resulting in improved pricing </w:t>
      </w:r>
      <w:r w:rsidR="00FF0F74">
        <w:t xml:space="preserve">with an alternate payment facilitator </w:t>
      </w:r>
      <w:r>
        <w:t>that</w:t>
      </w:r>
      <w:r w:rsidRPr="00DD7AFA">
        <w:t xml:space="preserve"> achieve</w:t>
      </w:r>
      <w:r>
        <w:t>d</w:t>
      </w:r>
      <w:r w:rsidRPr="00DD7AFA">
        <w:t xml:space="preserve"> a</w:t>
      </w:r>
      <w:r w:rsidR="000D6EF8">
        <w:t xml:space="preserve"> further</w:t>
      </w:r>
      <w:r w:rsidRPr="00DD7AFA">
        <w:t xml:space="preserve"> </w:t>
      </w:r>
      <w:r>
        <w:t>fee</w:t>
      </w:r>
      <w:r w:rsidRPr="00DD7AFA">
        <w:t xml:space="preserve"> saving of </w:t>
      </w:r>
      <w:r w:rsidR="00AC0CFC">
        <w:t>circa 20</w:t>
      </w:r>
      <w:r w:rsidRPr="00DD7AFA">
        <w:t>%.</w:t>
      </w:r>
    </w:p>
    <w:p w14:paraId="594C9D19" w14:textId="4FB5B36A" w:rsidR="00F841EF" w:rsidRDefault="00DE1974" w:rsidP="006B7220">
      <w:pPr>
        <w:pStyle w:val="NormalIndent"/>
        <w:numPr>
          <w:ilvl w:val="0"/>
          <w:numId w:val="16"/>
        </w:numPr>
      </w:pPr>
      <w:r>
        <w:t>The simple pricing plans offered</w:t>
      </w:r>
      <w:r w:rsidR="0079107B">
        <w:t xml:space="preserve"> to micro merchants</w:t>
      </w:r>
      <w:r>
        <w:t xml:space="preserve"> </w:t>
      </w:r>
      <w:r w:rsidR="00911DED">
        <w:t xml:space="preserve">by many banks and payment facilitators </w:t>
      </w:r>
      <w:r w:rsidR="00C40664">
        <w:t xml:space="preserve">(e.g. </w:t>
      </w:r>
      <w:r>
        <w:t xml:space="preserve">by </w:t>
      </w:r>
      <w:r w:rsidR="008677D0">
        <w:t>Commonwealth Bank</w:t>
      </w:r>
      <w:r w:rsidR="000B2AB4">
        <w:rPr>
          <w:rStyle w:val="FootnoteReference"/>
        </w:rPr>
        <w:footnoteReference w:id="2"/>
      </w:r>
      <w:r w:rsidR="008677D0">
        <w:t>,</w:t>
      </w:r>
      <w:r w:rsidR="00983E29">
        <w:t xml:space="preserve"> </w:t>
      </w:r>
      <w:r w:rsidR="008677D0">
        <w:t>Westpac</w:t>
      </w:r>
      <w:r w:rsidR="00921102">
        <w:rPr>
          <w:rStyle w:val="FootnoteReference"/>
        </w:rPr>
        <w:footnoteReference w:id="3"/>
      </w:r>
      <w:r w:rsidR="00141525">
        <w:t xml:space="preserve"> and Square</w:t>
      </w:r>
      <w:r w:rsidR="008711E7">
        <w:rPr>
          <w:rStyle w:val="FootnoteReference"/>
        </w:rPr>
        <w:footnoteReference w:id="4"/>
      </w:r>
      <w:r w:rsidR="00C40664">
        <w:t>)</w:t>
      </w:r>
      <w:r w:rsidR="00141525">
        <w:t>, offer a single flat monthly fee</w:t>
      </w:r>
      <w:r w:rsidR="000F50D7">
        <w:t xml:space="preserve"> or a single flat </w:t>
      </w:r>
      <w:r w:rsidR="00B42611">
        <w:t>ad valorem fee for Visa, Mastercard and eftpos transactions</w:t>
      </w:r>
      <w:r w:rsidR="00845123">
        <w:t>. Given there is no differentiation in pricing between card schemes and card types (credit and debit)</w:t>
      </w:r>
      <w:r w:rsidR="009F2F0E">
        <w:t>, these plans are effectively ineligible for LCR</w:t>
      </w:r>
      <w:r w:rsidR="001E77AD">
        <w:t xml:space="preserve"> </w:t>
      </w:r>
      <w:r w:rsidR="004B5A6C">
        <w:t>and/or do not pass on the benefits of LCR to merchants</w:t>
      </w:r>
      <w:r w:rsidR="009F2F0E">
        <w:t>.</w:t>
      </w:r>
      <w:r w:rsidR="00F432C7">
        <w:t xml:space="preserve"> In contrast, </w:t>
      </w:r>
      <w:r w:rsidR="001E77AD">
        <w:t>NAB</w:t>
      </w:r>
      <w:r w:rsidR="001E77AD">
        <w:rPr>
          <w:rStyle w:val="FootnoteReference"/>
        </w:rPr>
        <w:footnoteReference w:id="5"/>
      </w:r>
      <w:r w:rsidR="001E77AD">
        <w:t xml:space="preserve"> offers a simple pricing plan with LCR enabled as the default setting. While </w:t>
      </w:r>
      <w:r w:rsidR="004B5A6C">
        <w:t xml:space="preserve">under this pricing plan </w:t>
      </w:r>
      <w:r w:rsidR="001E77AD">
        <w:t xml:space="preserve">NAB also offers a single flat ad valorem fee for Visa, Mastercard and eftpos transactions, </w:t>
      </w:r>
      <w:r w:rsidR="004B5A6C">
        <w:t>the benefits of</w:t>
      </w:r>
      <w:r w:rsidR="001E77AD">
        <w:t xml:space="preserve"> LCR </w:t>
      </w:r>
      <w:r w:rsidR="004B5A6C">
        <w:t>appear to have flowed through to the pricing as</w:t>
      </w:r>
      <w:r w:rsidR="001E77AD">
        <w:t xml:space="preserve"> the rate </w:t>
      </w:r>
      <w:r w:rsidR="004B5A6C">
        <w:t xml:space="preserve">is </w:t>
      </w:r>
      <w:r w:rsidR="001E77AD">
        <w:t>considerably lower than that offered by its competitors with comparable plans without LCR.</w:t>
      </w:r>
    </w:p>
    <w:p w14:paraId="32DA7E3B" w14:textId="236D5E8B" w:rsidR="00646F9B" w:rsidRDefault="00646F9B" w:rsidP="00646F9B">
      <w:pPr>
        <w:pStyle w:val="NormalIndent"/>
      </w:pPr>
      <w:r>
        <w:t xml:space="preserve">PCN supports </w:t>
      </w:r>
      <w:r w:rsidR="00864605">
        <w:t>compelling all acquirers and payment facilitators to offer micro and small businesses a</w:t>
      </w:r>
      <w:r w:rsidR="005C689D">
        <w:t xml:space="preserve"> pricing plan</w:t>
      </w:r>
      <w:r w:rsidR="001E77AD">
        <w:t xml:space="preserve"> option</w:t>
      </w:r>
      <w:r w:rsidR="005C689D">
        <w:t xml:space="preserve"> where LCR has been automatically enabled</w:t>
      </w:r>
      <w:r w:rsidR="00AB0C83">
        <w:t>.</w:t>
      </w:r>
    </w:p>
    <w:p w14:paraId="0A943B1C" w14:textId="34D284D2" w:rsidR="00F72BD1" w:rsidRDefault="00181326" w:rsidP="00181326">
      <w:pPr>
        <w:pStyle w:val="Heading4"/>
      </w:pPr>
      <w:r w:rsidRPr="00181326">
        <w:t>The Bank would state an expectation that the industry will follow a set of principles regarding the implementation of LCR in the device-not-present (online) environment.</w:t>
      </w:r>
    </w:p>
    <w:p w14:paraId="0B3E29F5" w14:textId="23A30F28" w:rsidR="00181326" w:rsidRDefault="00181326" w:rsidP="00181326">
      <w:pPr>
        <w:pStyle w:val="NormalIndent"/>
      </w:pPr>
      <w:r>
        <w:t>PCN supports the Bank setting a</w:t>
      </w:r>
      <w:r w:rsidR="00005EEC">
        <w:t xml:space="preserve"> </w:t>
      </w:r>
      <w:r w:rsidR="000408EE">
        <w:t>12-month</w:t>
      </w:r>
      <w:r w:rsidR="00B45896">
        <w:t xml:space="preserve"> timeframe for the industry to work towards</w:t>
      </w:r>
      <w:r w:rsidR="00A665A3">
        <w:t xml:space="preserve"> the implementation of LCR in the device-not-present (online) environment.</w:t>
      </w:r>
    </w:p>
    <w:p w14:paraId="6BC4D17E" w14:textId="369C41F6" w:rsidR="002F60B1" w:rsidRDefault="002F60B1" w:rsidP="002F60B1">
      <w:pPr>
        <w:pStyle w:val="Heading4"/>
      </w:pPr>
      <w:r w:rsidRPr="002F60B1">
        <w:t>The Bank would explicitly prohibit schemes from engaging in ‘tying conduct’ involving their debit and credit card products.</w:t>
      </w:r>
    </w:p>
    <w:p w14:paraId="239B5C3A" w14:textId="66F24C53" w:rsidR="002F60B1" w:rsidRDefault="002F60B1" w:rsidP="002F60B1">
      <w:pPr>
        <w:pStyle w:val="NormalIndent"/>
      </w:pPr>
      <w:r>
        <w:t>PCN supports the explici</w:t>
      </w:r>
      <w:r w:rsidR="00B34F03">
        <w:t xml:space="preserve">t prohibition of schemes engaging in ‘tying conduct’ involving their debit and credit card products as this </w:t>
      </w:r>
      <w:r w:rsidR="00257432">
        <w:t xml:space="preserve">ensures a level playing field </w:t>
      </w:r>
      <w:r w:rsidR="005932EF">
        <w:t xml:space="preserve">between eftpos, Visa and Mastercard when negotiating </w:t>
      </w:r>
      <w:r w:rsidR="00F4310B">
        <w:t xml:space="preserve">debit card </w:t>
      </w:r>
      <w:r w:rsidR="005932EF">
        <w:t>strategic merchant interchange rates.</w:t>
      </w:r>
    </w:p>
    <w:p w14:paraId="21AEF260" w14:textId="77777777" w:rsidR="00F578E7" w:rsidRDefault="00F578E7">
      <w:pPr>
        <w:spacing w:before="0"/>
        <w:rPr>
          <w:rFonts w:eastAsiaTheme="majorEastAsia" w:cstheme="majorBidi"/>
          <w:b/>
          <w:bCs/>
          <w:i/>
          <w:color w:val="4F7AB5" w:themeColor="accent4"/>
          <w:sz w:val="24"/>
        </w:rPr>
      </w:pPr>
      <w:r>
        <w:br w:type="page"/>
      </w:r>
    </w:p>
    <w:p w14:paraId="21CEC0C6" w14:textId="0471ED72" w:rsidR="00137C77" w:rsidRDefault="00137C77" w:rsidP="00137C77">
      <w:pPr>
        <w:pStyle w:val="Heading3"/>
      </w:pPr>
      <w:r>
        <w:t>Interchange Fees</w:t>
      </w:r>
    </w:p>
    <w:p w14:paraId="333B36F9" w14:textId="77777777" w:rsidR="002058DE" w:rsidRDefault="002058DE" w:rsidP="002058DE">
      <w:r>
        <w:t>PCN would like to raise the following observations in relation to interchange fees in terms of merchant services pricing structures:</w:t>
      </w:r>
    </w:p>
    <w:p w14:paraId="01B8CBBF" w14:textId="77777777" w:rsidR="002058DE" w:rsidRDefault="002058DE" w:rsidP="002058DE">
      <w:pPr>
        <w:pStyle w:val="ListBullet2"/>
      </w:pPr>
      <w:r>
        <w:t>Interchange plus (interchange+) pricing structures are often offered to medium to large merchants. Under these pricing structures the acquirer or payment facilitator states an ad valorem merchant service fee for Visa and Mastercard transactions that covers both the acquirer margin and scheme fees. This is added to the interchange fee (based on the card type) to calculate the total merchant service fee. However, if a merchant is on a blended pricing structure the card mix (by interchange category) is not stated on the merchant statement.</w:t>
      </w:r>
    </w:p>
    <w:p w14:paraId="296D1755" w14:textId="00540DF6" w:rsidR="002058DE" w:rsidRDefault="002058DE" w:rsidP="002058DE">
      <w:pPr>
        <w:pStyle w:val="ListBullet2"/>
      </w:pPr>
      <w:r>
        <w:t>In theory, interchange+ should be more cost effective than blended pricing structures as acquirers can reduce any risk buffers built into the merchant service fee margin to allow for potential changes in the card mix over time.</w:t>
      </w:r>
      <w:r w:rsidR="00BD3388">
        <w:t xml:space="preserve"> Hence, it is advantageous for merchants on blended pricing structures to </w:t>
      </w:r>
      <w:r w:rsidR="00085EF4">
        <w:t>also consider</w:t>
      </w:r>
      <w:r w:rsidR="00722A6D">
        <w:t xml:space="preserve"> interchange</w:t>
      </w:r>
      <w:r w:rsidR="0002047A">
        <w:t>+ pricing proposals.</w:t>
      </w:r>
      <w:r w:rsidR="00BD3388">
        <w:t xml:space="preserve"> </w:t>
      </w:r>
    </w:p>
    <w:p w14:paraId="5924F384" w14:textId="7EA1B52D" w:rsidR="002058DE" w:rsidRDefault="00540384" w:rsidP="002058DE">
      <w:pPr>
        <w:pStyle w:val="ListBullet2"/>
      </w:pPr>
      <w:r>
        <w:t>However, b</w:t>
      </w:r>
      <w:r w:rsidR="002058DE">
        <w:t xml:space="preserve">anks and payment facilitators will not readily provide merchants with card mix data by interchange category if the merchant is on a blended rate pricing structure, making it difficult for merchants to obtain </w:t>
      </w:r>
      <w:r w:rsidR="00713338">
        <w:t xml:space="preserve">and compare </w:t>
      </w:r>
      <w:r w:rsidR="002058DE">
        <w:t>pricing proposals based on interchange+ pricing from alternate banks or payment facilitators.</w:t>
      </w:r>
    </w:p>
    <w:p w14:paraId="799F0569" w14:textId="1CD915AB" w:rsidR="002058DE" w:rsidRDefault="002058DE" w:rsidP="002058DE">
      <w:r>
        <w:t xml:space="preserve">PCN supports the Bank compelling banks and payment facilitators to make 12 months card mix data readily available to merchants </w:t>
      </w:r>
      <w:r w:rsidR="00294120">
        <w:t xml:space="preserve">at no cost </w:t>
      </w:r>
      <w:r>
        <w:t>should they request it. A time frame of a maximum of one request every six months could be set to make this manageable.</w:t>
      </w:r>
    </w:p>
    <w:p w14:paraId="0FB71FA9" w14:textId="5DD51FFD" w:rsidR="00137C77" w:rsidRDefault="00CA3AC8" w:rsidP="000748E8">
      <w:pPr>
        <w:pStyle w:val="Heading4"/>
      </w:pPr>
      <w:r>
        <w:t xml:space="preserve">The </w:t>
      </w:r>
      <w:r w:rsidR="00143B5E">
        <w:t>Bank</w:t>
      </w:r>
      <w:r w:rsidRPr="00CA3AC8">
        <w:t xml:space="preserve"> is proposing to reduce the cents-based debit interchange cap from 15 cents to 10 cents for DNDCs (and all prepaid cards) and 6 cents for SNDCs</w:t>
      </w:r>
      <w:r>
        <w:t>.</w:t>
      </w:r>
    </w:p>
    <w:p w14:paraId="142CDBDE" w14:textId="64426DD9" w:rsidR="00CA3AC8" w:rsidRPr="00CA3AC8" w:rsidRDefault="00CA3AC8" w:rsidP="00CA3AC8">
      <w:pPr>
        <w:pStyle w:val="NormalIndent"/>
      </w:pPr>
      <w:r>
        <w:t xml:space="preserve">PCN supports this </w:t>
      </w:r>
      <w:r w:rsidR="00C136C0">
        <w:t xml:space="preserve">proposal as it will lower the underlying cost </w:t>
      </w:r>
      <w:r w:rsidR="007C0571">
        <w:t>paid by smaller merchants that do not have access to strategic merchant rates.</w:t>
      </w:r>
    </w:p>
    <w:p w14:paraId="442FC6E5" w14:textId="5439283E" w:rsidR="005932EF" w:rsidRDefault="000D5B6B" w:rsidP="000D5B6B">
      <w:pPr>
        <w:pStyle w:val="Heading4"/>
      </w:pPr>
      <w:r w:rsidRPr="000D5B6B">
        <w:t xml:space="preserve">The </w:t>
      </w:r>
      <w:r>
        <w:t xml:space="preserve">Bank </w:t>
      </w:r>
      <w:r w:rsidRPr="000D5B6B">
        <w:t>is proposing to require schemes to publish interchange fees on transactions on foreign-issued cards on their websites</w:t>
      </w:r>
      <w:r>
        <w:t>.</w:t>
      </w:r>
    </w:p>
    <w:p w14:paraId="78770AF9" w14:textId="15199419" w:rsidR="000D5B6B" w:rsidRDefault="000D5B6B" w:rsidP="000D5B6B">
      <w:pPr>
        <w:pStyle w:val="NormalIndent"/>
      </w:pPr>
      <w:r>
        <w:t xml:space="preserve">PCN supports further transparency of </w:t>
      </w:r>
      <w:r w:rsidR="0032453B">
        <w:t>interchange fees, including foreign-issued cards.</w:t>
      </w:r>
    </w:p>
    <w:p w14:paraId="584DA74C" w14:textId="07EBF856" w:rsidR="006A4F3A" w:rsidRDefault="00F16527" w:rsidP="006A4F3A">
      <w:pPr>
        <w:pStyle w:val="Heading3"/>
      </w:pPr>
      <w:r>
        <w:t>Scheme</w:t>
      </w:r>
      <w:r w:rsidR="006A4F3A">
        <w:t xml:space="preserve"> Fees</w:t>
      </w:r>
    </w:p>
    <w:p w14:paraId="2B030A19" w14:textId="6843E0B3" w:rsidR="0032453B" w:rsidRDefault="00143B5E" w:rsidP="00143B5E">
      <w:pPr>
        <w:pStyle w:val="Heading4"/>
      </w:pPr>
      <w:r>
        <w:t>Schemes would be required to provide the Bank with access to their scheme fee schedules and all scheme rules, and to notify the Bank promptly of any changes to these. Schemes would also be required to provide quarterly data on scheme fee revenue and rebates to the Bank.</w:t>
      </w:r>
      <w:r w:rsidR="00170FFD">
        <w:t xml:space="preserve"> </w:t>
      </w:r>
      <w:r w:rsidR="00170FFD" w:rsidRPr="00170FFD">
        <w:t>The Bank would consider publishing some of the aggregate data, to provide stakeholders with greater visibility over the average levels and growth rates of these fees across schemes. Larger issuers and acquirers would also be required to provide annual data on scheme fee payments to act as a cross-check on the data reported by the schemes.</w:t>
      </w:r>
    </w:p>
    <w:p w14:paraId="0F101496" w14:textId="72720887" w:rsidR="00170FFD" w:rsidRDefault="001D56AB" w:rsidP="00170FFD">
      <w:pPr>
        <w:pStyle w:val="NormalIndent"/>
      </w:pPr>
      <w:r>
        <w:t xml:space="preserve">Some banks and payment facilitators offer interchange plus </w:t>
      </w:r>
      <w:proofErr w:type="spellStart"/>
      <w:r>
        <w:t>plus</w:t>
      </w:r>
      <w:proofErr w:type="spellEnd"/>
      <w:r w:rsidR="004A2C5B">
        <w:t xml:space="preserve"> (interchange++)</w:t>
      </w:r>
      <w:r>
        <w:t xml:space="preserve"> pricing</w:t>
      </w:r>
      <w:r w:rsidR="0062635F">
        <w:t xml:space="preserve"> structures. </w:t>
      </w:r>
      <w:r w:rsidR="0062635F" w:rsidRPr="0062635F">
        <w:t xml:space="preserve">Under these pricing structures the acquirer or payment facilitator states an ad valorem merchant service fee for Visa and Mastercard transactions that covers the acquirer margin. This is added to the interchange fee (based on the card type) </w:t>
      </w:r>
      <w:r w:rsidR="00B60235">
        <w:t xml:space="preserve">and scheme fees </w:t>
      </w:r>
      <w:r w:rsidR="0062635F" w:rsidRPr="0062635F">
        <w:t xml:space="preserve">to calculate the total merchant service fee. However, </w:t>
      </w:r>
      <w:r w:rsidR="00B60235">
        <w:t>as the scheme fees are not publicly</w:t>
      </w:r>
      <w:r w:rsidR="00685C8E">
        <w:t xml:space="preserve"> disclosed and</w:t>
      </w:r>
      <w:r w:rsidR="00B60235">
        <w:t xml:space="preserve"> available</w:t>
      </w:r>
      <w:r w:rsidR="007A3267">
        <w:t xml:space="preserve"> to merchants, this makes it impossible for merchants to directly compare such pricing to interchange plus</w:t>
      </w:r>
      <w:r w:rsidR="000347AD">
        <w:t xml:space="preserve"> pricing</w:t>
      </w:r>
      <w:r w:rsidR="007A3267">
        <w:t xml:space="preserve"> or blended pricing</w:t>
      </w:r>
      <w:r w:rsidR="0062635F" w:rsidRPr="0062635F">
        <w:t>.</w:t>
      </w:r>
    </w:p>
    <w:p w14:paraId="2FA3A668" w14:textId="11D260AC" w:rsidR="003C23C9" w:rsidRPr="00170FFD" w:rsidRDefault="003C23C9" w:rsidP="00170FFD">
      <w:pPr>
        <w:pStyle w:val="NormalIndent"/>
      </w:pPr>
      <w:r>
        <w:t xml:space="preserve">PCN supports </w:t>
      </w:r>
      <w:r w:rsidR="00BE3E9C">
        <w:t>the Bank publishing</w:t>
      </w:r>
      <w:r>
        <w:t xml:space="preserve"> average scheme fee</w:t>
      </w:r>
      <w:r w:rsidR="00CC56C5">
        <w:t xml:space="preserve"> data</w:t>
      </w:r>
      <w:r>
        <w:t xml:space="preserve"> by card scheme and card type (credit and debit)</w:t>
      </w:r>
      <w:r w:rsidR="00460F7C">
        <w:t xml:space="preserve"> on an annual basis.</w:t>
      </w:r>
    </w:p>
    <w:p w14:paraId="5879B736" w14:textId="30300A15" w:rsidR="00635C44" w:rsidRDefault="00635C44" w:rsidP="00635C44">
      <w:pPr>
        <w:pStyle w:val="Heading3"/>
      </w:pPr>
      <w:r>
        <w:t>Surcharging</w:t>
      </w:r>
    </w:p>
    <w:p w14:paraId="3DFF9DDF" w14:textId="40A86696" w:rsidR="00635C44" w:rsidRDefault="00BE7F31" w:rsidP="00BE7F31">
      <w:pPr>
        <w:pStyle w:val="Heading4"/>
      </w:pPr>
      <w:r w:rsidRPr="00BE7F31">
        <w:t>The Board is not proposing to require any ‘buy now, pay later’ (BNPL) providers to remove their no-surcharge rules at this time but considers that a policy case could emerge in the future and will keep this issue under review.</w:t>
      </w:r>
    </w:p>
    <w:p w14:paraId="177456DF" w14:textId="67228A45" w:rsidR="00ED5C07" w:rsidRDefault="002D4C58" w:rsidP="00ED5C07">
      <w:pPr>
        <w:pStyle w:val="NormalIndent"/>
      </w:pPr>
      <w:r>
        <w:t>PCN’s view is that</w:t>
      </w:r>
      <w:r w:rsidR="00DB1202">
        <w:t xml:space="preserve"> BNPL solutions are </w:t>
      </w:r>
      <w:r w:rsidR="008F004D">
        <w:t>regarded</w:t>
      </w:r>
      <w:r w:rsidR="00DB1202">
        <w:t xml:space="preserve"> by merchants as alternative payment methods</w:t>
      </w:r>
      <w:r w:rsidR="00E82D2B">
        <w:t xml:space="preserve"> akin to accepting credit card payment</w:t>
      </w:r>
      <w:r w:rsidR="00565FED">
        <w:t xml:space="preserve">s </w:t>
      </w:r>
      <w:r w:rsidR="00E82D2B">
        <w:t>as</w:t>
      </w:r>
      <w:r w:rsidR="004B436E">
        <w:t xml:space="preserve"> </w:t>
      </w:r>
      <w:r w:rsidR="00205C44">
        <w:t>many attributes are similar - merchants</w:t>
      </w:r>
      <w:r w:rsidR="009A3078">
        <w:t xml:space="preserve"> get paid within days of the purchases being made, and the BNPL provider t</w:t>
      </w:r>
      <w:r w:rsidR="009A3078" w:rsidRPr="009A3078">
        <w:t>ake</w:t>
      </w:r>
      <w:r w:rsidR="009A3078">
        <w:t>s</w:t>
      </w:r>
      <w:r w:rsidR="009A3078" w:rsidRPr="009A3078">
        <w:t xml:space="preserve"> on the risk, including fraud and customer late payments.</w:t>
      </w:r>
      <w:r w:rsidR="00E82D2B">
        <w:t xml:space="preserve"> </w:t>
      </w:r>
      <w:r w:rsidR="00ED5C07">
        <w:t xml:space="preserve"> </w:t>
      </w:r>
    </w:p>
    <w:p w14:paraId="1F5A033E" w14:textId="20ADF3D5" w:rsidR="00242E23" w:rsidRDefault="00242E23" w:rsidP="002548B4">
      <w:pPr>
        <w:pStyle w:val="NormalIndent"/>
      </w:pPr>
      <w:r>
        <w:t>Based on the data provided to the Bank by a number of BNPL providers, the (weighted) average</w:t>
      </w:r>
      <w:r w:rsidR="00AB049D">
        <w:t xml:space="preserve"> </w:t>
      </w:r>
      <w:r>
        <w:t>merchant fee across the sector was 4.</w:t>
      </w:r>
      <w:r w:rsidR="00141BFF">
        <w:t>3%</w:t>
      </w:r>
      <w:r>
        <w:t xml:space="preserve"> of the transaction value in the March quarter 2021</w:t>
      </w:r>
      <w:r w:rsidR="00A24341">
        <w:t xml:space="preserve">. </w:t>
      </w:r>
      <w:r w:rsidR="002548B4">
        <w:t>However, there can be considerable variation both in the fees charged to particular merchants and across</w:t>
      </w:r>
      <w:r w:rsidR="00354383">
        <w:t xml:space="preserve"> </w:t>
      </w:r>
      <w:r w:rsidR="002548B4">
        <w:t>individual BNPL providers. I</w:t>
      </w:r>
      <w:r w:rsidR="0037173A">
        <w:t>n contrast, l</w:t>
      </w:r>
      <w:r w:rsidR="007A1102">
        <w:t xml:space="preserve">ooking at </w:t>
      </w:r>
      <w:r w:rsidR="008D2563">
        <w:t xml:space="preserve">the Bank’s </w:t>
      </w:r>
      <w:r w:rsidR="00287052">
        <w:t>p</w:t>
      </w:r>
      <w:r w:rsidR="008D2563">
        <w:t xml:space="preserve">ayments </w:t>
      </w:r>
      <w:r w:rsidR="00287052">
        <w:t>d</w:t>
      </w:r>
      <w:r w:rsidR="008D2563">
        <w:t>ata</w:t>
      </w:r>
      <w:r w:rsidR="00314A06">
        <w:t xml:space="preserve"> for the same period, </w:t>
      </w:r>
      <w:r w:rsidR="00FE2DFA">
        <w:t xml:space="preserve">the </w:t>
      </w:r>
      <w:r w:rsidR="001B39A0">
        <w:t xml:space="preserve">average </w:t>
      </w:r>
      <w:r w:rsidR="00314A06">
        <w:t>Visa/</w:t>
      </w:r>
      <w:r w:rsidR="000434AC">
        <w:t xml:space="preserve">Mastercard </w:t>
      </w:r>
      <w:r w:rsidR="001B172C">
        <w:t>credit</w:t>
      </w:r>
      <w:r w:rsidR="00314A06">
        <w:t xml:space="preserve"> </w:t>
      </w:r>
      <w:r w:rsidR="00E24DDA">
        <w:t>merchant service fee</w:t>
      </w:r>
      <w:r w:rsidR="00FE2DFA">
        <w:t xml:space="preserve"> </w:t>
      </w:r>
      <w:r w:rsidR="005C7C1B">
        <w:t>was</w:t>
      </w:r>
      <w:r w:rsidR="00FE2DFA">
        <w:t xml:space="preserve"> </w:t>
      </w:r>
      <w:r w:rsidR="005C7C1B">
        <w:t>0.80% and the</w:t>
      </w:r>
      <w:r w:rsidR="001B39A0">
        <w:t xml:space="preserve"> average</w:t>
      </w:r>
      <w:r w:rsidR="005C7C1B">
        <w:t xml:space="preserve"> American Ex</w:t>
      </w:r>
      <w:r w:rsidR="001B39A0">
        <w:t xml:space="preserve">press merchant services fee </w:t>
      </w:r>
      <w:r w:rsidR="00E560ED">
        <w:t>was</w:t>
      </w:r>
      <w:r w:rsidR="00AE496A">
        <w:t xml:space="preserve"> 1.</w:t>
      </w:r>
      <w:r w:rsidR="00B156E2">
        <w:t>3</w:t>
      </w:r>
      <w:r w:rsidR="00AE496A">
        <w:t>%</w:t>
      </w:r>
      <w:r w:rsidR="00883370">
        <w:rPr>
          <w:rStyle w:val="FootnoteReference"/>
        </w:rPr>
        <w:footnoteReference w:id="6"/>
      </w:r>
      <w:r w:rsidR="00883370">
        <w:t>.</w:t>
      </w:r>
      <w:r w:rsidR="00FF668C">
        <w:t xml:space="preserve"> However, unlike with accepting credit card payments, merchants are generally prohibited from </w:t>
      </w:r>
      <w:r w:rsidR="00CC310F">
        <w:t>adding a surcharge to BNPL payments.</w:t>
      </w:r>
    </w:p>
    <w:p w14:paraId="5429AE96" w14:textId="119F609D" w:rsidR="00CC310F" w:rsidRDefault="006A5358" w:rsidP="002548B4">
      <w:pPr>
        <w:pStyle w:val="NormalIndent"/>
      </w:pPr>
      <w:r>
        <w:t>The above highlights that merchants are effectively paying the consumers</w:t>
      </w:r>
      <w:r w:rsidR="005179EE">
        <w:t>’</w:t>
      </w:r>
      <w:r>
        <w:t xml:space="preserve"> credit funding cost</w:t>
      </w:r>
      <w:r w:rsidR="00F02EA8">
        <w:t xml:space="preserve"> and higher BNPL margin</w:t>
      </w:r>
      <w:r>
        <w:t xml:space="preserve"> via the higher merchant service fee</w:t>
      </w:r>
      <w:r w:rsidR="00CD7437">
        <w:t xml:space="preserve"> when BNPL </w:t>
      </w:r>
      <w:r w:rsidR="008B5CD0">
        <w:t>payment methods</w:t>
      </w:r>
      <w:r w:rsidR="00CD7437">
        <w:t xml:space="preserve"> are </w:t>
      </w:r>
      <w:r w:rsidR="008B5CD0">
        <w:t>used</w:t>
      </w:r>
      <w:r w:rsidR="00CD7437">
        <w:t>.</w:t>
      </w:r>
      <w:r w:rsidR="00D76766">
        <w:t xml:space="preserve"> Merchants should have the choice on </w:t>
      </w:r>
      <w:r w:rsidR="00210BA4">
        <w:t>whether</w:t>
      </w:r>
      <w:r w:rsidR="00D76766">
        <w:t xml:space="preserve"> to pass on this cost to consumers </w:t>
      </w:r>
      <w:r w:rsidR="00210BA4">
        <w:t>via a surcharge</w:t>
      </w:r>
      <w:r w:rsidR="00D76766">
        <w:t>.</w:t>
      </w:r>
    </w:p>
    <w:p w14:paraId="33369D9A" w14:textId="07D7391C" w:rsidR="00996408" w:rsidRDefault="00CC310F" w:rsidP="002548B4">
      <w:pPr>
        <w:pStyle w:val="NormalIndent"/>
      </w:pPr>
      <w:r>
        <w:t xml:space="preserve">PCN supports </w:t>
      </w:r>
      <w:r w:rsidR="00D76766">
        <w:t>requiring BNPL providers to remove their no-surcharge rules.</w:t>
      </w:r>
    </w:p>
    <w:p w14:paraId="7515D15C" w14:textId="7A59537C" w:rsidR="00FE37AD" w:rsidRDefault="00BF0B24" w:rsidP="002A1FA1">
      <w:pPr>
        <w:pStyle w:val="Heading2"/>
        <w:spacing w:before="240"/>
      </w:pPr>
      <w:r>
        <w:t>Summary</w:t>
      </w:r>
    </w:p>
    <w:p w14:paraId="2D306A5F" w14:textId="1833E115" w:rsidR="00BF0B24" w:rsidRDefault="00223702" w:rsidP="00BF0B24">
      <w:r>
        <w:t>Thank you for</w:t>
      </w:r>
      <w:r w:rsidR="00BF0B24">
        <w:t xml:space="preserve"> the opportunity to provide feedback on the </w:t>
      </w:r>
      <w:r w:rsidR="00BC470B" w:rsidRPr="00BC470B">
        <w:t>Review of Retail Payments Regulation</w:t>
      </w:r>
      <w:r w:rsidR="002A1FA1">
        <w:t xml:space="preserve"> Consultation Paper</w:t>
      </w:r>
      <w:r w:rsidR="00BF0B24">
        <w:t>.</w:t>
      </w:r>
    </w:p>
    <w:p w14:paraId="15A839E0" w14:textId="5D7F33E2" w:rsidR="00552ABC" w:rsidRDefault="00056AE8" w:rsidP="00BF0B24">
      <w:r>
        <w:t xml:space="preserve">PCN </w:t>
      </w:r>
      <w:r w:rsidR="00D15835">
        <w:t>believes</w:t>
      </w:r>
      <w:r w:rsidR="00BA5DF0" w:rsidRPr="00BA5DF0">
        <w:t xml:space="preserve"> </w:t>
      </w:r>
      <w:r>
        <w:t xml:space="preserve">support for </w:t>
      </w:r>
      <w:r w:rsidR="00FC409E">
        <w:t>d</w:t>
      </w:r>
      <w:r>
        <w:t>ual</w:t>
      </w:r>
      <w:r w:rsidR="00FC409E">
        <w:t>-n</w:t>
      </w:r>
      <w:r w:rsidR="00BA5DF0" w:rsidRPr="00BA5DF0">
        <w:t xml:space="preserve">etwork </w:t>
      </w:r>
      <w:r w:rsidR="00FC409E">
        <w:t>d</w:t>
      </w:r>
      <w:r w:rsidR="00BA5DF0" w:rsidRPr="00BA5DF0">
        <w:t xml:space="preserve">ebit </w:t>
      </w:r>
      <w:r w:rsidR="00FC409E">
        <w:t>c</w:t>
      </w:r>
      <w:r w:rsidR="00BA5DF0" w:rsidRPr="00BA5DF0">
        <w:t xml:space="preserve">ards </w:t>
      </w:r>
      <w:r w:rsidR="00C611EC">
        <w:t xml:space="preserve">is required to underpin competition between the card </w:t>
      </w:r>
      <w:r w:rsidR="006649ED">
        <w:t>networks</w:t>
      </w:r>
      <w:r w:rsidR="00C611EC">
        <w:t xml:space="preserve"> on </w:t>
      </w:r>
      <w:r w:rsidR="00AB6781">
        <w:t xml:space="preserve">debit </w:t>
      </w:r>
      <w:r w:rsidR="00C611EC">
        <w:t>interchange fees</w:t>
      </w:r>
      <w:r w:rsidR="00BA5DF0" w:rsidRPr="00BA5DF0">
        <w:t xml:space="preserve"> and </w:t>
      </w:r>
      <w:r w:rsidR="0071325F">
        <w:t>is critical</w:t>
      </w:r>
      <w:r w:rsidR="00BA5DF0" w:rsidRPr="00BA5DF0">
        <w:t xml:space="preserve"> to the ongoing rollout of </w:t>
      </w:r>
      <w:r w:rsidR="00FC409E">
        <w:t>l</w:t>
      </w:r>
      <w:r w:rsidR="00BA5DF0" w:rsidRPr="00BA5DF0">
        <w:t>east</w:t>
      </w:r>
      <w:r w:rsidR="00FC409E">
        <w:t>-c</w:t>
      </w:r>
      <w:r w:rsidR="00BA5DF0" w:rsidRPr="00BA5DF0">
        <w:t xml:space="preserve">ost </w:t>
      </w:r>
      <w:r w:rsidR="00FC409E">
        <w:t>r</w:t>
      </w:r>
      <w:r w:rsidR="00BA5DF0" w:rsidRPr="00BA5DF0">
        <w:t>outing</w:t>
      </w:r>
      <w:r w:rsidR="008E31CF">
        <w:t>, which</w:t>
      </w:r>
      <w:r w:rsidR="00BA5DF0" w:rsidRPr="00BA5DF0">
        <w:t xml:space="preserve"> gives merchants choice and the ability to process transactions according to the lowest cost network</w:t>
      </w:r>
      <w:r w:rsidR="008E31CF">
        <w:t>. Thereby</w:t>
      </w:r>
      <w:r w:rsidR="00552ABC">
        <w:t xml:space="preserve"> helping to </w:t>
      </w:r>
      <w:r w:rsidR="001C2674">
        <w:t>reduce</w:t>
      </w:r>
      <w:r w:rsidR="00552ABC">
        <w:t xml:space="preserve"> the cost of payments acceptance.</w:t>
      </w:r>
    </w:p>
    <w:p w14:paraId="268A31F8" w14:textId="5559D4A1" w:rsidR="00BF0B24" w:rsidRDefault="00D0194A" w:rsidP="00BF0B24">
      <w:r>
        <w:t>PCN looks forward to discussing this response with the RB</w:t>
      </w:r>
      <w:r w:rsidR="00F62F22">
        <w:t>A</w:t>
      </w:r>
      <w:r w:rsidR="0072185F">
        <w:t>.</w:t>
      </w:r>
    </w:p>
    <w:p w14:paraId="3A296F91" w14:textId="184536C3" w:rsidR="0097557C" w:rsidRDefault="00DF3FDC" w:rsidP="001B2E05">
      <w:pPr>
        <w:pStyle w:val="BodyText"/>
      </w:pPr>
      <w:r>
        <w:t>Yours s</w:t>
      </w:r>
      <w:r w:rsidR="00970548">
        <w:t>incerely</w:t>
      </w:r>
    </w:p>
    <w:p w14:paraId="3252861F" w14:textId="20039C6F" w:rsidR="0032370A" w:rsidRDefault="0032370A" w:rsidP="001B2E05">
      <w:pPr>
        <w:pStyle w:val="BodyText"/>
      </w:pPr>
    </w:p>
    <w:p w14:paraId="1C390804" w14:textId="60233809" w:rsidR="00C470C7" w:rsidRDefault="00C470C7" w:rsidP="001B2E05">
      <w:pPr>
        <w:pStyle w:val="BodyText"/>
      </w:pPr>
    </w:p>
    <w:p w14:paraId="47B2742F" w14:textId="77777777" w:rsidR="00996C61" w:rsidRPr="003476AF" w:rsidRDefault="0046424E" w:rsidP="00FE6577">
      <w:pPr>
        <w:spacing w:before="0" w:after="40"/>
        <w:rPr>
          <w:b/>
          <w:bCs/>
        </w:rPr>
      </w:pPr>
      <w:r w:rsidRPr="003476AF">
        <w:rPr>
          <w:b/>
          <w:bCs/>
        </w:rPr>
        <w:t>Mangala Martinus</w:t>
      </w:r>
    </w:p>
    <w:p w14:paraId="67B0D059" w14:textId="54761640" w:rsidR="00667A34" w:rsidRPr="003476AF" w:rsidRDefault="00996C61" w:rsidP="002A1FA1">
      <w:pPr>
        <w:spacing w:before="0" w:after="20"/>
        <w:rPr>
          <w:iCs/>
        </w:rPr>
      </w:pPr>
      <w:r w:rsidRPr="003476AF">
        <w:rPr>
          <w:iCs/>
        </w:rPr>
        <w:t>Managing Director</w:t>
      </w:r>
    </w:p>
    <w:p w14:paraId="27104CFE" w14:textId="7515DA3D" w:rsidR="00B90BF3" w:rsidRPr="003476AF" w:rsidRDefault="00B90BF3" w:rsidP="002A1FA1">
      <w:pPr>
        <w:spacing w:before="0" w:after="20"/>
        <w:rPr>
          <w:iCs/>
        </w:rPr>
      </w:pPr>
      <w:r w:rsidRPr="003476AF">
        <w:rPr>
          <w:iCs/>
        </w:rPr>
        <w:t>Payments Consulting Network</w:t>
      </w:r>
    </w:p>
    <w:p w14:paraId="6262546A" w14:textId="25EEEA5D" w:rsidR="00B90BF3" w:rsidRPr="003476AF" w:rsidRDefault="00B90BF3" w:rsidP="002A1FA1">
      <w:pPr>
        <w:spacing w:before="0" w:after="20"/>
        <w:rPr>
          <w:iCs/>
        </w:rPr>
      </w:pPr>
      <w:r w:rsidRPr="003476AF">
        <w:rPr>
          <w:iCs/>
        </w:rPr>
        <w:t>Merchant Pricing Hub</w:t>
      </w:r>
    </w:p>
    <w:sectPr w:rsidR="00B90BF3" w:rsidRPr="003476AF" w:rsidSect="009F17C2">
      <w:headerReference w:type="default" r:id="rId12"/>
      <w:footerReference w:type="default" r:id="rId13"/>
      <w:headerReference w:type="first" r:id="rId14"/>
      <w:footerReference w:type="first" r:id="rId15"/>
      <w:pgSz w:w="11900" w:h="16840" w:code="9"/>
      <w:pgMar w:top="720" w:right="1418" w:bottom="851" w:left="1418" w:header="720"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1F04B" w14:textId="77777777" w:rsidR="009E0997" w:rsidRDefault="009E0997" w:rsidP="001B2E05">
      <w:r>
        <w:separator/>
      </w:r>
    </w:p>
  </w:endnote>
  <w:endnote w:type="continuationSeparator" w:id="0">
    <w:p w14:paraId="15B7A454" w14:textId="77777777" w:rsidR="009E0997" w:rsidRDefault="009E0997" w:rsidP="001B2E05">
      <w:r>
        <w:continuationSeparator/>
      </w:r>
    </w:p>
  </w:endnote>
  <w:endnote w:type="continuationNotice" w:id="1">
    <w:p w14:paraId="3059D802" w14:textId="77777777" w:rsidR="009E0997" w:rsidRDefault="009E099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skerville">
    <w:altName w:val="Arial"/>
    <w:charset w:val="00"/>
    <w:family w:val="auto"/>
    <w:pitch w:val="variable"/>
    <w:sig w:usb0="80000063"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87039" w14:textId="44063741" w:rsidR="00B0386A" w:rsidRDefault="008C01AD" w:rsidP="00977847">
    <w:pPr>
      <w:tabs>
        <w:tab w:val="center" w:pos="4536"/>
        <w:tab w:val="right" w:pos="9064"/>
      </w:tabs>
      <w:rPr>
        <w:noProof/>
      </w:rPr>
    </w:pPr>
    <w:r>
      <w:t>For Official Use Only</w:t>
    </w:r>
    <w:r w:rsidR="001B2E05">
      <w:rPr>
        <w:noProof/>
      </w:rPr>
      <w:tab/>
    </w:r>
    <w:r w:rsidR="00977847">
      <w:rPr>
        <w:noProof/>
      </w:rPr>
      <w:t>www.paymentsconsulting.com</w:t>
    </w:r>
    <w:r w:rsidR="00977847">
      <w:rPr>
        <w:noProof/>
      </w:rPr>
      <w:tab/>
    </w:r>
    <w:r w:rsidR="00977847">
      <w:t xml:space="preserve">Page </w:t>
    </w:r>
    <w:r w:rsidR="00977847">
      <w:fldChar w:fldCharType="begin"/>
    </w:r>
    <w:r w:rsidR="00977847">
      <w:instrText xml:space="preserve"> Page </w:instrText>
    </w:r>
    <w:r w:rsidR="00977847">
      <w:fldChar w:fldCharType="separate"/>
    </w:r>
    <w:r w:rsidR="00977847">
      <w:t>2</w:t>
    </w:r>
    <w:r w:rsidR="00977847">
      <w:rPr>
        <w:noProof/>
      </w:rPr>
      <w:fldChar w:fldCharType="end"/>
    </w:r>
    <w:r w:rsidR="00EE0834">
      <w:rPr>
        <w:noProof/>
      </w:rPr>
      <w:tab/>
      <w:t>www.merchantpricing.com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96FAB" w14:textId="61B060EF" w:rsidR="007F3327" w:rsidRDefault="007F3327" w:rsidP="001B2E05">
    <w:pPr>
      <w:pStyle w:val="Footer"/>
      <w:tabs>
        <w:tab w:val="clear" w:pos="9360"/>
        <w:tab w:val="right" w:pos="9064"/>
      </w:tabs>
    </w:pPr>
  </w:p>
  <w:p w14:paraId="7F6C0BEE" w14:textId="77777777" w:rsidR="00A7636C" w:rsidRDefault="00A7636C" w:rsidP="001B2E05">
    <w:pPr>
      <w:pStyle w:val="Footer"/>
    </w:pPr>
  </w:p>
  <w:p w14:paraId="39ECB18A" w14:textId="77777777" w:rsidR="00A7636C" w:rsidRDefault="00A7636C" w:rsidP="001B2E05">
    <w:pPr>
      <w:pStyle w:val="Footer"/>
    </w:pPr>
  </w:p>
  <w:p w14:paraId="391C240F" w14:textId="269C51D1" w:rsidR="00A7636C" w:rsidRDefault="00A7636C" w:rsidP="001B2E05">
    <w:pPr>
      <w:pStyle w:val="Footer"/>
    </w:pPr>
  </w:p>
  <w:p w14:paraId="4292619F" w14:textId="2FE1A8C5" w:rsidR="00A7636C" w:rsidRDefault="008D3642" w:rsidP="001B2E05">
    <w:pPr>
      <w:pStyle w:val="Footer"/>
    </w:pPr>
    <w:r w:rsidRPr="00054FE5">
      <w:rPr>
        <w:noProof/>
        <w:lang w:eastAsia="en-AU"/>
      </w:rPr>
      <w:drawing>
        <wp:anchor distT="0" distB="0" distL="114300" distR="114300" simplePos="0" relativeHeight="251658241" behindDoc="1" locked="0" layoutInCell="1" allowOverlap="1" wp14:anchorId="3A296FBB" wp14:editId="68225F8B">
          <wp:simplePos x="0" y="0"/>
          <wp:positionH relativeFrom="page">
            <wp:posOffset>6350</wp:posOffset>
          </wp:positionH>
          <wp:positionV relativeFrom="page">
            <wp:posOffset>9934575</wp:posOffset>
          </wp:positionV>
          <wp:extent cx="7550150" cy="749300"/>
          <wp:effectExtent l="0" t="0" r="0" b="0"/>
          <wp:wrapNone/>
          <wp:docPr id="6" name="Picture 6" descr="Data:Dropbox:Work:Macan:PCN:PPT:pot elements: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Dropbox:Work:Macan:PCN:PPT:pot elements: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749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83A778" w14:textId="7302075E" w:rsidR="00EE0834" w:rsidRDefault="00EE0834" w:rsidP="001B2E05">
    <w:pPr>
      <w:pStyle w:val="Footer"/>
    </w:pPr>
  </w:p>
  <w:p w14:paraId="6096929A" w14:textId="79237768" w:rsidR="00A7636C" w:rsidRDefault="008C01AD" w:rsidP="00795F19">
    <w:pPr>
      <w:pStyle w:val="Footer"/>
      <w:tabs>
        <w:tab w:val="clear" w:pos="4680"/>
        <w:tab w:val="clear" w:pos="9360"/>
        <w:tab w:val="center" w:pos="4536"/>
        <w:tab w:val="right" w:pos="9064"/>
      </w:tabs>
      <w:spacing w:before="0"/>
      <w:jc w:val="center"/>
      <w:rPr>
        <w:color w:val="FFFFFF" w:themeColor="background1"/>
      </w:rPr>
    </w:pPr>
    <w:r>
      <w:rPr>
        <w:color w:val="FFFFFF" w:themeColor="background1"/>
      </w:rPr>
      <w:t>For Official Use Only</w:t>
    </w:r>
    <w:r w:rsidR="001B2E05">
      <w:rPr>
        <w:color w:val="FFFFFF" w:themeColor="background1"/>
      </w:rPr>
      <w:tab/>
    </w:r>
    <w:r w:rsidR="00977847" w:rsidRPr="00977847">
      <w:rPr>
        <w:color w:val="FFFFFF" w:themeColor="background1"/>
      </w:rPr>
      <w:t>w</w:t>
    </w:r>
    <w:r w:rsidR="00977847">
      <w:rPr>
        <w:color w:val="FFFFFF" w:themeColor="background1"/>
      </w:rPr>
      <w:t>ww.paymentsconsulting.com</w:t>
    </w:r>
    <w:r w:rsidR="00977847">
      <w:rPr>
        <w:color w:val="FFFFFF" w:themeColor="background1"/>
      </w:rPr>
      <w:tab/>
    </w:r>
    <w:r w:rsidR="00977847" w:rsidRPr="001B2E05">
      <w:rPr>
        <w:color w:val="FFFFFF" w:themeColor="background1"/>
      </w:rPr>
      <w:t xml:space="preserve">Page </w:t>
    </w:r>
    <w:r w:rsidR="00977847" w:rsidRPr="001B2E05">
      <w:rPr>
        <w:color w:val="FFFFFF" w:themeColor="background1"/>
      </w:rPr>
      <w:fldChar w:fldCharType="begin"/>
    </w:r>
    <w:r w:rsidR="00977847" w:rsidRPr="001B2E05">
      <w:rPr>
        <w:color w:val="FFFFFF" w:themeColor="background1"/>
      </w:rPr>
      <w:instrText xml:space="preserve"> PAGE </w:instrText>
    </w:r>
    <w:r w:rsidR="00977847" w:rsidRPr="001B2E05">
      <w:rPr>
        <w:color w:val="FFFFFF" w:themeColor="background1"/>
      </w:rPr>
      <w:fldChar w:fldCharType="separate"/>
    </w:r>
    <w:r w:rsidR="00977847">
      <w:rPr>
        <w:color w:val="FFFFFF" w:themeColor="background1"/>
      </w:rPr>
      <w:t>1</w:t>
    </w:r>
    <w:r w:rsidR="00977847" w:rsidRPr="001B2E05">
      <w:rPr>
        <w:color w:val="FFFFFF" w:themeColor="background1"/>
      </w:rPr>
      <w:fldChar w:fldCharType="end"/>
    </w:r>
  </w:p>
  <w:p w14:paraId="3EA89B6C" w14:textId="0F093FA9" w:rsidR="00B0386A" w:rsidRPr="001B2E05" w:rsidRDefault="0032350A" w:rsidP="0020168B">
    <w:pPr>
      <w:pStyle w:val="Footer"/>
      <w:tabs>
        <w:tab w:val="clear" w:pos="4680"/>
        <w:tab w:val="clear" w:pos="9360"/>
        <w:tab w:val="center" w:pos="4536"/>
        <w:tab w:val="right" w:pos="9064"/>
      </w:tabs>
      <w:spacing w:before="0"/>
      <w:ind w:left="567"/>
      <w:jc w:val="left"/>
      <w:rPr>
        <w:color w:val="FFFFFF" w:themeColor="background1"/>
      </w:rPr>
    </w:pPr>
    <w:r>
      <w:rPr>
        <w:color w:val="FFFFFF" w:themeColor="background1"/>
      </w:rPr>
      <w:tab/>
    </w:r>
    <w:r w:rsidR="00B0386A">
      <w:rPr>
        <w:color w:val="FFFFFF" w:themeColor="background1"/>
      </w:rPr>
      <w:t>www.merchantpricing.com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EDA49" w14:textId="77777777" w:rsidR="009E0997" w:rsidRDefault="009E0997" w:rsidP="001B2E05">
      <w:r>
        <w:separator/>
      </w:r>
    </w:p>
  </w:footnote>
  <w:footnote w:type="continuationSeparator" w:id="0">
    <w:p w14:paraId="44B10AFD" w14:textId="77777777" w:rsidR="009E0997" w:rsidRDefault="009E0997" w:rsidP="001B2E05">
      <w:r>
        <w:continuationSeparator/>
      </w:r>
    </w:p>
  </w:footnote>
  <w:footnote w:type="continuationNotice" w:id="1">
    <w:p w14:paraId="21258EF2" w14:textId="77777777" w:rsidR="009E0997" w:rsidRDefault="009E0997">
      <w:pPr>
        <w:spacing w:before="0"/>
      </w:pPr>
    </w:p>
  </w:footnote>
  <w:footnote w:id="2">
    <w:p w14:paraId="05DE5FB4" w14:textId="6EB159B8" w:rsidR="000B2AB4" w:rsidRDefault="000B2AB4" w:rsidP="00673D09">
      <w:pPr>
        <w:pStyle w:val="FootnoteText"/>
        <w:spacing w:before="120"/>
      </w:pPr>
      <w:r>
        <w:rPr>
          <w:rStyle w:val="FootnoteReference"/>
        </w:rPr>
        <w:footnoteRef/>
      </w:r>
      <w:r>
        <w:t xml:space="preserve"> Commonwealth Bank, </w:t>
      </w:r>
      <w:r w:rsidR="00AB755B">
        <w:t>EFTPOS Plans &amp; Pricing,</w:t>
      </w:r>
      <w:r w:rsidR="00AB755B" w:rsidRPr="00AB755B">
        <w:rPr>
          <w:color w:val="4F7AB5" w:themeColor="accent4"/>
        </w:rPr>
        <w:t xml:space="preserve"> </w:t>
      </w:r>
      <w:hyperlink r:id="rId1" w:history="1">
        <w:r w:rsidR="00AB755B" w:rsidRPr="00AB755B">
          <w:rPr>
            <w:rStyle w:val="Hyperlink"/>
            <w:color w:val="4F7AB5" w:themeColor="accent4"/>
          </w:rPr>
          <w:t>https://www.commbank.com.au/business/merchant-services/eftpos-terminals.html?ei=eftpos</w:t>
        </w:r>
      </w:hyperlink>
      <w:r w:rsidR="00AB755B" w:rsidRPr="00AB755B">
        <w:rPr>
          <w:color w:val="4F7AB5" w:themeColor="accent4"/>
        </w:rPr>
        <w:t xml:space="preserve"> </w:t>
      </w:r>
      <w:r w:rsidR="00AB755B">
        <w:t>accessed on 9 July 2021.</w:t>
      </w:r>
    </w:p>
  </w:footnote>
  <w:footnote w:id="3">
    <w:p w14:paraId="0D34439E" w14:textId="716D452F" w:rsidR="00B32365" w:rsidRDefault="00921102">
      <w:pPr>
        <w:pStyle w:val="FootnoteText"/>
      </w:pPr>
      <w:r>
        <w:rPr>
          <w:rStyle w:val="FootnoteReference"/>
        </w:rPr>
        <w:footnoteRef/>
      </w:r>
      <w:r>
        <w:t xml:space="preserve"> </w:t>
      </w:r>
      <w:r w:rsidR="00B32365">
        <w:t xml:space="preserve">Westpac, EFTPOS Machine Costs and Fees, </w:t>
      </w:r>
      <w:hyperlink r:id="rId2" w:history="1">
        <w:r w:rsidR="00B32365" w:rsidRPr="00B32365">
          <w:rPr>
            <w:rStyle w:val="Hyperlink"/>
            <w:color w:val="4F7AB5" w:themeColor="accent4"/>
          </w:rPr>
          <w:t>https://www.westpac.com.au/business-banking/merchants-and-payments/eftpos/eftpos-fees/</w:t>
        </w:r>
      </w:hyperlink>
      <w:r w:rsidR="00B32365">
        <w:t xml:space="preserve"> accessed on 9 July 2021.</w:t>
      </w:r>
    </w:p>
  </w:footnote>
  <w:footnote w:id="4">
    <w:p w14:paraId="05DC44DD" w14:textId="201AB618" w:rsidR="008711E7" w:rsidRDefault="008711E7">
      <w:pPr>
        <w:pStyle w:val="FootnoteText"/>
      </w:pPr>
      <w:r>
        <w:rPr>
          <w:rStyle w:val="FootnoteReference"/>
        </w:rPr>
        <w:footnoteRef/>
      </w:r>
      <w:r>
        <w:t xml:space="preserve"> </w:t>
      </w:r>
      <w:r w:rsidR="00310EA3">
        <w:t xml:space="preserve">Square, Payments Pricing, </w:t>
      </w:r>
      <w:hyperlink r:id="rId3" w:history="1">
        <w:r w:rsidR="00310EA3" w:rsidRPr="00310EA3">
          <w:rPr>
            <w:rStyle w:val="Hyperlink"/>
            <w:color w:val="4F7AB5" w:themeColor="accent4"/>
          </w:rPr>
          <w:t>https://squareup.com/au/en/payments/pricing</w:t>
        </w:r>
      </w:hyperlink>
      <w:r w:rsidR="00310EA3">
        <w:t xml:space="preserve"> accessed on 9 July 2021.</w:t>
      </w:r>
    </w:p>
  </w:footnote>
  <w:footnote w:id="5">
    <w:p w14:paraId="63CD8418" w14:textId="77777777" w:rsidR="001E77AD" w:rsidRDefault="001E77AD" w:rsidP="001E77AD">
      <w:pPr>
        <w:pStyle w:val="FootnoteText"/>
      </w:pPr>
      <w:r>
        <w:rPr>
          <w:rStyle w:val="FootnoteReference"/>
        </w:rPr>
        <w:footnoteRef/>
      </w:r>
      <w:r>
        <w:t xml:space="preserve"> NAB, EFTPOS Pricing, </w:t>
      </w:r>
      <w:hyperlink r:id="rId4" w:history="1">
        <w:r w:rsidRPr="007354B2">
          <w:rPr>
            <w:rStyle w:val="Hyperlink"/>
            <w:color w:val="4F7AB5" w:themeColor="accent4"/>
          </w:rPr>
          <w:t>https://www.nab.com.au/business/payments-and-merchants/eftpos-terminals</w:t>
        </w:r>
      </w:hyperlink>
      <w:r>
        <w:t xml:space="preserve"> accessed on 9 July 2021.</w:t>
      </w:r>
    </w:p>
  </w:footnote>
  <w:footnote w:id="6">
    <w:p w14:paraId="513BBDA6" w14:textId="008AE3D5" w:rsidR="00883370" w:rsidRDefault="00883370" w:rsidP="00673D09">
      <w:pPr>
        <w:pStyle w:val="FootnoteText"/>
        <w:spacing w:before="120"/>
      </w:pPr>
      <w:r>
        <w:rPr>
          <w:rStyle w:val="FootnoteReference"/>
        </w:rPr>
        <w:footnoteRef/>
      </w:r>
      <w:r>
        <w:t xml:space="preserve"> Reserve Bank of Australia, </w:t>
      </w:r>
      <w:r w:rsidRPr="005D0AFF">
        <w:t>C3 Average Merchant Fees for Debit, Credit and Charge Cards</w:t>
      </w:r>
      <w:r w:rsidR="005B581A">
        <w:t>,</w:t>
      </w:r>
      <w:r w:rsidR="00B156E2">
        <w:t xml:space="preserve"> </w:t>
      </w:r>
      <w:hyperlink r:id="rId5" w:history="1">
        <w:r w:rsidR="00963F69" w:rsidRPr="00963F69">
          <w:rPr>
            <w:rStyle w:val="Hyperlink"/>
            <w:color w:val="4F7AB5" w:themeColor="accent4"/>
          </w:rPr>
          <w:t>https://rba.gov.au/statistics/tables/xls/c03hist.xlsx</w:t>
        </w:r>
      </w:hyperlink>
      <w:r w:rsidR="00963F69">
        <w:t xml:space="preserve"> </w:t>
      </w:r>
      <w:r>
        <w:t>accessed on 9 July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6807"/>
      <w:gridCol w:w="2257"/>
    </w:tblGrid>
    <w:tr w:rsidR="007F3327" w14:paraId="3A296F9D" w14:textId="77777777">
      <w:tc>
        <w:tcPr>
          <w:tcW w:w="8298" w:type="dxa"/>
          <w:vAlign w:val="center"/>
        </w:tcPr>
        <w:p w14:paraId="3A296F9B" w14:textId="71510818" w:rsidR="007F3327" w:rsidRDefault="0032350A" w:rsidP="00977847">
          <w:r>
            <w:rPr>
              <w:noProof/>
            </w:rPr>
            <w:drawing>
              <wp:anchor distT="0" distB="0" distL="114300" distR="114300" simplePos="0" relativeHeight="251658242" behindDoc="0" locked="0" layoutInCell="1" allowOverlap="1" wp14:anchorId="34C244BE" wp14:editId="62E5168D">
                <wp:simplePos x="0" y="0"/>
                <wp:positionH relativeFrom="margin">
                  <wp:posOffset>-73025</wp:posOffset>
                </wp:positionH>
                <wp:positionV relativeFrom="paragraph">
                  <wp:posOffset>-190500</wp:posOffset>
                </wp:positionV>
                <wp:extent cx="1219200" cy="5689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y_Cons vertical.jpg"/>
                        <pic:cNvPicPr/>
                      </pic:nvPicPr>
                      <pic:blipFill>
                        <a:blip r:embed="rId1"/>
                        <a:stretch>
                          <a:fillRect/>
                        </a:stretch>
                      </pic:blipFill>
                      <pic:spPr>
                        <a:xfrm>
                          <a:off x="0" y="0"/>
                          <a:ext cx="1219200" cy="568960"/>
                        </a:xfrm>
                        <a:prstGeom prst="rect">
                          <a:avLst/>
                        </a:prstGeom>
                      </pic:spPr>
                    </pic:pic>
                  </a:graphicData>
                </a:graphic>
                <wp14:sizeRelH relativeFrom="page">
                  <wp14:pctWidth>0</wp14:pctWidth>
                </wp14:sizeRelH>
                <wp14:sizeRelV relativeFrom="page">
                  <wp14:pctHeight>0</wp14:pctHeight>
                </wp14:sizeRelV>
              </wp:anchor>
            </w:drawing>
          </w:r>
        </w:p>
      </w:tc>
      <w:tc>
        <w:tcPr>
          <w:tcW w:w="2718" w:type="dxa"/>
          <w:vAlign w:val="center"/>
        </w:tcPr>
        <w:p w14:paraId="3A296F9C" w14:textId="68A6C73B" w:rsidR="007F3327" w:rsidRDefault="0032350A" w:rsidP="00977847">
          <w:r>
            <w:rPr>
              <w:noProof/>
            </w:rPr>
            <w:drawing>
              <wp:anchor distT="0" distB="0" distL="114300" distR="114300" simplePos="0" relativeHeight="251658243" behindDoc="0" locked="0" layoutInCell="1" allowOverlap="1" wp14:anchorId="42C773CC" wp14:editId="51B5545D">
                <wp:simplePos x="0" y="0"/>
                <wp:positionH relativeFrom="column">
                  <wp:posOffset>276225</wp:posOffset>
                </wp:positionH>
                <wp:positionV relativeFrom="paragraph">
                  <wp:posOffset>-114300</wp:posOffset>
                </wp:positionV>
                <wp:extent cx="1085850" cy="332105"/>
                <wp:effectExtent l="0" t="0" r="0" b="0"/>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2"/>
                        <a:stretch>
                          <a:fillRect/>
                        </a:stretch>
                      </pic:blipFill>
                      <pic:spPr>
                        <a:xfrm>
                          <a:off x="0" y="0"/>
                          <a:ext cx="1085850" cy="332105"/>
                        </a:xfrm>
                        <a:prstGeom prst="rect">
                          <a:avLst/>
                        </a:prstGeom>
                      </pic:spPr>
                    </pic:pic>
                  </a:graphicData>
                </a:graphic>
                <wp14:sizeRelH relativeFrom="page">
                  <wp14:pctWidth>0</wp14:pctWidth>
                </wp14:sizeRelH>
                <wp14:sizeRelV relativeFrom="page">
                  <wp14:pctHeight>0</wp14:pctHeight>
                </wp14:sizeRelV>
              </wp:anchor>
            </w:drawing>
          </w:r>
          <w:r w:rsidR="007F3327">
            <w:t xml:space="preserve">    </w:t>
          </w:r>
        </w:p>
      </w:tc>
    </w:tr>
  </w:tbl>
  <w:p w14:paraId="3A296F9E" w14:textId="2D64F1D7" w:rsidR="007F3327" w:rsidRDefault="007F3327" w:rsidP="0097784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6521" w:type="dxa"/>
      <w:tblInd w:w="3227" w:type="dxa"/>
      <w:tblLook w:val="04A0" w:firstRow="1" w:lastRow="0" w:firstColumn="1" w:lastColumn="0" w:noHBand="0" w:noVBand="1"/>
    </w:tblPr>
    <w:tblGrid>
      <w:gridCol w:w="3969"/>
      <w:gridCol w:w="2552"/>
    </w:tblGrid>
    <w:tr w:rsidR="00EB35F1" w:rsidRPr="00EB35F1" w14:paraId="3A296FA9" w14:textId="77777777" w:rsidTr="00795F19">
      <w:tc>
        <w:tcPr>
          <w:tcW w:w="3969" w:type="dxa"/>
          <w:vAlign w:val="center"/>
        </w:tcPr>
        <w:p w14:paraId="160E76B1" w14:textId="65ED8DAA" w:rsidR="00996C61" w:rsidRPr="00795F19" w:rsidRDefault="00996C61" w:rsidP="00795F19">
          <w:pPr>
            <w:pStyle w:val="Letterhead"/>
          </w:pPr>
          <w:r w:rsidRPr="00795F19">
            <w:t xml:space="preserve">Email: mangala.martinus@paymentsconsulting.com </w:t>
          </w:r>
        </w:p>
        <w:p w14:paraId="61D94901" w14:textId="77777777" w:rsidR="007F3327" w:rsidRDefault="00EB35F1" w:rsidP="00795F19">
          <w:pPr>
            <w:pStyle w:val="Letterhead"/>
          </w:pPr>
          <w:r w:rsidRPr="00795F19">
            <w:t xml:space="preserve">Office: </w:t>
          </w:r>
          <w:r w:rsidR="00345F62" w:rsidRPr="00795F19">
            <w:t xml:space="preserve">+61 2 </w:t>
          </w:r>
          <w:r w:rsidR="00996C61" w:rsidRPr="00795F19">
            <w:t>8069 2630</w:t>
          </w:r>
        </w:p>
        <w:p w14:paraId="3A296FA4" w14:textId="1D85370E" w:rsidR="0072185F" w:rsidRPr="00795F19" w:rsidRDefault="0072185F" w:rsidP="00795F19">
          <w:pPr>
            <w:pStyle w:val="Letterhead"/>
          </w:pPr>
          <w:r>
            <w:t>Mobile: +61 418 11</w:t>
          </w:r>
          <w:r w:rsidR="00C15FB0">
            <w:t>6 802</w:t>
          </w:r>
        </w:p>
      </w:tc>
      <w:tc>
        <w:tcPr>
          <w:tcW w:w="2552" w:type="dxa"/>
          <w:vAlign w:val="center"/>
        </w:tcPr>
        <w:p w14:paraId="21443162" w14:textId="77777777" w:rsidR="008C2DAA" w:rsidRPr="00795F19" w:rsidRDefault="00EB35F1" w:rsidP="00795F19">
          <w:pPr>
            <w:pStyle w:val="Letterhead"/>
          </w:pPr>
          <w:r w:rsidRPr="00795F19">
            <w:t xml:space="preserve">Level </w:t>
          </w:r>
          <w:r w:rsidR="00996C61" w:rsidRPr="00795F19">
            <w:t>13</w:t>
          </w:r>
          <w:r w:rsidR="008C2DAA" w:rsidRPr="00795F19">
            <w:t xml:space="preserve">, </w:t>
          </w:r>
          <w:r w:rsidR="00996C61" w:rsidRPr="00795F19">
            <w:t>50 Carrington</w:t>
          </w:r>
          <w:r w:rsidRPr="00795F19">
            <w:t xml:space="preserve"> Street</w:t>
          </w:r>
        </w:p>
        <w:p w14:paraId="3A296FA7" w14:textId="3D55D7CA" w:rsidR="00EB35F1" w:rsidRPr="00795F19" w:rsidRDefault="00EB35F1" w:rsidP="00795F19">
          <w:pPr>
            <w:pStyle w:val="Letterhead"/>
          </w:pPr>
          <w:r w:rsidRPr="00795F19">
            <w:t>Sy</w:t>
          </w:r>
          <w:r w:rsidR="00345F62" w:rsidRPr="00795F19">
            <w:t>dney NSW 2000</w:t>
          </w:r>
        </w:p>
        <w:p w14:paraId="3A296FA8" w14:textId="77777777" w:rsidR="00345F62" w:rsidRPr="00795F19" w:rsidRDefault="00345F62" w:rsidP="00795F19">
          <w:pPr>
            <w:pStyle w:val="Letterhead"/>
          </w:pPr>
          <w:r w:rsidRPr="00795F19">
            <w:t>Australia</w:t>
          </w:r>
        </w:p>
      </w:tc>
    </w:tr>
    <w:tr w:rsidR="008C2DAA" w:rsidRPr="00EB35F1" w14:paraId="0A2EB8D7" w14:textId="77777777" w:rsidTr="00795F19">
      <w:tc>
        <w:tcPr>
          <w:tcW w:w="3969" w:type="dxa"/>
          <w:vAlign w:val="center"/>
        </w:tcPr>
        <w:p w14:paraId="7FF759E7" w14:textId="5DFA3AF8" w:rsidR="008C2DAA" w:rsidRPr="008C2DAA" w:rsidRDefault="008C2DAA" w:rsidP="001B2E05">
          <w:pPr>
            <w:pStyle w:val="Letterhead"/>
          </w:pPr>
        </w:p>
      </w:tc>
      <w:tc>
        <w:tcPr>
          <w:tcW w:w="2552" w:type="dxa"/>
          <w:vAlign w:val="center"/>
        </w:tcPr>
        <w:p w14:paraId="4F40F61E" w14:textId="77777777" w:rsidR="008C2DAA" w:rsidRPr="00EB35F1" w:rsidRDefault="008C2DAA" w:rsidP="001B2E05">
          <w:pPr>
            <w:pStyle w:val="Letterhead"/>
          </w:pPr>
        </w:p>
      </w:tc>
    </w:tr>
  </w:tbl>
  <w:p w14:paraId="3A296FAA" w14:textId="247C92AB" w:rsidR="007F3327" w:rsidRPr="00FD07C9" w:rsidRDefault="006F20C0" w:rsidP="001B2E05">
    <w:pPr>
      <w:pStyle w:val="ContactDetails"/>
    </w:pPr>
    <w:r>
      <w:rPr>
        <w:noProof/>
      </w:rPr>
      <w:drawing>
        <wp:anchor distT="0" distB="0" distL="114300" distR="114300" simplePos="0" relativeHeight="251658245" behindDoc="0" locked="0" layoutInCell="1" allowOverlap="1" wp14:anchorId="2D5F2AB7" wp14:editId="1A755C2D">
          <wp:simplePos x="0" y="0"/>
          <wp:positionH relativeFrom="column">
            <wp:posOffset>690245</wp:posOffset>
          </wp:positionH>
          <wp:positionV relativeFrom="paragraph">
            <wp:posOffset>-438785</wp:posOffset>
          </wp:positionV>
          <wp:extent cx="1085850" cy="332255"/>
          <wp:effectExtent l="0" t="0" r="0"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stretch>
                    <a:fillRect/>
                  </a:stretch>
                </pic:blipFill>
                <pic:spPr>
                  <a:xfrm>
                    <a:off x="0" y="0"/>
                    <a:ext cx="1085850" cy="3322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4" behindDoc="0" locked="0" layoutInCell="1" allowOverlap="1" wp14:anchorId="35C1D2F8" wp14:editId="69D9F8BE">
          <wp:simplePos x="0" y="0"/>
          <wp:positionH relativeFrom="column">
            <wp:posOffset>-586105</wp:posOffset>
          </wp:positionH>
          <wp:positionV relativeFrom="paragraph">
            <wp:posOffset>-557068</wp:posOffset>
          </wp:positionV>
          <wp:extent cx="1219200" cy="569134"/>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y_Cons vertical.jpg"/>
                  <pic:cNvPicPr/>
                </pic:nvPicPr>
                <pic:blipFill>
                  <a:blip r:embed="rId2"/>
                  <a:stretch>
                    <a:fillRect/>
                  </a:stretch>
                </pic:blipFill>
                <pic:spPr>
                  <a:xfrm>
                    <a:off x="0" y="0"/>
                    <a:ext cx="1221066" cy="570005"/>
                  </a:xfrm>
                  <a:prstGeom prst="rect">
                    <a:avLst/>
                  </a:prstGeom>
                </pic:spPr>
              </pic:pic>
            </a:graphicData>
          </a:graphic>
          <wp14:sizeRelH relativeFrom="page">
            <wp14:pctWidth>0</wp14:pctWidth>
          </wp14:sizeRelH>
          <wp14:sizeRelV relativeFrom="page">
            <wp14:pctHeight>0</wp14:pctHeight>
          </wp14:sizeRelV>
        </wp:anchor>
      </w:drawing>
    </w:r>
    <w:r w:rsidR="00795F19" w:rsidRPr="00FD07C9">
      <w:rPr>
        <w:noProof/>
        <w:lang w:eastAsia="en-AU"/>
      </w:rPr>
      <w:drawing>
        <wp:anchor distT="0" distB="0" distL="114300" distR="114300" simplePos="0" relativeHeight="251658240" behindDoc="1" locked="0" layoutInCell="1" allowOverlap="1" wp14:anchorId="3A296FB9" wp14:editId="6F904FFD">
          <wp:simplePos x="0" y="0"/>
          <wp:positionH relativeFrom="column">
            <wp:posOffset>-901700</wp:posOffset>
          </wp:positionH>
          <wp:positionV relativeFrom="paragraph">
            <wp:posOffset>25400</wp:posOffset>
          </wp:positionV>
          <wp:extent cx="7588250" cy="95259"/>
          <wp:effectExtent l="0" t="0" r="0"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8250" cy="952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B41380"/>
    <w:lvl w:ilvl="0">
      <w:start w:val="1"/>
      <w:numFmt w:val="lowerLetter"/>
      <w:pStyle w:val="ListNumber2"/>
      <w:lvlText w:val="%1."/>
      <w:lvlJc w:val="left"/>
      <w:pPr>
        <w:ind w:left="717"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67A8D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C9C80"/>
    <w:lvl w:ilvl="0">
      <w:start w:val="1"/>
      <w:numFmt w:val="decimal"/>
      <w:pStyle w:val="ListNumber"/>
      <w:lvlText w:val="%1."/>
      <w:lvlJc w:val="left"/>
      <w:pPr>
        <w:ind w:left="360" w:hanging="360"/>
      </w:pPr>
    </w:lvl>
  </w:abstractNum>
  <w:abstractNum w:abstractNumId="9" w15:restartNumberingAfterBreak="0">
    <w:nsid w:val="FFFFFF89"/>
    <w:multiLevelType w:val="singleLevel"/>
    <w:tmpl w:val="FC2847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633BC"/>
    <w:multiLevelType w:val="hybridMultilevel"/>
    <w:tmpl w:val="E41C8FA6"/>
    <w:lvl w:ilvl="0" w:tplc="5F500B36">
      <w:start w:val="1"/>
      <w:numFmt w:val="bullet"/>
      <w:pStyle w:val="ListBullet3"/>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442666D"/>
    <w:multiLevelType w:val="hybridMultilevel"/>
    <w:tmpl w:val="79147F6C"/>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29F14C4C"/>
    <w:multiLevelType w:val="hybridMultilevel"/>
    <w:tmpl w:val="20E68F8A"/>
    <w:lvl w:ilvl="0" w:tplc="30EC2C3E">
      <w:start w:val="1"/>
      <w:numFmt w:val="decimal"/>
      <w:pStyle w:val="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26475E9"/>
    <w:multiLevelType w:val="hybridMultilevel"/>
    <w:tmpl w:val="93C471AC"/>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DF178B3"/>
    <w:multiLevelType w:val="hybridMultilevel"/>
    <w:tmpl w:val="95A0A476"/>
    <w:lvl w:ilvl="0" w:tplc="0C090001">
      <w:start w:val="1"/>
      <w:numFmt w:val="bullet"/>
      <w:lvlText w:val=""/>
      <w:lvlJc w:val="left"/>
      <w:pPr>
        <w:ind w:left="1713" w:hanging="360"/>
      </w:pPr>
      <w:rPr>
        <w:rFonts w:ascii="Symbol" w:hAnsi="Symbol" w:hint="default"/>
      </w:rPr>
    </w:lvl>
    <w:lvl w:ilvl="1" w:tplc="0C090003">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5" w15:restartNumberingAfterBreak="0">
    <w:nsid w:val="4C2A1F6A"/>
    <w:multiLevelType w:val="hybridMultilevel"/>
    <w:tmpl w:val="B1A6BA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Type w:val="letter"/>
  <w:defaultTabStop w:val="720"/>
  <w:characterSpacingControl w:val="doNotCompress"/>
  <w:savePreviewPicture/>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034C1E"/>
    <w:rsid w:val="00002FEC"/>
    <w:rsid w:val="00005EEC"/>
    <w:rsid w:val="000063BC"/>
    <w:rsid w:val="00006E07"/>
    <w:rsid w:val="00020323"/>
    <w:rsid w:val="0002047A"/>
    <w:rsid w:val="00026AFA"/>
    <w:rsid w:val="000347AD"/>
    <w:rsid w:val="00034C1E"/>
    <w:rsid w:val="000408EE"/>
    <w:rsid w:val="00043192"/>
    <w:rsid w:val="000434AC"/>
    <w:rsid w:val="00045715"/>
    <w:rsid w:val="00051071"/>
    <w:rsid w:val="00051455"/>
    <w:rsid w:val="00053E6D"/>
    <w:rsid w:val="00054FE5"/>
    <w:rsid w:val="00056AE8"/>
    <w:rsid w:val="000748E8"/>
    <w:rsid w:val="000808EE"/>
    <w:rsid w:val="00081CB6"/>
    <w:rsid w:val="00084050"/>
    <w:rsid w:val="00084817"/>
    <w:rsid w:val="00085EF4"/>
    <w:rsid w:val="00091E2E"/>
    <w:rsid w:val="000963D2"/>
    <w:rsid w:val="000B2AB4"/>
    <w:rsid w:val="000C45FA"/>
    <w:rsid w:val="000D10CA"/>
    <w:rsid w:val="000D2DE3"/>
    <w:rsid w:val="000D2E96"/>
    <w:rsid w:val="000D5B6B"/>
    <w:rsid w:val="000D6830"/>
    <w:rsid w:val="000D6EF8"/>
    <w:rsid w:val="000E0AFE"/>
    <w:rsid w:val="000F4F10"/>
    <w:rsid w:val="000F50D7"/>
    <w:rsid w:val="000F69E8"/>
    <w:rsid w:val="00104697"/>
    <w:rsid w:val="00116738"/>
    <w:rsid w:val="00116A39"/>
    <w:rsid w:val="00136305"/>
    <w:rsid w:val="00137C77"/>
    <w:rsid w:val="00141525"/>
    <w:rsid w:val="00141BFF"/>
    <w:rsid w:val="00143B5E"/>
    <w:rsid w:val="00150802"/>
    <w:rsid w:val="00150FC0"/>
    <w:rsid w:val="001562A1"/>
    <w:rsid w:val="0015719C"/>
    <w:rsid w:val="001674BE"/>
    <w:rsid w:val="00170FFD"/>
    <w:rsid w:val="00173FBF"/>
    <w:rsid w:val="00181326"/>
    <w:rsid w:val="001943AA"/>
    <w:rsid w:val="001A7DB5"/>
    <w:rsid w:val="001B172C"/>
    <w:rsid w:val="001B2E05"/>
    <w:rsid w:val="001B39A0"/>
    <w:rsid w:val="001C2674"/>
    <w:rsid w:val="001D17E5"/>
    <w:rsid w:val="001D43B8"/>
    <w:rsid w:val="001D56AB"/>
    <w:rsid w:val="001D664E"/>
    <w:rsid w:val="001E570F"/>
    <w:rsid w:val="001E77AD"/>
    <w:rsid w:val="001F370B"/>
    <w:rsid w:val="0020168B"/>
    <w:rsid w:val="00202E1A"/>
    <w:rsid w:val="002058DE"/>
    <w:rsid w:val="00205C44"/>
    <w:rsid w:val="00210BA4"/>
    <w:rsid w:val="00214156"/>
    <w:rsid w:val="002167CF"/>
    <w:rsid w:val="00223702"/>
    <w:rsid w:val="00226AED"/>
    <w:rsid w:val="002273FF"/>
    <w:rsid w:val="002324F4"/>
    <w:rsid w:val="00233242"/>
    <w:rsid w:val="00235414"/>
    <w:rsid w:val="00242E23"/>
    <w:rsid w:val="002447B3"/>
    <w:rsid w:val="00246763"/>
    <w:rsid w:val="002548B4"/>
    <w:rsid w:val="00257432"/>
    <w:rsid w:val="0026452E"/>
    <w:rsid w:val="002824D7"/>
    <w:rsid w:val="00287052"/>
    <w:rsid w:val="00291F2C"/>
    <w:rsid w:val="00294120"/>
    <w:rsid w:val="002A1FA1"/>
    <w:rsid w:val="002A4120"/>
    <w:rsid w:val="002A5684"/>
    <w:rsid w:val="002C44E5"/>
    <w:rsid w:val="002D4C58"/>
    <w:rsid w:val="002E283A"/>
    <w:rsid w:val="002E63D1"/>
    <w:rsid w:val="002F1217"/>
    <w:rsid w:val="002F496D"/>
    <w:rsid w:val="002F60B1"/>
    <w:rsid w:val="0030314A"/>
    <w:rsid w:val="00310EA3"/>
    <w:rsid w:val="00314A06"/>
    <w:rsid w:val="00321453"/>
    <w:rsid w:val="0032350A"/>
    <w:rsid w:val="0032370A"/>
    <w:rsid w:val="0032453B"/>
    <w:rsid w:val="003257BF"/>
    <w:rsid w:val="00327DE0"/>
    <w:rsid w:val="00335377"/>
    <w:rsid w:val="00336929"/>
    <w:rsid w:val="00345F62"/>
    <w:rsid w:val="003476AF"/>
    <w:rsid w:val="003505F9"/>
    <w:rsid w:val="00350DD3"/>
    <w:rsid w:val="00354383"/>
    <w:rsid w:val="00367089"/>
    <w:rsid w:val="0037173A"/>
    <w:rsid w:val="003764BF"/>
    <w:rsid w:val="00377998"/>
    <w:rsid w:val="003918D2"/>
    <w:rsid w:val="00391A6B"/>
    <w:rsid w:val="003952BB"/>
    <w:rsid w:val="003A286E"/>
    <w:rsid w:val="003A3330"/>
    <w:rsid w:val="003A6D53"/>
    <w:rsid w:val="003B2F0D"/>
    <w:rsid w:val="003C23C9"/>
    <w:rsid w:val="003D0642"/>
    <w:rsid w:val="003D1507"/>
    <w:rsid w:val="003D7701"/>
    <w:rsid w:val="003E6011"/>
    <w:rsid w:val="003E7589"/>
    <w:rsid w:val="003F2945"/>
    <w:rsid w:val="003F73AF"/>
    <w:rsid w:val="00427A54"/>
    <w:rsid w:val="004427EF"/>
    <w:rsid w:val="00442C2F"/>
    <w:rsid w:val="00444F80"/>
    <w:rsid w:val="00460F7C"/>
    <w:rsid w:val="0046424E"/>
    <w:rsid w:val="0046756F"/>
    <w:rsid w:val="0046775C"/>
    <w:rsid w:val="00477093"/>
    <w:rsid w:val="00480992"/>
    <w:rsid w:val="0049665D"/>
    <w:rsid w:val="00496E73"/>
    <w:rsid w:val="004A2C5B"/>
    <w:rsid w:val="004B0E7A"/>
    <w:rsid w:val="004B436E"/>
    <w:rsid w:val="004B5A6C"/>
    <w:rsid w:val="004C27D6"/>
    <w:rsid w:val="004C4B81"/>
    <w:rsid w:val="004C5486"/>
    <w:rsid w:val="004C7715"/>
    <w:rsid w:val="004C7F88"/>
    <w:rsid w:val="004F77FB"/>
    <w:rsid w:val="0050367A"/>
    <w:rsid w:val="005039F0"/>
    <w:rsid w:val="0050408D"/>
    <w:rsid w:val="0051208F"/>
    <w:rsid w:val="00514D1F"/>
    <w:rsid w:val="005168FA"/>
    <w:rsid w:val="005179EE"/>
    <w:rsid w:val="00517A9C"/>
    <w:rsid w:val="00526414"/>
    <w:rsid w:val="00540384"/>
    <w:rsid w:val="0055010B"/>
    <w:rsid w:val="00552ABC"/>
    <w:rsid w:val="00554025"/>
    <w:rsid w:val="00565FED"/>
    <w:rsid w:val="005932EF"/>
    <w:rsid w:val="005A7159"/>
    <w:rsid w:val="005A76C7"/>
    <w:rsid w:val="005B581A"/>
    <w:rsid w:val="005C0AC3"/>
    <w:rsid w:val="005C689D"/>
    <w:rsid w:val="005C7C1B"/>
    <w:rsid w:val="005D0AFF"/>
    <w:rsid w:val="005D15F8"/>
    <w:rsid w:val="005D7061"/>
    <w:rsid w:val="005E0BC4"/>
    <w:rsid w:val="005F223C"/>
    <w:rsid w:val="006034C8"/>
    <w:rsid w:val="00612B3C"/>
    <w:rsid w:val="00625626"/>
    <w:rsid w:val="0062612F"/>
    <w:rsid w:val="0062635F"/>
    <w:rsid w:val="00635C44"/>
    <w:rsid w:val="0064282D"/>
    <w:rsid w:val="00646F9B"/>
    <w:rsid w:val="00652226"/>
    <w:rsid w:val="00655749"/>
    <w:rsid w:val="006576E1"/>
    <w:rsid w:val="006649ED"/>
    <w:rsid w:val="00667A34"/>
    <w:rsid w:val="00673D09"/>
    <w:rsid w:val="006848ED"/>
    <w:rsid w:val="00684BE5"/>
    <w:rsid w:val="00685C8E"/>
    <w:rsid w:val="006A4F3A"/>
    <w:rsid w:val="006A5358"/>
    <w:rsid w:val="006A602C"/>
    <w:rsid w:val="006B5EFF"/>
    <w:rsid w:val="006B64D7"/>
    <w:rsid w:val="006B7220"/>
    <w:rsid w:val="006C2698"/>
    <w:rsid w:val="006C5175"/>
    <w:rsid w:val="006E054E"/>
    <w:rsid w:val="006E4BC4"/>
    <w:rsid w:val="006F20C0"/>
    <w:rsid w:val="006F5867"/>
    <w:rsid w:val="00707ACD"/>
    <w:rsid w:val="00710E40"/>
    <w:rsid w:val="0071325F"/>
    <w:rsid w:val="00713338"/>
    <w:rsid w:val="0072185F"/>
    <w:rsid w:val="007218C8"/>
    <w:rsid w:val="00722A6D"/>
    <w:rsid w:val="00723128"/>
    <w:rsid w:val="00726F2C"/>
    <w:rsid w:val="007306C2"/>
    <w:rsid w:val="007354B2"/>
    <w:rsid w:val="007405F1"/>
    <w:rsid w:val="00741521"/>
    <w:rsid w:val="0076188E"/>
    <w:rsid w:val="0076646D"/>
    <w:rsid w:val="00786A5A"/>
    <w:rsid w:val="0079107B"/>
    <w:rsid w:val="00795DA6"/>
    <w:rsid w:val="00795F19"/>
    <w:rsid w:val="007977C7"/>
    <w:rsid w:val="007A1102"/>
    <w:rsid w:val="007A1BD0"/>
    <w:rsid w:val="007A3267"/>
    <w:rsid w:val="007B04E0"/>
    <w:rsid w:val="007B4E27"/>
    <w:rsid w:val="007B50E9"/>
    <w:rsid w:val="007C01CA"/>
    <w:rsid w:val="007C0571"/>
    <w:rsid w:val="007F3327"/>
    <w:rsid w:val="007F5860"/>
    <w:rsid w:val="00805AE4"/>
    <w:rsid w:val="00817C71"/>
    <w:rsid w:val="00825490"/>
    <w:rsid w:val="00825631"/>
    <w:rsid w:val="00832901"/>
    <w:rsid w:val="008376F2"/>
    <w:rsid w:val="00841B81"/>
    <w:rsid w:val="00844349"/>
    <w:rsid w:val="00845123"/>
    <w:rsid w:val="00845E58"/>
    <w:rsid w:val="0085229E"/>
    <w:rsid w:val="00864605"/>
    <w:rsid w:val="008677D0"/>
    <w:rsid w:val="008711E7"/>
    <w:rsid w:val="00876ECA"/>
    <w:rsid w:val="00883370"/>
    <w:rsid w:val="0088511D"/>
    <w:rsid w:val="008924E8"/>
    <w:rsid w:val="00895ED0"/>
    <w:rsid w:val="00897026"/>
    <w:rsid w:val="008A2BA9"/>
    <w:rsid w:val="008A6734"/>
    <w:rsid w:val="008B0054"/>
    <w:rsid w:val="008B4699"/>
    <w:rsid w:val="008B5CD0"/>
    <w:rsid w:val="008C01AD"/>
    <w:rsid w:val="008C2DAA"/>
    <w:rsid w:val="008C5566"/>
    <w:rsid w:val="008D024A"/>
    <w:rsid w:val="008D242F"/>
    <w:rsid w:val="008D2563"/>
    <w:rsid w:val="008D3642"/>
    <w:rsid w:val="008D375A"/>
    <w:rsid w:val="008D45C3"/>
    <w:rsid w:val="008E096C"/>
    <w:rsid w:val="008E31CF"/>
    <w:rsid w:val="008F004D"/>
    <w:rsid w:val="008F2F0F"/>
    <w:rsid w:val="008F5368"/>
    <w:rsid w:val="00911DED"/>
    <w:rsid w:val="0092106C"/>
    <w:rsid w:val="00921102"/>
    <w:rsid w:val="00925612"/>
    <w:rsid w:val="00933DDF"/>
    <w:rsid w:val="00937EC0"/>
    <w:rsid w:val="00963F69"/>
    <w:rsid w:val="00970548"/>
    <w:rsid w:val="0097557C"/>
    <w:rsid w:val="00976894"/>
    <w:rsid w:val="00977847"/>
    <w:rsid w:val="0098379D"/>
    <w:rsid w:val="00983E29"/>
    <w:rsid w:val="00990C7B"/>
    <w:rsid w:val="009915A8"/>
    <w:rsid w:val="00996408"/>
    <w:rsid w:val="00996C61"/>
    <w:rsid w:val="009A3078"/>
    <w:rsid w:val="009A6DB5"/>
    <w:rsid w:val="009E0997"/>
    <w:rsid w:val="009E1182"/>
    <w:rsid w:val="009E5BA2"/>
    <w:rsid w:val="009F17C2"/>
    <w:rsid w:val="009F2F0E"/>
    <w:rsid w:val="00A02073"/>
    <w:rsid w:val="00A0260F"/>
    <w:rsid w:val="00A05D48"/>
    <w:rsid w:val="00A06066"/>
    <w:rsid w:val="00A109BE"/>
    <w:rsid w:val="00A16957"/>
    <w:rsid w:val="00A20976"/>
    <w:rsid w:val="00A24341"/>
    <w:rsid w:val="00A60BD6"/>
    <w:rsid w:val="00A64BFB"/>
    <w:rsid w:val="00A665A3"/>
    <w:rsid w:val="00A67EE3"/>
    <w:rsid w:val="00A7636C"/>
    <w:rsid w:val="00A803DE"/>
    <w:rsid w:val="00A82DB4"/>
    <w:rsid w:val="00AB049D"/>
    <w:rsid w:val="00AB0C83"/>
    <w:rsid w:val="00AB34E7"/>
    <w:rsid w:val="00AB47F1"/>
    <w:rsid w:val="00AB5F3D"/>
    <w:rsid w:val="00AB6781"/>
    <w:rsid w:val="00AB755B"/>
    <w:rsid w:val="00AC0CFC"/>
    <w:rsid w:val="00AD39C5"/>
    <w:rsid w:val="00AD7FD4"/>
    <w:rsid w:val="00AE0D43"/>
    <w:rsid w:val="00AE13F2"/>
    <w:rsid w:val="00AE496A"/>
    <w:rsid w:val="00AE4FED"/>
    <w:rsid w:val="00AE6E1B"/>
    <w:rsid w:val="00AF33CF"/>
    <w:rsid w:val="00B0386A"/>
    <w:rsid w:val="00B0589C"/>
    <w:rsid w:val="00B156E2"/>
    <w:rsid w:val="00B172AD"/>
    <w:rsid w:val="00B175B0"/>
    <w:rsid w:val="00B23655"/>
    <w:rsid w:val="00B23DD8"/>
    <w:rsid w:val="00B319B7"/>
    <w:rsid w:val="00B32365"/>
    <w:rsid w:val="00B34F03"/>
    <w:rsid w:val="00B42611"/>
    <w:rsid w:val="00B45896"/>
    <w:rsid w:val="00B47222"/>
    <w:rsid w:val="00B47B2A"/>
    <w:rsid w:val="00B568E9"/>
    <w:rsid w:val="00B60235"/>
    <w:rsid w:val="00B72E01"/>
    <w:rsid w:val="00B87B7F"/>
    <w:rsid w:val="00B87E51"/>
    <w:rsid w:val="00B90BF3"/>
    <w:rsid w:val="00B912E4"/>
    <w:rsid w:val="00B943DC"/>
    <w:rsid w:val="00BA5DF0"/>
    <w:rsid w:val="00BC470B"/>
    <w:rsid w:val="00BC55B2"/>
    <w:rsid w:val="00BC65FC"/>
    <w:rsid w:val="00BD3388"/>
    <w:rsid w:val="00BD4FAD"/>
    <w:rsid w:val="00BE256B"/>
    <w:rsid w:val="00BE3E9C"/>
    <w:rsid w:val="00BE7F31"/>
    <w:rsid w:val="00BF0B24"/>
    <w:rsid w:val="00BF4083"/>
    <w:rsid w:val="00BF4D8A"/>
    <w:rsid w:val="00C03C83"/>
    <w:rsid w:val="00C136C0"/>
    <w:rsid w:val="00C13768"/>
    <w:rsid w:val="00C15FB0"/>
    <w:rsid w:val="00C1651D"/>
    <w:rsid w:val="00C16713"/>
    <w:rsid w:val="00C17787"/>
    <w:rsid w:val="00C26159"/>
    <w:rsid w:val="00C275DD"/>
    <w:rsid w:val="00C40664"/>
    <w:rsid w:val="00C470C7"/>
    <w:rsid w:val="00C5464E"/>
    <w:rsid w:val="00C611EC"/>
    <w:rsid w:val="00C624BD"/>
    <w:rsid w:val="00C625A7"/>
    <w:rsid w:val="00CA14FC"/>
    <w:rsid w:val="00CA3991"/>
    <w:rsid w:val="00CA3AC8"/>
    <w:rsid w:val="00CA6043"/>
    <w:rsid w:val="00CB5C7C"/>
    <w:rsid w:val="00CC087D"/>
    <w:rsid w:val="00CC0F72"/>
    <w:rsid w:val="00CC310F"/>
    <w:rsid w:val="00CC56C5"/>
    <w:rsid w:val="00CD7437"/>
    <w:rsid w:val="00CF013E"/>
    <w:rsid w:val="00CF0B82"/>
    <w:rsid w:val="00D0194A"/>
    <w:rsid w:val="00D05E5D"/>
    <w:rsid w:val="00D15835"/>
    <w:rsid w:val="00D20B09"/>
    <w:rsid w:val="00D24A51"/>
    <w:rsid w:val="00D31D7F"/>
    <w:rsid w:val="00D47D69"/>
    <w:rsid w:val="00D5212F"/>
    <w:rsid w:val="00D63906"/>
    <w:rsid w:val="00D64B01"/>
    <w:rsid w:val="00D76766"/>
    <w:rsid w:val="00DA2048"/>
    <w:rsid w:val="00DA25A0"/>
    <w:rsid w:val="00DA371C"/>
    <w:rsid w:val="00DB1202"/>
    <w:rsid w:val="00DB13E1"/>
    <w:rsid w:val="00DD026C"/>
    <w:rsid w:val="00DD7AFA"/>
    <w:rsid w:val="00DE1974"/>
    <w:rsid w:val="00DE2E2F"/>
    <w:rsid w:val="00DF3FDC"/>
    <w:rsid w:val="00DF5ED9"/>
    <w:rsid w:val="00E13518"/>
    <w:rsid w:val="00E17939"/>
    <w:rsid w:val="00E24DDA"/>
    <w:rsid w:val="00E413CC"/>
    <w:rsid w:val="00E51646"/>
    <w:rsid w:val="00E52DB6"/>
    <w:rsid w:val="00E560ED"/>
    <w:rsid w:val="00E6116F"/>
    <w:rsid w:val="00E61637"/>
    <w:rsid w:val="00E66950"/>
    <w:rsid w:val="00E731EC"/>
    <w:rsid w:val="00E81E0A"/>
    <w:rsid w:val="00E82D2B"/>
    <w:rsid w:val="00E876DD"/>
    <w:rsid w:val="00E94C16"/>
    <w:rsid w:val="00EA5898"/>
    <w:rsid w:val="00EA5F94"/>
    <w:rsid w:val="00EB32B6"/>
    <w:rsid w:val="00EB35F1"/>
    <w:rsid w:val="00ED165D"/>
    <w:rsid w:val="00ED3091"/>
    <w:rsid w:val="00ED3E59"/>
    <w:rsid w:val="00ED4AAA"/>
    <w:rsid w:val="00ED5C07"/>
    <w:rsid w:val="00ED6A84"/>
    <w:rsid w:val="00EE0834"/>
    <w:rsid w:val="00EE326E"/>
    <w:rsid w:val="00EE488D"/>
    <w:rsid w:val="00F0292B"/>
    <w:rsid w:val="00F02EA8"/>
    <w:rsid w:val="00F16527"/>
    <w:rsid w:val="00F210B9"/>
    <w:rsid w:val="00F27D5B"/>
    <w:rsid w:val="00F3010A"/>
    <w:rsid w:val="00F3273C"/>
    <w:rsid w:val="00F4310B"/>
    <w:rsid w:val="00F432C7"/>
    <w:rsid w:val="00F55500"/>
    <w:rsid w:val="00F578E7"/>
    <w:rsid w:val="00F618FB"/>
    <w:rsid w:val="00F62C38"/>
    <w:rsid w:val="00F62F22"/>
    <w:rsid w:val="00F66B96"/>
    <w:rsid w:val="00F72BD1"/>
    <w:rsid w:val="00F75E44"/>
    <w:rsid w:val="00F82101"/>
    <w:rsid w:val="00F841EF"/>
    <w:rsid w:val="00FA2CF3"/>
    <w:rsid w:val="00FB0362"/>
    <w:rsid w:val="00FB4726"/>
    <w:rsid w:val="00FC038F"/>
    <w:rsid w:val="00FC1EF3"/>
    <w:rsid w:val="00FC2CE3"/>
    <w:rsid w:val="00FC409E"/>
    <w:rsid w:val="00FD07C9"/>
    <w:rsid w:val="00FE2DFA"/>
    <w:rsid w:val="00FE312F"/>
    <w:rsid w:val="00FE37AD"/>
    <w:rsid w:val="00FE4693"/>
    <w:rsid w:val="00FE6577"/>
    <w:rsid w:val="00FF0F74"/>
    <w:rsid w:val="00FF668C"/>
    <w:rsid w:val="00FF6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A296F8C"/>
  <w15:docId w15:val="{18DB742C-2898-481D-B3FF-16291445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F19"/>
    <w:pPr>
      <w:spacing w:before="240"/>
    </w:pPr>
    <w:rPr>
      <w:rFonts w:ascii="Arial" w:hAnsi="Arial" w:cs="Baskerville"/>
      <w:color w:val="404040" w:themeColor="text1" w:themeTint="BF"/>
      <w:lang w:val="en-AU"/>
    </w:rPr>
  </w:style>
  <w:style w:type="paragraph" w:styleId="Heading1">
    <w:name w:val="heading 1"/>
    <w:basedOn w:val="Normal"/>
    <w:next w:val="Normal"/>
    <w:link w:val="Heading1Char"/>
    <w:qFormat/>
    <w:rsid w:val="00BE256B"/>
    <w:pPr>
      <w:keepNext/>
      <w:keepLines/>
      <w:spacing w:before="360"/>
      <w:outlineLvl w:val="0"/>
    </w:pPr>
    <w:rPr>
      <w:rFonts w:eastAsiaTheme="majorEastAsia" w:cstheme="majorBidi"/>
      <w:b/>
      <w:bCs/>
      <w:color w:val="003A68" w:themeColor="accent5" w:themeShade="40"/>
      <w:sz w:val="28"/>
      <w:szCs w:val="28"/>
    </w:rPr>
  </w:style>
  <w:style w:type="paragraph" w:styleId="Heading2">
    <w:name w:val="heading 2"/>
    <w:basedOn w:val="Normal"/>
    <w:next w:val="Normal"/>
    <w:link w:val="Heading2Char"/>
    <w:unhideWhenUsed/>
    <w:qFormat/>
    <w:rsid w:val="00BE256B"/>
    <w:pPr>
      <w:keepNext/>
      <w:keepLines/>
      <w:spacing w:before="360"/>
      <w:outlineLvl w:val="1"/>
    </w:pPr>
    <w:rPr>
      <w:rFonts w:eastAsiaTheme="majorEastAsia" w:cstheme="majorBidi"/>
      <w:b/>
      <w:bCs/>
      <w:color w:val="395A89" w:themeColor="accent4" w:themeShade="BF"/>
      <w:sz w:val="24"/>
      <w:szCs w:val="26"/>
    </w:rPr>
  </w:style>
  <w:style w:type="paragraph" w:styleId="Heading3">
    <w:name w:val="heading 3"/>
    <w:basedOn w:val="Normal"/>
    <w:next w:val="Normal"/>
    <w:link w:val="Heading3Char"/>
    <w:unhideWhenUsed/>
    <w:qFormat/>
    <w:rsid w:val="006F5867"/>
    <w:pPr>
      <w:keepNext/>
      <w:keepLines/>
      <w:outlineLvl w:val="2"/>
    </w:pPr>
    <w:rPr>
      <w:rFonts w:eastAsiaTheme="majorEastAsia" w:cstheme="majorBidi"/>
      <w:b/>
      <w:bCs/>
      <w:i/>
      <w:color w:val="4F7AB5" w:themeColor="accent4"/>
      <w:sz w:val="24"/>
    </w:rPr>
  </w:style>
  <w:style w:type="paragraph" w:styleId="Heading4">
    <w:name w:val="heading 4"/>
    <w:basedOn w:val="Normal"/>
    <w:next w:val="NormalIndent"/>
    <w:link w:val="Heading4Char"/>
    <w:unhideWhenUsed/>
    <w:qFormat/>
    <w:rsid w:val="0015719C"/>
    <w:pPr>
      <w:keepNext/>
      <w:keepLines/>
      <w:numPr>
        <w:numId w:val="15"/>
      </w:numPr>
      <w:spacing w:before="200"/>
      <w:ind w:left="284" w:hanging="284"/>
      <w:outlineLvl w:val="3"/>
    </w:pPr>
    <w:rPr>
      <w:rFonts w:eastAsiaTheme="majorEastAsia" w:cs="Arial"/>
      <w:b/>
      <w:bCs/>
      <w:color w:val="auto"/>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57C"/>
    <w:pPr>
      <w:tabs>
        <w:tab w:val="center" w:pos="4680"/>
        <w:tab w:val="right" w:pos="9360"/>
      </w:tabs>
      <w:spacing w:after="200"/>
    </w:pPr>
  </w:style>
  <w:style w:type="character" w:customStyle="1" w:styleId="HeaderChar">
    <w:name w:val="Header Char"/>
    <w:basedOn w:val="DefaultParagraphFont"/>
    <w:link w:val="Header"/>
    <w:rsid w:val="0097557C"/>
  </w:style>
  <w:style w:type="paragraph" w:styleId="Footer">
    <w:name w:val="footer"/>
    <w:basedOn w:val="Normal"/>
    <w:link w:val="FooterChar"/>
    <w:rsid w:val="0097557C"/>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97557C"/>
    <w:rPr>
      <w:color w:val="377933" w:themeColor="accent2"/>
    </w:rPr>
  </w:style>
  <w:style w:type="paragraph" w:styleId="Title">
    <w:name w:val="Title"/>
    <w:basedOn w:val="Normal"/>
    <w:next w:val="Normal"/>
    <w:link w:val="TitleChar"/>
    <w:rsid w:val="0097557C"/>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97557C"/>
    <w:pPr>
      <w:spacing w:before="120" w:after="240"/>
    </w:pPr>
    <w:rPr>
      <w:color w:val="405242" w:themeColor="accent1"/>
      <w:sz w:val="18"/>
      <w:szCs w:val="18"/>
    </w:rPr>
  </w:style>
  <w:style w:type="paragraph" w:customStyle="1" w:styleId="Boxes">
    <w:name w:val="Boxes"/>
    <w:basedOn w:val="Normal"/>
    <w:rsid w:val="0097557C"/>
    <w:pPr>
      <w:jc w:val="right"/>
    </w:pPr>
  </w:style>
  <w:style w:type="paragraph" w:styleId="BodyText">
    <w:name w:val="Body Text"/>
    <w:basedOn w:val="Normal"/>
    <w:link w:val="BodyTextChar"/>
    <w:rsid w:val="0097557C"/>
    <w:pPr>
      <w:spacing w:before="200"/>
    </w:pPr>
  </w:style>
  <w:style w:type="character" w:customStyle="1" w:styleId="BodyTextChar">
    <w:name w:val="Body Text Char"/>
    <w:basedOn w:val="DefaultParagraphFont"/>
    <w:link w:val="BodyText"/>
    <w:rsid w:val="0097557C"/>
  </w:style>
  <w:style w:type="paragraph" w:customStyle="1" w:styleId="Address">
    <w:name w:val="Address"/>
    <w:basedOn w:val="Normal"/>
    <w:rsid w:val="0097557C"/>
    <w:rPr>
      <w:sz w:val="18"/>
    </w:rPr>
  </w:style>
  <w:style w:type="paragraph" w:customStyle="1" w:styleId="DateandRecipient">
    <w:name w:val="Date and Recipient"/>
    <w:basedOn w:val="Normal"/>
    <w:rsid w:val="0097557C"/>
    <w:pPr>
      <w:spacing w:before="400"/>
    </w:pPr>
  </w:style>
  <w:style w:type="paragraph" w:styleId="Signature">
    <w:name w:val="Signature"/>
    <w:basedOn w:val="Normal"/>
    <w:link w:val="SignatureChar"/>
    <w:rsid w:val="0097557C"/>
    <w:pPr>
      <w:spacing w:before="600"/>
    </w:pPr>
  </w:style>
  <w:style w:type="character" w:customStyle="1" w:styleId="SignatureChar">
    <w:name w:val="Signature Char"/>
    <w:basedOn w:val="DefaultParagraphFont"/>
    <w:link w:val="Signature"/>
    <w:rsid w:val="0097557C"/>
    <w:rPr>
      <w:color w:val="404040" w:themeColor="text1" w:themeTint="BF"/>
    </w:rPr>
  </w:style>
  <w:style w:type="paragraph" w:styleId="BalloonText">
    <w:name w:val="Balloon Text"/>
    <w:basedOn w:val="Normal"/>
    <w:link w:val="BalloonTextChar"/>
    <w:semiHidden/>
    <w:unhideWhenUsed/>
    <w:rsid w:val="0097557C"/>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BodyText"/>
    <w:link w:val="BodyTextFirstIndentChar"/>
    <w:semiHidden/>
    <w:unhideWhenUsed/>
    <w:rsid w:val="0097557C"/>
    <w:pPr>
      <w:spacing w:before="0"/>
      <w:ind w:firstLine="360"/>
    </w:pPr>
  </w:style>
  <w:style w:type="character" w:customStyle="1" w:styleId="BodyTextFirstIndentChar">
    <w:name w:val="Body Text First Indent Char"/>
    <w:basedOn w:val="BodyTextChar"/>
    <w:link w:val="BodyTextFirstIndent"/>
    <w:semiHidden/>
    <w:rsid w:val="0097557C"/>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after="200"/>
    </w:pPr>
    <w:rPr>
      <w:b/>
      <w:bCs/>
      <w:color w:val="405242" w:themeColor="accent1"/>
      <w:sz w:val="18"/>
      <w:szCs w:val="18"/>
    </w:rPr>
  </w:style>
  <w:style w:type="paragraph" w:styleId="Closing">
    <w:name w:val="Closing"/>
    <w:basedOn w:val="Normal"/>
    <w:link w:val="ClosingChar"/>
    <w:unhideWhenUsed/>
    <w:rsid w:val="0097557C"/>
    <w:pPr>
      <w:ind w:left="4320"/>
    </w:pPr>
  </w:style>
  <w:style w:type="character" w:customStyle="1" w:styleId="ClosingChar">
    <w:name w:val="Closing Char"/>
    <w:basedOn w:val="DefaultParagraphFont"/>
    <w:link w:val="Closing"/>
    <w:rsid w:val="0097557C"/>
  </w:style>
  <w:style w:type="paragraph" w:styleId="CommentText">
    <w:name w:val="annotation text"/>
    <w:basedOn w:val="Normal"/>
    <w:link w:val="CommentTextChar"/>
    <w:semiHidden/>
    <w:unhideWhenUsed/>
    <w:rsid w:val="0097557C"/>
    <w:rPr>
      <w:sz w:val="20"/>
      <w:szCs w:val="20"/>
    </w:r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unhideWhenUsed/>
    <w:rsid w:val="0097557C"/>
    <w:rPr>
      <w:sz w:val="20"/>
      <w:szCs w:val="20"/>
    </w:rPr>
  </w:style>
  <w:style w:type="character" w:customStyle="1" w:styleId="EndnoteTextChar">
    <w:name w:val="Endnote Text Char"/>
    <w:basedOn w:val="DefaultParagraphFont"/>
    <w:link w:val="EndnoteText"/>
    <w:semiHidden/>
    <w:rsid w:val="0097557C"/>
    <w:rPr>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7557C"/>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rsid w:val="00BE256B"/>
    <w:rPr>
      <w:rFonts w:ascii="Arial" w:eastAsiaTheme="majorEastAsia" w:hAnsi="Arial" w:cstheme="majorBidi"/>
      <w:b/>
      <w:bCs/>
      <w:color w:val="003A68" w:themeColor="accent5" w:themeShade="40"/>
      <w:sz w:val="28"/>
      <w:szCs w:val="28"/>
    </w:rPr>
  </w:style>
  <w:style w:type="character" w:customStyle="1" w:styleId="Heading2Char">
    <w:name w:val="Heading 2 Char"/>
    <w:basedOn w:val="DefaultParagraphFont"/>
    <w:link w:val="Heading2"/>
    <w:rsid w:val="00BE256B"/>
    <w:rPr>
      <w:rFonts w:ascii="Arial" w:eastAsiaTheme="majorEastAsia" w:hAnsi="Arial" w:cstheme="majorBidi"/>
      <w:b/>
      <w:bCs/>
      <w:color w:val="395A89" w:themeColor="accent4" w:themeShade="BF"/>
      <w:sz w:val="24"/>
      <w:szCs w:val="26"/>
    </w:rPr>
  </w:style>
  <w:style w:type="character" w:customStyle="1" w:styleId="Heading3Char">
    <w:name w:val="Heading 3 Char"/>
    <w:basedOn w:val="DefaultParagraphFont"/>
    <w:link w:val="Heading3"/>
    <w:rsid w:val="006F5867"/>
    <w:rPr>
      <w:rFonts w:ascii="Arial" w:eastAsiaTheme="majorEastAsia" w:hAnsi="Arial" w:cstheme="majorBidi"/>
      <w:b/>
      <w:bCs/>
      <w:i/>
      <w:color w:val="4F7AB5" w:themeColor="accent4"/>
      <w:sz w:val="24"/>
    </w:rPr>
  </w:style>
  <w:style w:type="character" w:customStyle="1" w:styleId="Heading4Char">
    <w:name w:val="Heading 4 Char"/>
    <w:basedOn w:val="DefaultParagraphFont"/>
    <w:link w:val="Heading4"/>
    <w:rsid w:val="0015719C"/>
    <w:rPr>
      <w:rFonts w:ascii="Arial" w:eastAsiaTheme="majorEastAsia" w:hAnsi="Arial" w:cs="Arial"/>
      <w:b/>
      <w:bCs/>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ind w:left="220" w:hanging="220"/>
    </w:pPr>
  </w:style>
  <w:style w:type="paragraph" w:styleId="Index2">
    <w:name w:val="index 2"/>
    <w:basedOn w:val="Normal"/>
    <w:next w:val="Normal"/>
    <w:autoRedefine/>
    <w:semiHidden/>
    <w:unhideWhenUsed/>
    <w:rsid w:val="0097557C"/>
    <w:pPr>
      <w:ind w:left="440" w:hanging="220"/>
    </w:pPr>
  </w:style>
  <w:style w:type="paragraph" w:styleId="Index3">
    <w:name w:val="index 3"/>
    <w:basedOn w:val="Normal"/>
    <w:next w:val="Normal"/>
    <w:autoRedefine/>
    <w:semiHidden/>
    <w:unhideWhenUsed/>
    <w:rsid w:val="0097557C"/>
    <w:pPr>
      <w:ind w:left="660" w:hanging="220"/>
    </w:pPr>
  </w:style>
  <w:style w:type="paragraph" w:styleId="Index4">
    <w:name w:val="index 4"/>
    <w:basedOn w:val="Normal"/>
    <w:next w:val="Normal"/>
    <w:autoRedefine/>
    <w:semiHidden/>
    <w:unhideWhenUsed/>
    <w:rsid w:val="0097557C"/>
    <w:pPr>
      <w:ind w:left="880" w:hanging="220"/>
    </w:pPr>
  </w:style>
  <w:style w:type="paragraph" w:styleId="Index5">
    <w:name w:val="index 5"/>
    <w:basedOn w:val="Normal"/>
    <w:next w:val="Normal"/>
    <w:autoRedefine/>
    <w:semiHidden/>
    <w:unhideWhenUsed/>
    <w:rsid w:val="0097557C"/>
    <w:pPr>
      <w:ind w:left="1100" w:hanging="220"/>
    </w:pPr>
  </w:style>
  <w:style w:type="paragraph" w:styleId="Index6">
    <w:name w:val="index 6"/>
    <w:basedOn w:val="Normal"/>
    <w:next w:val="Normal"/>
    <w:autoRedefine/>
    <w:semiHidden/>
    <w:unhideWhenUsed/>
    <w:rsid w:val="0097557C"/>
    <w:pPr>
      <w:ind w:left="1320" w:hanging="220"/>
    </w:pPr>
  </w:style>
  <w:style w:type="paragraph" w:styleId="Index7">
    <w:name w:val="index 7"/>
    <w:basedOn w:val="Normal"/>
    <w:next w:val="Normal"/>
    <w:autoRedefine/>
    <w:semiHidden/>
    <w:unhideWhenUsed/>
    <w:rsid w:val="0097557C"/>
    <w:pPr>
      <w:ind w:left="1540" w:hanging="220"/>
    </w:pPr>
  </w:style>
  <w:style w:type="paragraph" w:styleId="Index8">
    <w:name w:val="index 8"/>
    <w:basedOn w:val="Normal"/>
    <w:next w:val="Normal"/>
    <w:autoRedefine/>
    <w:semiHidden/>
    <w:unhideWhenUsed/>
    <w:rsid w:val="0097557C"/>
    <w:pPr>
      <w:ind w:left="1760" w:hanging="220"/>
    </w:pPr>
  </w:style>
  <w:style w:type="paragraph" w:styleId="Index9">
    <w:name w:val="index 9"/>
    <w:basedOn w:val="Normal"/>
    <w:next w:val="Normal"/>
    <w:autoRedefine/>
    <w:semiHidden/>
    <w:unhideWhenUsed/>
    <w:rsid w:val="0097557C"/>
    <w:pPr>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97557C"/>
    <w:rPr>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unhideWhenUsed/>
    <w:qFormat/>
    <w:rsid w:val="00C275DD"/>
    <w:pPr>
      <w:numPr>
        <w:numId w:val="1"/>
      </w:numPr>
      <w:spacing w:before="120"/>
      <w:ind w:left="357" w:hanging="357"/>
      <w:contextualSpacing/>
    </w:pPr>
  </w:style>
  <w:style w:type="paragraph" w:styleId="ListBullet2">
    <w:name w:val="List Bullet 2"/>
    <w:basedOn w:val="Normal"/>
    <w:unhideWhenUsed/>
    <w:qFormat/>
    <w:rsid w:val="00977847"/>
    <w:pPr>
      <w:numPr>
        <w:numId w:val="2"/>
      </w:numPr>
      <w:spacing w:before="120"/>
      <w:ind w:left="714" w:hanging="357"/>
      <w:contextualSpacing/>
    </w:pPr>
  </w:style>
  <w:style w:type="paragraph" w:styleId="ListBullet3">
    <w:name w:val="List Bullet 3"/>
    <w:basedOn w:val="Normal"/>
    <w:unhideWhenUsed/>
    <w:qFormat/>
    <w:rsid w:val="00C275DD"/>
    <w:pPr>
      <w:numPr>
        <w:numId w:val="14"/>
      </w:numPr>
      <w:spacing w:before="120"/>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unhideWhenUsed/>
    <w:qFormat/>
    <w:rsid w:val="00C275DD"/>
    <w:pPr>
      <w:numPr>
        <w:numId w:val="6"/>
      </w:numPr>
      <w:spacing w:before="120"/>
      <w:contextualSpacing/>
    </w:pPr>
  </w:style>
  <w:style w:type="paragraph" w:styleId="ListNumber2">
    <w:name w:val="List Number 2"/>
    <w:basedOn w:val="Normal"/>
    <w:unhideWhenUsed/>
    <w:qFormat/>
    <w:rsid w:val="00C275DD"/>
    <w:pPr>
      <w:numPr>
        <w:numId w:val="7"/>
      </w:numPr>
      <w:spacing w:before="120"/>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rsid w:val="0097557C"/>
  </w:style>
  <w:style w:type="paragraph" w:styleId="NormalWeb">
    <w:name w:val="Normal (Web)"/>
    <w:basedOn w:val="Normal"/>
    <w:semiHidden/>
    <w:unhideWhenUsed/>
    <w:rsid w:val="0097557C"/>
    <w:rPr>
      <w:rFonts w:ascii="Times New Roman" w:hAnsi="Times New Roman" w:cs="Times New Roman"/>
      <w:sz w:val="24"/>
      <w:szCs w:val="24"/>
    </w:rPr>
  </w:style>
  <w:style w:type="paragraph" w:styleId="NormalIndent">
    <w:name w:val="Normal Indent"/>
    <w:basedOn w:val="Normal"/>
    <w:unhideWhenUsed/>
    <w:rsid w:val="00E413CC"/>
    <w:pPr>
      <w:ind w:left="284"/>
    </w:pPr>
  </w:style>
  <w:style w:type="paragraph" w:styleId="NoteHeading">
    <w:name w:val="Note Heading"/>
    <w:basedOn w:val="Normal"/>
    <w:next w:val="Normal"/>
    <w:link w:val="NoteHeadingChar"/>
    <w:semiHidden/>
    <w:unhideWhenUsed/>
    <w:rsid w:val="0097557C"/>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qFormat/>
    <w:rsid w:val="0097557C"/>
    <w:rPr>
      <w:i/>
      <w:iCs/>
      <w:color w:val="000000" w:themeColor="text1"/>
    </w:rPr>
  </w:style>
  <w:style w:type="character" w:customStyle="1" w:styleId="QuoteChar">
    <w:name w:val="Quote Char"/>
    <w:basedOn w:val="DefaultParagraphFont"/>
    <w:link w:val="Quote"/>
    <w:rsid w:val="0097557C"/>
    <w:rPr>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97557C"/>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Hyperlink">
    <w:name w:val="Hyperlink"/>
    <w:basedOn w:val="DefaultParagraphFont"/>
    <w:uiPriority w:val="99"/>
    <w:unhideWhenUsed/>
    <w:rsid w:val="00EB35F1"/>
    <w:rPr>
      <w:color w:val="00ED8F" w:themeColor="hyperlink"/>
      <w:u w:val="single"/>
    </w:rPr>
  </w:style>
  <w:style w:type="paragraph" w:customStyle="1" w:styleId="Letterhead">
    <w:name w:val="Letterhead"/>
    <w:basedOn w:val="Normal"/>
    <w:link w:val="LetterheadChar"/>
    <w:qFormat/>
    <w:rsid w:val="00795F19"/>
    <w:pPr>
      <w:spacing w:before="0"/>
    </w:pPr>
    <w:rPr>
      <w:sz w:val="16"/>
    </w:rPr>
  </w:style>
  <w:style w:type="character" w:styleId="UnresolvedMention">
    <w:name w:val="Unresolved Mention"/>
    <w:basedOn w:val="DefaultParagraphFont"/>
    <w:uiPriority w:val="99"/>
    <w:semiHidden/>
    <w:unhideWhenUsed/>
    <w:rsid w:val="00A7636C"/>
    <w:rPr>
      <w:color w:val="808080"/>
      <w:shd w:val="clear" w:color="auto" w:fill="E6E6E6"/>
    </w:rPr>
  </w:style>
  <w:style w:type="character" w:customStyle="1" w:styleId="LetterheadChar">
    <w:name w:val="Letterhead Char"/>
    <w:basedOn w:val="DefaultParagraphFont"/>
    <w:link w:val="Letterhead"/>
    <w:rsid w:val="00795F19"/>
    <w:rPr>
      <w:rFonts w:ascii="Arial" w:hAnsi="Arial" w:cs="Baskerville"/>
      <w:color w:val="404040" w:themeColor="text1" w:themeTint="BF"/>
      <w:sz w:val="16"/>
    </w:rPr>
  </w:style>
  <w:style w:type="character" w:styleId="FootnoteReference">
    <w:name w:val="footnote reference"/>
    <w:basedOn w:val="DefaultParagraphFont"/>
    <w:uiPriority w:val="99"/>
    <w:semiHidden/>
    <w:unhideWhenUsed/>
    <w:rsid w:val="00116A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rchantpricing.com/services/pricing-compariso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squareup.com/au/en/payments/pricing" TargetMode="External"/><Relationship Id="rId2" Type="http://schemas.openxmlformats.org/officeDocument/2006/relationships/hyperlink" Target="https://www.westpac.com.au/business-banking/merchants-and-payments/eftpos/eftpos-fees/" TargetMode="External"/><Relationship Id="rId1" Type="http://schemas.openxmlformats.org/officeDocument/2006/relationships/hyperlink" Target="https://www.commbank.com.au/business/merchant-services/eftpos-terminals.html?ei=eftpos" TargetMode="External"/><Relationship Id="rId5" Type="http://schemas.openxmlformats.org/officeDocument/2006/relationships/hyperlink" Target="https://rba.gov.au/statistics/tables/xls/c03hist.xlsx" TargetMode="External"/><Relationship Id="rId4" Type="http://schemas.openxmlformats.org/officeDocument/2006/relationships/hyperlink" Target="https://www.nab.com.au/business/payments-and-merchants/eftpos-terminal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jp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gala\Dropbox\Mangala&amp;Radovan\Work\01%20Graphic%20Design\05%20Word%20Template\PCN%20letterhead.dotx" TargetMode="External"/></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AE8C1677396C49A22E41DE5F433BED" ma:contentTypeVersion="11" ma:contentTypeDescription="Create a new document." ma:contentTypeScope="" ma:versionID="156211b6fa567d09c1f24fb8b4ef1e99">
  <xsd:schema xmlns:xsd="http://www.w3.org/2001/XMLSchema" xmlns:xs="http://www.w3.org/2001/XMLSchema" xmlns:p="http://schemas.microsoft.com/office/2006/metadata/properties" xmlns:ns2="fb148314-0a33-44d9-b408-99239a76b453" xmlns:ns3="6ae68870-05c3-4f70-92ad-d1c58a34f395" targetNamespace="http://schemas.microsoft.com/office/2006/metadata/properties" ma:root="true" ma:fieldsID="8cca0e85ea3babb4254fc3aacf4e9248" ns2:_="" ns3:_="">
    <xsd:import namespace="fb148314-0a33-44d9-b408-99239a76b453"/>
    <xsd:import namespace="6ae68870-05c3-4f70-92ad-d1c58a34f39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48314-0a33-44d9-b408-99239a76b4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e68870-05c3-4f70-92ad-d1c58a34f39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24258-569B-4DB6-B118-B96438382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48314-0a33-44d9-b408-99239a76b453"/>
    <ds:schemaRef ds:uri="6ae68870-05c3-4f70-92ad-d1c58a34f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ECFAFB-01F4-4864-8388-D189C72A1CB2}">
  <ds:schemaRefs>
    <ds:schemaRef ds:uri="http://schemas.microsoft.com/sharepoint/v3/contenttype/forms"/>
  </ds:schemaRefs>
</ds:datastoreItem>
</file>

<file path=customXml/itemProps3.xml><?xml version="1.0" encoding="utf-8"?>
<ds:datastoreItem xmlns:ds="http://schemas.openxmlformats.org/officeDocument/2006/customXml" ds:itemID="{5EABF86E-4FDF-4697-8464-AE5DE5409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PCN letterhead.dotx</Template>
  <TotalTime>2</TotalTime>
  <Pages>5</Pages>
  <Words>1930</Words>
  <Characters>11006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Mangala Martinus</dc:creator>
  <cp:keywords/>
  <dc:description/>
  <cp:lastModifiedBy>Mangala Martinus</cp:lastModifiedBy>
  <cp:revision>4</cp:revision>
  <cp:lastPrinted>2021-07-11T00:05:00Z</cp:lastPrinted>
  <dcterms:created xsi:type="dcterms:W3CDTF">2021-07-11T00:23:00Z</dcterms:created>
  <dcterms:modified xsi:type="dcterms:W3CDTF">2021-07-11T00:26:00Z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0x01010020AE8C1677396C49A22E41DE5F433BED</vt:lpwstr>
  </property>
</Properties>
</file>