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97" w:rsidRDefault="006934B2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34"/>
          <w:szCs w:val="34"/>
        </w:rPr>
      </w:pPr>
      <w:r>
        <w:rPr>
          <w:rFonts w:ascii="Helvetica" w:hAnsi="Helvetica"/>
          <w:sz w:val="34"/>
          <w:szCs w:val="34"/>
        </w:rPr>
        <w:t>REVIEW OF RETAIL PAYMENTS</w:t>
      </w:r>
    </w:p>
    <w:p w:rsidR="002C4097" w:rsidRDefault="006934B2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34"/>
          <w:szCs w:val="34"/>
        </w:rPr>
      </w:pPr>
      <w:r>
        <w:rPr>
          <w:rFonts w:ascii="Helvetica" w:hAnsi="Helvetica"/>
          <w:sz w:val="34"/>
          <w:szCs w:val="34"/>
        </w:rPr>
        <w:t>CONSULTATION PAPER MAY 2021</w:t>
      </w:r>
    </w:p>
    <w:p w:rsidR="002C4097" w:rsidRDefault="006934B2">
      <w:pPr>
        <w:pStyle w:val="Default"/>
        <w:spacing w:before="0" w:line="240" w:lineRule="auto"/>
        <w:jc w:val="center"/>
        <w:rPr>
          <w:rFonts w:ascii="Arial" w:eastAsia="Arial" w:hAnsi="Arial" w:cs="Arial"/>
        </w:rPr>
      </w:pPr>
      <w:r>
        <w:rPr>
          <w:rFonts w:ascii="Helvetica" w:hAnsi="Helvetica"/>
          <w:sz w:val="34"/>
          <w:szCs w:val="34"/>
        </w:rPr>
        <w:t>TOPIC FOR THIS COMMENT: 1.4 SURCHARGING</w:t>
      </w:r>
    </w:p>
    <w:p w:rsidR="002C4097" w:rsidRDefault="002C4097">
      <w:pPr>
        <w:pStyle w:val="Default"/>
        <w:spacing w:before="0" w:line="240" w:lineRule="auto"/>
        <w:jc w:val="both"/>
        <w:rPr>
          <w:rFonts w:ascii="Arial" w:eastAsia="Arial" w:hAnsi="Arial" w:cs="Arial"/>
        </w:rPr>
      </w:pPr>
    </w:p>
    <w:p w:rsidR="002C4097" w:rsidRDefault="006934B2">
      <w:pPr>
        <w:pStyle w:val="Default"/>
        <w:spacing w:before="0" w:line="240" w:lineRule="auto"/>
        <w:jc w:val="both"/>
        <w:rPr>
          <w:rFonts w:ascii="Arial" w:eastAsia="Arial" w:hAnsi="Arial" w:cs="Arial"/>
          <w:b/>
          <w:bCs/>
          <w:color w:val="00A2FF"/>
          <w:sz w:val="28"/>
          <w:szCs w:val="28"/>
          <w:u w:color="00A2FF"/>
        </w:rPr>
      </w:pPr>
      <w:r>
        <w:rPr>
          <w:rFonts w:ascii="Arial" w:hAnsi="Arial"/>
          <w:b/>
          <w:bCs/>
          <w:color w:val="00A2FF"/>
          <w:sz w:val="28"/>
          <w:szCs w:val="28"/>
          <w:u w:color="00A2FF"/>
        </w:rPr>
        <w:t>“</w:t>
      </w:r>
      <w:r>
        <w:rPr>
          <w:rFonts w:ascii="Arial" w:hAnsi="Arial"/>
          <w:b/>
          <w:bCs/>
          <w:color w:val="00A2FF"/>
          <w:sz w:val="28"/>
          <w:szCs w:val="28"/>
          <w:u w:color="00A2FF"/>
        </w:rPr>
        <w:t>The Board has reached the view that there is not a clear public interest case for requiring any BNPL providers to remove their no-surcharge rules at this time</w:t>
      </w:r>
      <w:r>
        <w:rPr>
          <w:rFonts w:ascii="Arial" w:hAnsi="Arial"/>
          <w:b/>
          <w:bCs/>
          <w:color w:val="00A2FF"/>
          <w:sz w:val="28"/>
          <w:szCs w:val="28"/>
          <w:u w:color="00A2FF"/>
        </w:rPr>
        <w:t>”</w:t>
      </w:r>
      <w:r>
        <w:rPr>
          <w:rFonts w:ascii="Arial" w:hAnsi="Arial"/>
          <w:b/>
          <w:bCs/>
          <w:color w:val="00A2FF"/>
          <w:sz w:val="28"/>
          <w:szCs w:val="28"/>
          <w:u w:color="00A2FF"/>
        </w:rPr>
        <w:t>.</w:t>
      </w:r>
    </w:p>
    <w:p w:rsidR="002C4097" w:rsidRDefault="002C4097">
      <w:pPr>
        <w:pStyle w:val="Default"/>
        <w:spacing w:before="0" w:line="240" w:lineRule="auto"/>
        <w:jc w:val="both"/>
        <w:rPr>
          <w:rFonts w:ascii="Arial" w:eastAsia="Arial" w:hAnsi="Arial" w:cs="Arial"/>
        </w:rPr>
      </w:pPr>
    </w:p>
    <w:p w:rsidR="002C4097" w:rsidRDefault="002C4097">
      <w:pPr>
        <w:pStyle w:val="Default"/>
        <w:spacing w:before="0" w:line="240" w:lineRule="auto"/>
        <w:jc w:val="both"/>
        <w:rPr>
          <w:rFonts w:ascii="Arial" w:eastAsia="Arial" w:hAnsi="Arial" w:cs="Arial"/>
        </w:rPr>
      </w:pPr>
    </w:p>
    <w:p w:rsidR="002C4097" w:rsidRDefault="006934B2">
      <w:pPr>
        <w:pStyle w:val="Default"/>
        <w:spacing w:before="0" w:line="240" w:lineRule="auto"/>
        <w:jc w:val="both"/>
        <w:rPr>
          <w:rFonts w:hint="eastAsia"/>
        </w:rPr>
      </w:pPr>
      <w:r>
        <w:t xml:space="preserve">I have read with interest the conclusions of your report and note the </w:t>
      </w:r>
      <w:proofErr w:type="gramStart"/>
      <w:r>
        <w:t>arguments  for</w:t>
      </w:r>
      <w:proofErr w:type="gramEnd"/>
      <w:r>
        <w:t xml:space="preserve">  the above decision. I support the desire to foster competition, note that BNPL only accounts for a small share of payments in the economy and accept your conclusion t</w:t>
      </w:r>
      <w:r>
        <w:t>hat competition may well lead to reduction in BNPL fee levels. However there are issues, which suggest that the no-surcharge rules by BNPL providers are already acting against the “public interest”.</w:t>
      </w:r>
    </w:p>
    <w:p w:rsidR="002C4097" w:rsidRDefault="002C4097">
      <w:pPr>
        <w:pStyle w:val="Default"/>
        <w:spacing w:before="0" w:line="240" w:lineRule="auto"/>
        <w:jc w:val="both"/>
        <w:rPr>
          <w:rFonts w:hint="eastAsia"/>
        </w:rPr>
      </w:pPr>
    </w:p>
    <w:p w:rsidR="002C4097" w:rsidRDefault="006934B2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hint="eastAsia"/>
        </w:rPr>
      </w:pPr>
      <w:r>
        <w:t xml:space="preserve">The BNPL service differs from a credit card facility as </w:t>
      </w:r>
      <w:r>
        <w:t xml:space="preserve">the cost of the credit facility for any failure to meet payments is paid by the merchant, who is effectively using the higher returns from customers using </w:t>
      </w:r>
      <w:proofErr w:type="spellStart"/>
      <w:r>
        <w:t>Eftpos</w:t>
      </w:r>
      <w:proofErr w:type="spellEnd"/>
      <w:r>
        <w:t xml:space="preserve">, Visa or MasterCard - costing 0.25% to 0.50% - to </w:t>
      </w:r>
      <w:proofErr w:type="spellStart"/>
      <w:r>
        <w:t>subsidise</w:t>
      </w:r>
      <w:proofErr w:type="spellEnd"/>
      <w:r>
        <w:t xml:space="preserve"> the returns from customers using B</w:t>
      </w:r>
      <w:r>
        <w:t>NPL at a cost of 4% to the merchant. This is not only inequitable but the lack of transparency is against the public interest.</w:t>
      </w:r>
    </w:p>
    <w:p w:rsidR="002C4097" w:rsidRDefault="006934B2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hint="eastAsia"/>
        </w:rPr>
      </w:pPr>
      <w:r>
        <w:t xml:space="preserve">While merchants selling items approaching $1,000 in value </w:t>
      </w:r>
      <w:r>
        <w:rPr>
          <w:i/>
          <w:iCs/>
        </w:rPr>
        <w:t>may</w:t>
      </w:r>
      <w:r>
        <w:t xml:space="preserve"> respond to requests for discounts from customers using </w:t>
      </w:r>
      <w:proofErr w:type="spellStart"/>
      <w:r>
        <w:t>Eftpos</w:t>
      </w:r>
      <w:proofErr w:type="spellEnd"/>
      <w:r>
        <w:t xml:space="preserve"> or de</w:t>
      </w:r>
      <w:r>
        <w:t xml:space="preserve">bit cards, this is not universal. Surely it is in the public interest that ALL customers are treated equally and not just those with a commercial background who are able to insist. </w:t>
      </w:r>
    </w:p>
    <w:p w:rsidR="002C4097" w:rsidRDefault="006934B2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hint="eastAsia"/>
        </w:rPr>
      </w:pPr>
      <w:r>
        <w:t>BNPL is now being accepted in locations such as pharmacies where individua</w:t>
      </w:r>
      <w:r>
        <w:t>l payments are smaller than goods like TVs, fridges or computers. But the payments over the year can be considerable for medicines not on the PBS.  So the no-surcharge rules will lead to people who are struggling with their finances to pay for their medici</w:t>
      </w:r>
      <w:r>
        <w:t xml:space="preserve">nes </w:t>
      </w:r>
      <w:proofErr w:type="spellStart"/>
      <w:r>
        <w:t>subsidising</w:t>
      </w:r>
      <w:proofErr w:type="spellEnd"/>
      <w:r>
        <w:t xml:space="preserve"> other customers using BNPL. This is against the public interest.</w:t>
      </w:r>
    </w:p>
    <w:p w:rsidR="002C4097" w:rsidRDefault="006934B2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hint="eastAsia"/>
        </w:rPr>
      </w:pPr>
      <w:r>
        <w:t>The decision to allow the no-surcharge provision for BNPL is directly contradictory to the 2011 decisions of the Payments Board, which permitted (indeed encouraged) merchants,</w:t>
      </w:r>
      <w:r>
        <w:t xml:space="preserve"> retailers and restaurants to add differential surcharges for the use of various credit cards. This has been most positive as ALL credit card fees have fallen </w:t>
      </w:r>
      <w:proofErr w:type="gramStart"/>
      <w:r>
        <w:t>and  a</w:t>
      </w:r>
      <w:proofErr w:type="gramEnd"/>
      <w:r>
        <w:t xml:space="preserve"> substantial amount of payments now use Debit cards or </w:t>
      </w:r>
      <w:proofErr w:type="spellStart"/>
      <w:r>
        <w:t>Eftpos</w:t>
      </w:r>
      <w:proofErr w:type="spellEnd"/>
      <w:r>
        <w:t xml:space="preserve"> at much lower costs. </w:t>
      </w:r>
    </w:p>
    <w:p w:rsidR="002C4097" w:rsidRDefault="006934B2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hint="eastAsia"/>
        </w:rPr>
      </w:pPr>
      <w:r>
        <w:t>Clearly</w:t>
      </w:r>
      <w:r>
        <w:t xml:space="preserve"> there is a demand from some customers to pay in instalments; others may wish to use a credit facility with a bank. Let both be encouraged with merchants able to add surcharges to reflect the varying costs.</w:t>
      </w:r>
    </w:p>
    <w:p w:rsidR="002C4097" w:rsidRDefault="006934B2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hint="eastAsia"/>
        </w:rPr>
      </w:pPr>
      <w:r>
        <w:t xml:space="preserve">Transparent competition between credit cards, debit cards, </w:t>
      </w:r>
      <w:proofErr w:type="spellStart"/>
      <w:r>
        <w:t>Eftpos</w:t>
      </w:r>
      <w:proofErr w:type="spellEnd"/>
      <w:r>
        <w:t xml:space="preserve"> and BNPL would achieve the best outcome for both merchants and customers. </w:t>
      </w:r>
    </w:p>
    <w:p w:rsidR="002C4097" w:rsidRDefault="002C4097">
      <w:pPr>
        <w:pStyle w:val="Default"/>
        <w:spacing w:before="0" w:line="240" w:lineRule="auto"/>
        <w:jc w:val="both"/>
        <w:rPr>
          <w:rFonts w:hint="eastAsia"/>
        </w:rPr>
      </w:pPr>
    </w:p>
    <w:p w:rsidR="002C4097" w:rsidRDefault="006934B2">
      <w:pPr>
        <w:pStyle w:val="Defaul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The Australian public deserves FULL DISCLOSURE and EQUITABLE TREATMENT when choosing the form of payment which the</w:t>
      </w:r>
      <w:r>
        <w:rPr>
          <w:rFonts w:ascii="Arial" w:hAnsi="Arial"/>
        </w:rPr>
        <w:t xml:space="preserve">y prefer. </w:t>
      </w:r>
    </w:p>
    <w:p w:rsidR="002C4097" w:rsidRDefault="002C4097">
      <w:pPr>
        <w:pStyle w:val="Default"/>
        <w:spacing w:before="0" w:line="240" w:lineRule="auto"/>
        <w:jc w:val="both"/>
        <w:rPr>
          <w:rFonts w:ascii="Arial" w:eastAsia="Arial" w:hAnsi="Arial" w:cs="Arial"/>
        </w:rPr>
      </w:pPr>
    </w:p>
    <w:p w:rsidR="002C4097" w:rsidRDefault="006934B2">
      <w:pPr>
        <w:pStyle w:val="Defaul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BNPL providers should be obliged to remove the no-surcharge rule which is clearly against the public interest.</w:t>
      </w:r>
    </w:p>
    <w:p w:rsidR="002C4097" w:rsidRDefault="002C4097">
      <w:pPr>
        <w:pStyle w:val="Default"/>
        <w:spacing w:before="0" w:line="240" w:lineRule="auto"/>
        <w:jc w:val="both"/>
        <w:rPr>
          <w:rFonts w:ascii="Arial" w:eastAsia="Arial" w:hAnsi="Arial" w:cs="Arial"/>
        </w:rPr>
      </w:pPr>
    </w:p>
    <w:p w:rsidR="002C4097" w:rsidRDefault="002C4097">
      <w:pPr>
        <w:pStyle w:val="Default"/>
        <w:spacing w:before="0" w:line="240" w:lineRule="auto"/>
        <w:jc w:val="both"/>
        <w:rPr>
          <w:rFonts w:ascii="Arial" w:eastAsia="Arial" w:hAnsi="Arial" w:cs="Arial"/>
        </w:rPr>
      </w:pPr>
    </w:p>
    <w:p w:rsidR="002C4097" w:rsidRDefault="002C4097">
      <w:pPr>
        <w:pStyle w:val="Default"/>
        <w:spacing w:before="0" w:line="240" w:lineRule="auto"/>
        <w:jc w:val="both"/>
        <w:rPr>
          <w:rFonts w:ascii="Arial" w:eastAsia="Arial" w:hAnsi="Arial" w:cs="Arial"/>
        </w:rPr>
      </w:pPr>
    </w:p>
    <w:p w:rsidR="00BF30C1" w:rsidRDefault="006934B2">
      <w:pPr>
        <w:pStyle w:val="Default"/>
        <w:spacing w:before="0" w:line="240" w:lineRule="auto"/>
        <w:jc w:val="both"/>
        <w:rPr>
          <w:rStyle w:val="Hyperlink0"/>
        </w:rPr>
      </w:pPr>
      <w:r>
        <w:rPr>
          <w:rFonts w:ascii="Arial" w:hAnsi="Arial"/>
        </w:rPr>
        <w:t>Ian McGaw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C4097" w:rsidRDefault="006934B2">
      <w:pPr>
        <w:pStyle w:val="Default"/>
        <w:spacing w:before="0" w:line="240" w:lineRule="auto"/>
        <w:jc w:val="both"/>
        <w:rPr>
          <w:rStyle w:val="None"/>
          <w:rFonts w:ascii="Arial" w:eastAsia="Arial" w:hAnsi="Arial" w:cs="Arial"/>
        </w:rPr>
      </w:pPr>
      <w:bookmarkStart w:id="0" w:name="_GoBack"/>
      <w:bookmarkEnd w:id="0"/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</w:p>
    <w:p w:rsidR="002C4097" w:rsidRDefault="006934B2">
      <w:pPr>
        <w:pStyle w:val="Default"/>
        <w:spacing w:before="0" w:line="240" w:lineRule="auto"/>
        <w:jc w:val="both"/>
        <w:rPr>
          <w:rFonts w:hint="eastAsia"/>
        </w:rPr>
      </w:pPr>
      <w:r>
        <w:rPr>
          <w:rStyle w:val="None"/>
          <w:rFonts w:ascii="Arial" w:hAnsi="Arial"/>
        </w:rPr>
        <w:t xml:space="preserve">9 </w:t>
      </w:r>
      <w:proofErr w:type="spellStart"/>
      <w:proofErr w:type="gramStart"/>
      <w:r>
        <w:rPr>
          <w:rStyle w:val="None"/>
          <w:rFonts w:ascii="Arial" w:hAnsi="Arial"/>
        </w:rPr>
        <w:t>JUne</w:t>
      </w:r>
      <w:proofErr w:type="spellEnd"/>
      <w:proofErr w:type="gramEnd"/>
      <w:r>
        <w:rPr>
          <w:rStyle w:val="None"/>
          <w:rFonts w:ascii="Arial" w:hAnsi="Arial"/>
        </w:rPr>
        <w:t xml:space="preserve"> 202</w:t>
      </w:r>
      <w:r>
        <w:rPr>
          <w:rStyle w:val="None"/>
          <w:rFonts w:ascii="Arial" w:hAnsi="Arial"/>
        </w:rPr>
        <w:t>1</w:t>
      </w:r>
    </w:p>
    <w:sectPr w:rsidR="002C4097">
      <w:headerReference w:type="default" r:id="rId7"/>
      <w:footerReference w:type="default" r:id="rId8"/>
      <w:pgSz w:w="11900" w:h="16840"/>
      <w:pgMar w:top="720" w:right="720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B2" w:rsidRDefault="006934B2">
      <w:r>
        <w:separator/>
      </w:r>
    </w:p>
  </w:endnote>
  <w:endnote w:type="continuationSeparator" w:id="0">
    <w:p w:rsidR="006934B2" w:rsidRDefault="0069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97" w:rsidRDefault="002C409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B2" w:rsidRDefault="006934B2">
      <w:r>
        <w:separator/>
      </w:r>
    </w:p>
  </w:footnote>
  <w:footnote w:type="continuationSeparator" w:id="0">
    <w:p w:rsidR="006934B2" w:rsidRDefault="0069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97" w:rsidRDefault="002C409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D2F2E"/>
    <w:multiLevelType w:val="hybridMultilevel"/>
    <w:tmpl w:val="4F305ADA"/>
    <w:styleLink w:val="ImportedStyle1"/>
    <w:lvl w:ilvl="0" w:tplc="BE1A95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E1C2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01A8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AC01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6E7F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0620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6019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123CC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A877A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E31F6F"/>
    <w:multiLevelType w:val="hybridMultilevel"/>
    <w:tmpl w:val="4F305AD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7"/>
    <w:rsid w:val="002C4097"/>
    <w:rsid w:val="006934B2"/>
    <w:rsid w:val="00B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54AA1-92A5-4954-9B76-B88F7CB7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Reserve Bank of Australia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Georgia</dc:creator>
  <cp:lastModifiedBy>Georgia WILEY</cp:lastModifiedBy>
  <cp:revision>2</cp:revision>
  <dcterms:created xsi:type="dcterms:W3CDTF">2021-07-19T05:32:00Z</dcterms:created>
  <dcterms:modified xsi:type="dcterms:W3CDTF">2021-07-19T05:32:00Z</dcterms:modified>
</cp:coreProperties>
</file>