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C71" w:rsidRPr="009127D8" w:rsidRDefault="009E3C81" w:rsidP="00BF3DCD">
      <w:pPr>
        <w:spacing w:after="0"/>
        <w:jc w:val="both"/>
        <w:rPr>
          <w:rFonts w:ascii="Arial" w:hAnsi="Arial" w:cs="Arial"/>
        </w:rPr>
      </w:pPr>
      <w:bookmarkStart w:id="0" w:name="_GoBack"/>
      <w:bookmarkEnd w:id="0"/>
      <w:r w:rsidRPr="009E3C81">
        <w:rPr>
          <w:rFonts w:ascii="Arial" w:hAnsi="Arial" w:cs="Arial"/>
          <w:noProof/>
          <w:lang w:eastAsia="en-AU"/>
        </w:rPr>
        <w:drawing>
          <wp:anchor distT="0" distB="0" distL="114300" distR="114300" simplePos="0" relativeHeight="251665408" behindDoc="1" locked="0" layoutInCell="1" allowOverlap="1">
            <wp:simplePos x="0" y="0"/>
            <wp:positionH relativeFrom="column">
              <wp:posOffset>83928</wp:posOffset>
            </wp:positionH>
            <wp:positionV relativeFrom="paragraph">
              <wp:posOffset>-379562</wp:posOffset>
            </wp:positionV>
            <wp:extent cx="1629494" cy="697841"/>
            <wp:effectExtent l="0" t="0" r="9525" b="9525"/>
            <wp:wrapNone/>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frlc-horizontal-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695325"/>
                    </a:xfrm>
                    <a:prstGeom prst="rect">
                      <a:avLst/>
                    </a:prstGeom>
                  </pic:spPr>
                </pic:pic>
              </a:graphicData>
            </a:graphic>
          </wp:anchor>
        </w:drawing>
      </w:r>
      <w:r w:rsidR="007179F0" w:rsidRPr="007179F0">
        <w:rPr>
          <w:rFonts w:ascii="Arial" w:hAnsi="Arial" w:cs="Arial"/>
          <w:noProof/>
          <w:lang w:eastAsia="en-AU"/>
        </w:rPr>
        <w:drawing>
          <wp:anchor distT="0" distB="0" distL="114300" distR="114300" simplePos="0" relativeHeight="251659264" behindDoc="0" locked="0" layoutInCell="1" allowOverlap="1">
            <wp:simplePos x="0" y="0"/>
            <wp:positionH relativeFrom="column">
              <wp:posOffset>-28575</wp:posOffset>
            </wp:positionH>
            <wp:positionV relativeFrom="paragraph">
              <wp:posOffset>-390525</wp:posOffset>
            </wp:positionV>
            <wp:extent cx="1676400" cy="647700"/>
            <wp:effectExtent l="19050" t="0" r="0" b="0"/>
            <wp:wrapSquare wrapText="bothSides"/>
            <wp:docPr id="13" name="Picture 1" descr="\\tserver2\data\OFFICE_MANAGEMENT\Office_Templates\Logos and Artwork\Hoyne - CALC logo and stationery masters\CALC logo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server2\data\OFFICE_MANAGEMENT\Office_Templates\Logos and Artwork\Hoyne - CALC logo and stationery masters\CALC logo jpeg.jpg"/>
                    <pic:cNvPicPr>
                      <a:picLocks noChangeAspect="1" noChangeArrowheads="1"/>
                    </pic:cNvPicPr>
                  </pic:nvPicPr>
                  <pic:blipFill>
                    <a:blip r:embed="rId10" cstate="print"/>
                    <a:srcRect/>
                    <a:stretch>
                      <a:fillRect/>
                    </a:stretch>
                  </pic:blipFill>
                  <pic:spPr bwMode="auto">
                    <a:xfrm>
                      <a:off x="0" y="0"/>
                      <a:ext cx="1676400" cy="647700"/>
                    </a:xfrm>
                    <a:prstGeom prst="rect">
                      <a:avLst/>
                    </a:prstGeom>
                    <a:noFill/>
                    <a:ln w="9525">
                      <a:noFill/>
                      <a:miter lim="800000"/>
                      <a:headEnd/>
                      <a:tailEnd/>
                    </a:ln>
                  </pic:spPr>
                </pic:pic>
              </a:graphicData>
            </a:graphic>
          </wp:anchor>
        </w:drawing>
      </w:r>
    </w:p>
    <w:p w:rsidR="00E71C71" w:rsidRPr="009127D8" w:rsidRDefault="00E71C71" w:rsidP="00BF3DCD">
      <w:pPr>
        <w:spacing w:after="0"/>
        <w:jc w:val="both"/>
        <w:rPr>
          <w:rFonts w:ascii="Arial" w:hAnsi="Arial" w:cs="Arial"/>
        </w:rPr>
      </w:pPr>
    </w:p>
    <w:p w:rsidR="007179F0" w:rsidRDefault="007179F0" w:rsidP="00BF3DCD">
      <w:pPr>
        <w:spacing w:after="0"/>
        <w:jc w:val="both"/>
        <w:rPr>
          <w:rFonts w:ascii="Arial" w:hAnsi="Arial" w:cs="Arial"/>
        </w:rPr>
      </w:pPr>
    </w:p>
    <w:p w:rsidR="007179F0" w:rsidRDefault="007179F0" w:rsidP="00BF3DCD">
      <w:pPr>
        <w:spacing w:after="0"/>
        <w:jc w:val="both"/>
        <w:rPr>
          <w:rFonts w:ascii="Arial" w:hAnsi="Arial" w:cs="Arial"/>
        </w:rPr>
      </w:pPr>
      <w:r>
        <w:rPr>
          <w:rFonts w:ascii="Arial" w:hAnsi="Arial" w:cs="Arial"/>
        </w:rPr>
        <w:t>2</w:t>
      </w:r>
      <w:r w:rsidR="00E20F84">
        <w:rPr>
          <w:rFonts w:ascii="Arial" w:hAnsi="Arial" w:cs="Arial"/>
        </w:rPr>
        <w:t>4</w:t>
      </w:r>
      <w:r>
        <w:rPr>
          <w:rFonts w:ascii="Arial" w:hAnsi="Arial" w:cs="Arial"/>
        </w:rPr>
        <w:t xml:space="preserve"> April 2015</w:t>
      </w:r>
    </w:p>
    <w:p w:rsidR="007179F0" w:rsidRDefault="007179F0" w:rsidP="00BF3DCD">
      <w:pPr>
        <w:spacing w:after="0"/>
        <w:jc w:val="both"/>
        <w:rPr>
          <w:rFonts w:ascii="Arial" w:hAnsi="Arial" w:cs="Arial"/>
        </w:rPr>
      </w:pPr>
    </w:p>
    <w:p w:rsidR="007179F0" w:rsidRPr="009127D8" w:rsidRDefault="007179F0" w:rsidP="00BF3DCD">
      <w:pPr>
        <w:spacing w:after="0"/>
        <w:jc w:val="both"/>
        <w:rPr>
          <w:rFonts w:ascii="Arial" w:hAnsi="Arial" w:cs="Arial"/>
          <w:b/>
        </w:rPr>
      </w:pPr>
      <w:r w:rsidRPr="009127D8">
        <w:rPr>
          <w:rFonts w:ascii="Arial" w:hAnsi="Arial" w:cs="Arial"/>
          <w:b/>
        </w:rPr>
        <w:t xml:space="preserve">By email: </w:t>
      </w:r>
      <w:hyperlink r:id="rId11" w:history="1">
        <w:r w:rsidRPr="009127D8">
          <w:rPr>
            <w:rStyle w:val="Hyperlink"/>
            <w:rFonts w:ascii="Arial" w:hAnsi="Arial" w:cs="Arial"/>
            <w:b/>
          </w:rPr>
          <w:t>pysubmissions@rba.gov.au</w:t>
        </w:r>
      </w:hyperlink>
    </w:p>
    <w:p w:rsidR="007179F0" w:rsidRDefault="007179F0" w:rsidP="00BF3DCD">
      <w:pPr>
        <w:spacing w:after="0"/>
        <w:jc w:val="both"/>
        <w:rPr>
          <w:rFonts w:ascii="Arial" w:hAnsi="Arial" w:cs="Arial"/>
        </w:rPr>
      </w:pPr>
    </w:p>
    <w:p w:rsidR="00861696" w:rsidRPr="009127D8" w:rsidRDefault="00861696" w:rsidP="00BF3DCD">
      <w:pPr>
        <w:spacing w:after="0"/>
        <w:jc w:val="both"/>
        <w:rPr>
          <w:rFonts w:ascii="Arial" w:hAnsi="Arial" w:cs="Arial"/>
          <w:color w:val="808080"/>
        </w:rPr>
      </w:pPr>
      <w:r w:rsidRPr="009127D8">
        <w:rPr>
          <w:rFonts w:ascii="Arial" w:hAnsi="Arial" w:cs="Arial"/>
        </w:rPr>
        <w:t>Dr Anthony Richards</w:t>
      </w:r>
    </w:p>
    <w:p w:rsidR="00861696" w:rsidRPr="009127D8" w:rsidRDefault="00861696" w:rsidP="00BF3DCD">
      <w:pPr>
        <w:spacing w:after="0"/>
        <w:jc w:val="both"/>
        <w:rPr>
          <w:rFonts w:ascii="Arial" w:hAnsi="Arial" w:cs="Arial"/>
        </w:rPr>
      </w:pPr>
      <w:r w:rsidRPr="009127D8">
        <w:rPr>
          <w:rFonts w:ascii="Arial" w:hAnsi="Arial" w:cs="Arial"/>
        </w:rPr>
        <w:t xml:space="preserve">Head of Payments Policy Department </w:t>
      </w:r>
    </w:p>
    <w:p w:rsidR="00861696" w:rsidRPr="009127D8" w:rsidRDefault="00861696" w:rsidP="00BF3DCD">
      <w:pPr>
        <w:spacing w:after="0"/>
        <w:jc w:val="both"/>
        <w:rPr>
          <w:rFonts w:ascii="Arial" w:hAnsi="Arial" w:cs="Arial"/>
        </w:rPr>
      </w:pPr>
      <w:r w:rsidRPr="009127D8">
        <w:rPr>
          <w:rFonts w:ascii="Arial" w:hAnsi="Arial" w:cs="Arial"/>
        </w:rPr>
        <w:t xml:space="preserve">Reserve Bank of Australia </w:t>
      </w:r>
    </w:p>
    <w:p w:rsidR="00861696" w:rsidRPr="009127D8" w:rsidRDefault="00861696" w:rsidP="00BF3DCD">
      <w:pPr>
        <w:spacing w:after="0"/>
        <w:jc w:val="both"/>
        <w:rPr>
          <w:rFonts w:ascii="Arial" w:hAnsi="Arial" w:cs="Arial"/>
        </w:rPr>
      </w:pPr>
      <w:r w:rsidRPr="009127D8">
        <w:rPr>
          <w:rFonts w:ascii="Arial" w:hAnsi="Arial" w:cs="Arial"/>
        </w:rPr>
        <w:t xml:space="preserve">GPO Box 3947 </w:t>
      </w:r>
    </w:p>
    <w:p w:rsidR="00861696" w:rsidRPr="009127D8" w:rsidRDefault="00861696" w:rsidP="00BF3DCD">
      <w:pPr>
        <w:spacing w:after="0"/>
        <w:jc w:val="both"/>
        <w:rPr>
          <w:rFonts w:ascii="Arial" w:hAnsi="Arial" w:cs="Arial"/>
        </w:rPr>
      </w:pPr>
      <w:r w:rsidRPr="009127D8">
        <w:rPr>
          <w:rFonts w:ascii="Arial" w:hAnsi="Arial" w:cs="Arial"/>
        </w:rPr>
        <w:t xml:space="preserve">Sydney NSW 2001 </w:t>
      </w:r>
    </w:p>
    <w:p w:rsidR="00E71C71" w:rsidRPr="009127D8" w:rsidRDefault="00E71C71" w:rsidP="00BF3DCD">
      <w:pPr>
        <w:spacing w:after="0"/>
        <w:jc w:val="both"/>
        <w:rPr>
          <w:rFonts w:ascii="Arial" w:hAnsi="Arial" w:cs="Arial"/>
        </w:rPr>
      </w:pPr>
    </w:p>
    <w:p w:rsidR="00E71C71" w:rsidRPr="009127D8" w:rsidRDefault="00E71C71" w:rsidP="00BF3DCD">
      <w:pPr>
        <w:spacing w:after="0"/>
        <w:jc w:val="both"/>
        <w:rPr>
          <w:rFonts w:ascii="Arial" w:hAnsi="Arial" w:cs="Arial"/>
          <w:b/>
        </w:rPr>
      </w:pPr>
    </w:p>
    <w:p w:rsidR="00861696" w:rsidRPr="009127D8" w:rsidRDefault="00861696" w:rsidP="00BF3DCD">
      <w:pPr>
        <w:spacing w:after="0"/>
        <w:jc w:val="both"/>
        <w:rPr>
          <w:rFonts w:ascii="Arial" w:hAnsi="Arial" w:cs="Arial"/>
        </w:rPr>
      </w:pPr>
      <w:r w:rsidRPr="009127D8">
        <w:rPr>
          <w:rFonts w:ascii="Arial" w:hAnsi="Arial" w:cs="Arial"/>
        </w:rPr>
        <w:t>Dear Mr Richards,</w:t>
      </w:r>
    </w:p>
    <w:p w:rsidR="00861696" w:rsidRPr="009127D8" w:rsidRDefault="00861696" w:rsidP="00BF3DCD">
      <w:pPr>
        <w:spacing w:after="0"/>
        <w:jc w:val="both"/>
        <w:rPr>
          <w:rFonts w:ascii="Arial" w:hAnsi="Arial" w:cs="Arial"/>
          <w:b/>
        </w:rPr>
      </w:pPr>
    </w:p>
    <w:p w:rsidR="00861696" w:rsidRPr="009127D8" w:rsidRDefault="00861696" w:rsidP="00BF3DCD">
      <w:pPr>
        <w:spacing w:after="0"/>
        <w:jc w:val="both"/>
        <w:rPr>
          <w:rFonts w:ascii="Arial" w:hAnsi="Arial" w:cs="Arial"/>
          <w:b/>
        </w:rPr>
      </w:pPr>
      <w:r w:rsidRPr="009127D8">
        <w:rPr>
          <w:rFonts w:ascii="Arial" w:hAnsi="Arial" w:cs="Arial"/>
          <w:b/>
        </w:rPr>
        <w:t>Review of Card Payments Regulation Issues Paper</w:t>
      </w:r>
    </w:p>
    <w:p w:rsidR="00861696" w:rsidRPr="009127D8" w:rsidRDefault="00861696" w:rsidP="00BF3DCD">
      <w:pPr>
        <w:spacing w:after="0"/>
        <w:jc w:val="both"/>
        <w:rPr>
          <w:rFonts w:ascii="Arial" w:hAnsi="Arial" w:cs="Arial"/>
          <w:b/>
        </w:rPr>
      </w:pPr>
    </w:p>
    <w:p w:rsidR="00861696" w:rsidRPr="009127D8" w:rsidRDefault="00861696" w:rsidP="00BF3DCD">
      <w:pPr>
        <w:spacing w:after="0"/>
        <w:jc w:val="both"/>
        <w:rPr>
          <w:rFonts w:ascii="Arial" w:hAnsi="Arial" w:cs="Arial"/>
        </w:rPr>
      </w:pPr>
      <w:r w:rsidRPr="009127D8">
        <w:rPr>
          <w:rFonts w:ascii="Arial" w:hAnsi="Arial" w:cs="Arial"/>
        </w:rPr>
        <w:t>The Consumer Action Law Centre (</w:t>
      </w:r>
      <w:r w:rsidRPr="009127D8">
        <w:rPr>
          <w:rFonts w:ascii="Arial" w:hAnsi="Arial" w:cs="Arial"/>
          <w:b/>
        </w:rPr>
        <w:t>Consumer Action</w:t>
      </w:r>
      <w:r w:rsidRPr="009127D8">
        <w:rPr>
          <w:rFonts w:ascii="Arial" w:hAnsi="Arial" w:cs="Arial"/>
        </w:rPr>
        <w:t>)</w:t>
      </w:r>
      <w:r w:rsidRPr="009127D8">
        <w:rPr>
          <w:rFonts w:ascii="Arial" w:hAnsi="Arial" w:cs="Arial"/>
          <w:b/>
        </w:rPr>
        <w:t xml:space="preserve"> </w:t>
      </w:r>
      <w:r w:rsidR="00874DAE" w:rsidRPr="00874DAE">
        <w:rPr>
          <w:rFonts w:ascii="Arial" w:hAnsi="Arial" w:cs="Arial"/>
        </w:rPr>
        <w:t>and Financial Rights Legal Centre</w:t>
      </w:r>
      <w:r w:rsidR="00874DAE">
        <w:rPr>
          <w:rFonts w:ascii="Arial" w:hAnsi="Arial" w:cs="Arial"/>
          <w:b/>
        </w:rPr>
        <w:t xml:space="preserve"> </w:t>
      </w:r>
      <w:r w:rsidR="00874DAE">
        <w:rPr>
          <w:rFonts w:ascii="Arial" w:hAnsi="Arial" w:cs="Arial"/>
        </w:rPr>
        <w:t>(</w:t>
      </w:r>
      <w:r w:rsidR="00874DAE">
        <w:rPr>
          <w:rFonts w:ascii="Arial" w:hAnsi="Arial" w:cs="Arial"/>
          <w:b/>
        </w:rPr>
        <w:t xml:space="preserve">Financial </w:t>
      </w:r>
      <w:r w:rsidR="00874DAE" w:rsidRPr="00874DAE">
        <w:rPr>
          <w:rFonts w:ascii="Arial" w:hAnsi="Arial" w:cs="Arial"/>
          <w:b/>
        </w:rPr>
        <w:t>Rights</w:t>
      </w:r>
      <w:r w:rsidR="00874DAE">
        <w:rPr>
          <w:rFonts w:ascii="Arial" w:hAnsi="Arial" w:cs="Arial"/>
        </w:rPr>
        <w:t>) welcome</w:t>
      </w:r>
      <w:r w:rsidRPr="009127D8">
        <w:rPr>
          <w:rFonts w:ascii="Arial" w:hAnsi="Arial" w:cs="Arial"/>
        </w:rPr>
        <w:t xml:space="preserve"> the opportunity to comment on the Review of Card Payments Regulation Issues Paper (</w:t>
      </w:r>
      <w:r w:rsidRPr="009127D8">
        <w:rPr>
          <w:rFonts w:ascii="Arial" w:hAnsi="Arial" w:cs="Arial"/>
          <w:b/>
        </w:rPr>
        <w:t>the Issues Paper</w:t>
      </w:r>
      <w:r w:rsidRPr="009127D8">
        <w:rPr>
          <w:rFonts w:ascii="Arial" w:hAnsi="Arial" w:cs="Arial"/>
        </w:rPr>
        <w:t>) published by the Reserve Bank of Australia (</w:t>
      </w:r>
      <w:r w:rsidRPr="009127D8">
        <w:rPr>
          <w:rFonts w:ascii="Arial" w:hAnsi="Arial" w:cs="Arial"/>
          <w:b/>
        </w:rPr>
        <w:t>RBA</w:t>
      </w:r>
      <w:r w:rsidRPr="009127D8">
        <w:rPr>
          <w:rFonts w:ascii="Arial" w:hAnsi="Arial" w:cs="Arial"/>
        </w:rPr>
        <w:t>).</w:t>
      </w:r>
    </w:p>
    <w:p w:rsidR="00861696" w:rsidRPr="009127D8" w:rsidRDefault="00861696" w:rsidP="00BF3DCD">
      <w:pPr>
        <w:spacing w:after="0"/>
        <w:jc w:val="both"/>
        <w:rPr>
          <w:rFonts w:ascii="Arial" w:hAnsi="Arial" w:cs="Arial"/>
        </w:rPr>
      </w:pPr>
    </w:p>
    <w:p w:rsidR="00861696" w:rsidRPr="009127D8" w:rsidRDefault="00861696" w:rsidP="00BF3DCD">
      <w:pPr>
        <w:spacing w:after="0"/>
        <w:jc w:val="both"/>
        <w:rPr>
          <w:rFonts w:ascii="Arial" w:hAnsi="Arial" w:cs="Arial"/>
          <w:b/>
        </w:rPr>
      </w:pPr>
      <w:r w:rsidRPr="009127D8">
        <w:rPr>
          <w:rFonts w:ascii="Arial" w:hAnsi="Arial" w:cs="Arial"/>
          <w:b/>
        </w:rPr>
        <w:t xml:space="preserve">About </w:t>
      </w:r>
      <w:r w:rsidR="009E3C81">
        <w:rPr>
          <w:rFonts w:ascii="Arial" w:hAnsi="Arial" w:cs="Arial"/>
          <w:b/>
        </w:rPr>
        <w:t>the contributors</w:t>
      </w:r>
    </w:p>
    <w:p w:rsidR="00861696" w:rsidRPr="009127D8" w:rsidRDefault="00861696" w:rsidP="00BF3DCD">
      <w:pPr>
        <w:spacing w:after="0"/>
        <w:jc w:val="both"/>
        <w:rPr>
          <w:rFonts w:ascii="Arial" w:hAnsi="Arial" w:cs="Arial"/>
          <w:b/>
        </w:rPr>
      </w:pPr>
    </w:p>
    <w:p w:rsidR="00861696" w:rsidRDefault="00861696" w:rsidP="00BF3DCD">
      <w:pPr>
        <w:spacing w:after="0"/>
        <w:jc w:val="both"/>
        <w:rPr>
          <w:rFonts w:ascii="Arial" w:hAnsi="Arial" w:cs="Arial"/>
        </w:rPr>
      </w:pPr>
      <w:r w:rsidRPr="009127D8">
        <w:rPr>
          <w:rFonts w:ascii="Arial" w:hAnsi="Arial" w:cs="Arial"/>
        </w:rPr>
        <w:t>Consumer Action is an independent, not-for profit consumer organisation based in Melbourne. We work to advance fairness in consumer markets, particularly for disadvantaged and vulnerable consumers, through financial counselling, legal advice and representation, and policy work and campaigns. Delivering assistance services to Victorian consumers, we have a national reach through our deep expertise in consumer law and policy and direct knowledge of the consumer experience of modern markets.</w:t>
      </w:r>
    </w:p>
    <w:p w:rsidR="009E3C81" w:rsidRDefault="009E3C81" w:rsidP="00BF3DCD">
      <w:pPr>
        <w:spacing w:after="0"/>
        <w:jc w:val="both"/>
        <w:rPr>
          <w:rFonts w:ascii="Arial" w:hAnsi="Arial" w:cs="Arial"/>
        </w:rPr>
      </w:pPr>
    </w:p>
    <w:p w:rsidR="00861696" w:rsidRPr="009127D8" w:rsidRDefault="009E3C81" w:rsidP="00BF3DCD">
      <w:pPr>
        <w:jc w:val="both"/>
        <w:rPr>
          <w:rFonts w:ascii="Arial" w:hAnsi="Arial" w:cs="Arial"/>
        </w:rPr>
      </w:pPr>
      <w:r w:rsidRPr="00AC41DC">
        <w:rPr>
          <w:rFonts w:ascii="Arial" w:hAnsi="Arial" w:cs="Arial"/>
        </w:rPr>
        <w:t xml:space="preserve">The Financial Rights is a community legal centre specialising in financial services, particularly in the areas of consumer credit, banking, debt recovery and insurance. It fully integrates telephone assistance and financial counselling with legal advice and representation. </w:t>
      </w:r>
      <w:r w:rsidR="00DE29C4">
        <w:rPr>
          <w:rFonts w:ascii="Arial" w:hAnsi="Arial" w:cs="Arial"/>
        </w:rPr>
        <w:t>Financial Rights</w:t>
      </w:r>
      <w:r w:rsidRPr="00AC41DC">
        <w:rPr>
          <w:rFonts w:ascii="Arial" w:hAnsi="Arial" w:cs="Arial"/>
        </w:rPr>
        <w:t xml:space="preserve"> also operates the Insurance Law Service</w:t>
      </w:r>
      <w:r>
        <w:rPr>
          <w:rFonts w:ascii="Arial" w:hAnsi="Arial" w:cs="Arial"/>
        </w:rPr>
        <w:t>, a national specialist consumer</w:t>
      </w:r>
      <w:r w:rsidRPr="00AC41DC">
        <w:rPr>
          <w:rFonts w:ascii="Arial" w:hAnsi="Arial" w:cs="Arial"/>
        </w:rPr>
        <w:t xml:space="preserve"> insurance advice service.</w:t>
      </w:r>
    </w:p>
    <w:p w:rsidR="00861696" w:rsidRPr="009127D8" w:rsidRDefault="00861696" w:rsidP="00BF3DCD">
      <w:pPr>
        <w:spacing w:after="0"/>
        <w:jc w:val="both"/>
        <w:rPr>
          <w:rFonts w:ascii="Arial" w:hAnsi="Arial" w:cs="Arial"/>
          <w:b/>
        </w:rPr>
      </w:pPr>
      <w:r w:rsidRPr="009127D8">
        <w:rPr>
          <w:rFonts w:ascii="Arial" w:hAnsi="Arial" w:cs="Arial"/>
          <w:b/>
        </w:rPr>
        <w:t>Summary of submission</w:t>
      </w:r>
    </w:p>
    <w:p w:rsidR="00861696" w:rsidRPr="009127D8" w:rsidRDefault="00861696" w:rsidP="00BF3DCD">
      <w:pPr>
        <w:spacing w:after="0"/>
        <w:jc w:val="both"/>
        <w:rPr>
          <w:rFonts w:ascii="Arial" w:hAnsi="Arial" w:cs="Arial"/>
          <w:b/>
        </w:rPr>
      </w:pPr>
    </w:p>
    <w:p w:rsidR="00E71C71" w:rsidRPr="007B1B8F" w:rsidRDefault="005C091B" w:rsidP="00BF3DCD">
      <w:pPr>
        <w:pStyle w:val="ListParagraph"/>
        <w:spacing w:after="0"/>
        <w:ind w:left="0"/>
        <w:jc w:val="both"/>
        <w:rPr>
          <w:rFonts w:ascii="Arial" w:hAnsi="Arial" w:cs="Arial"/>
        </w:rPr>
      </w:pPr>
      <w:r>
        <w:rPr>
          <w:rFonts w:ascii="Arial" w:hAnsi="Arial" w:cs="Arial"/>
        </w:rPr>
        <w:t xml:space="preserve">In reviewing card payments regulation, we urge the </w:t>
      </w:r>
      <w:r w:rsidRPr="009127D8">
        <w:rPr>
          <w:rFonts w:ascii="Arial" w:hAnsi="Arial" w:cs="Arial"/>
        </w:rPr>
        <w:t xml:space="preserve">RBA </w:t>
      </w:r>
      <w:r>
        <w:rPr>
          <w:rFonts w:ascii="Arial" w:hAnsi="Arial" w:cs="Arial"/>
        </w:rPr>
        <w:t>to</w:t>
      </w:r>
      <w:r w:rsidRPr="009127D8">
        <w:rPr>
          <w:rFonts w:ascii="Arial" w:hAnsi="Arial" w:cs="Arial"/>
        </w:rPr>
        <w:t xml:space="preserve"> explicitly consider the impact of its regulatory actions on disadvantaged and vulnerable consumers</w:t>
      </w:r>
      <w:r>
        <w:rPr>
          <w:rFonts w:ascii="Arial" w:eastAsia="Times New Roman" w:hAnsi="Arial" w:cs="Arial"/>
          <w:color w:val="000000"/>
          <w:lang w:eastAsia="en-AU"/>
        </w:rPr>
        <w:t xml:space="preserve">. With these considerations in mind, our </w:t>
      </w:r>
      <w:r w:rsidR="00E71C71" w:rsidRPr="009127D8">
        <w:rPr>
          <w:rFonts w:ascii="Arial" w:hAnsi="Arial" w:cs="Arial"/>
        </w:rPr>
        <w:t>submission argues</w:t>
      </w:r>
      <w:r w:rsidR="007B1B8F">
        <w:rPr>
          <w:rFonts w:ascii="Arial" w:hAnsi="Arial" w:cs="Arial"/>
        </w:rPr>
        <w:t xml:space="preserve"> (among other things)</w:t>
      </w:r>
      <w:r w:rsidR="00030F8E">
        <w:rPr>
          <w:rFonts w:ascii="Arial" w:hAnsi="Arial" w:cs="Arial"/>
        </w:rPr>
        <w:t xml:space="preserve"> that card payments </w:t>
      </w:r>
      <w:r w:rsidR="00030F8E" w:rsidRPr="007B1B8F">
        <w:rPr>
          <w:rFonts w:ascii="Arial" w:hAnsi="Arial" w:cs="Arial"/>
        </w:rPr>
        <w:t>regulation should</w:t>
      </w:r>
      <w:r w:rsidR="00E71C71" w:rsidRPr="007B1B8F">
        <w:rPr>
          <w:rFonts w:ascii="Arial" w:hAnsi="Arial" w:cs="Arial"/>
        </w:rPr>
        <w:t>:</w:t>
      </w:r>
    </w:p>
    <w:p w:rsidR="007B1B8F" w:rsidRPr="007B1B8F" w:rsidRDefault="007B1B8F" w:rsidP="00BF3DCD">
      <w:pPr>
        <w:pStyle w:val="ListParagraph"/>
        <w:spacing w:after="0"/>
        <w:ind w:left="0"/>
        <w:jc w:val="both"/>
        <w:rPr>
          <w:rFonts w:ascii="Arial" w:hAnsi="Arial" w:cs="Arial"/>
        </w:rPr>
      </w:pPr>
    </w:p>
    <w:p w:rsidR="00E71C71" w:rsidRPr="007B1B8F" w:rsidRDefault="00030F8E" w:rsidP="00BF3DCD">
      <w:pPr>
        <w:pStyle w:val="ListParagraph"/>
        <w:numPr>
          <w:ilvl w:val="0"/>
          <w:numId w:val="23"/>
        </w:numPr>
        <w:spacing w:after="0"/>
        <w:jc w:val="both"/>
        <w:rPr>
          <w:rFonts w:ascii="Arial" w:hAnsi="Arial" w:cs="Arial"/>
        </w:rPr>
      </w:pPr>
      <w:r w:rsidRPr="007B1B8F">
        <w:rPr>
          <w:rFonts w:ascii="Arial" w:hAnsi="Arial" w:cs="Arial"/>
        </w:rPr>
        <w:t xml:space="preserve">increase transparency </w:t>
      </w:r>
      <w:r w:rsidR="009032BB">
        <w:rPr>
          <w:rFonts w:ascii="Arial" w:hAnsi="Arial" w:cs="Arial"/>
        </w:rPr>
        <w:t>of</w:t>
      </w:r>
      <w:r w:rsidRPr="007B1B8F">
        <w:rPr>
          <w:rFonts w:ascii="Arial" w:hAnsi="Arial" w:cs="Arial"/>
        </w:rPr>
        <w:t xml:space="preserve"> interchange fees and surcharging;</w:t>
      </w:r>
    </w:p>
    <w:p w:rsidR="00030F8E" w:rsidRPr="007B1B8F" w:rsidRDefault="00030F8E" w:rsidP="00BF3DCD">
      <w:pPr>
        <w:pStyle w:val="ListParagraph"/>
        <w:numPr>
          <w:ilvl w:val="0"/>
          <w:numId w:val="23"/>
        </w:numPr>
        <w:spacing w:after="0"/>
        <w:jc w:val="both"/>
        <w:rPr>
          <w:rFonts w:ascii="Arial" w:hAnsi="Arial" w:cs="Arial"/>
        </w:rPr>
      </w:pPr>
      <w:r w:rsidRPr="007B1B8F">
        <w:rPr>
          <w:rFonts w:ascii="Arial" w:hAnsi="Arial" w:cs="Arial"/>
        </w:rPr>
        <w:t>promote competitive neutrality;</w:t>
      </w:r>
    </w:p>
    <w:p w:rsidR="00030F8E" w:rsidRPr="007B1B8F" w:rsidRDefault="00030F8E" w:rsidP="00BF3DCD">
      <w:pPr>
        <w:pStyle w:val="ListParagraph"/>
        <w:numPr>
          <w:ilvl w:val="0"/>
          <w:numId w:val="23"/>
        </w:numPr>
        <w:spacing w:after="0"/>
        <w:jc w:val="both"/>
        <w:rPr>
          <w:rFonts w:ascii="Arial" w:hAnsi="Arial" w:cs="Arial"/>
        </w:rPr>
      </w:pPr>
      <w:r w:rsidRPr="007B1B8F">
        <w:rPr>
          <w:rFonts w:ascii="Arial" w:hAnsi="Arial" w:cs="Arial"/>
        </w:rPr>
        <w:t>lower interchange caps;</w:t>
      </w:r>
    </w:p>
    <w:p w:rsidR="00030F8E" w:rsidRPr="007B1B8F" w:rsidRDefault="00030F8E" w:rsidP="00BF3DCD">
      <w:pPr>
        <w:pStyle w:val="ListParagraph"/>
        <w:numPr>
          <w:ilvl w:val="0"/>
          <w:numId w:val="23"/>
        </w:numPr>
        <w:spacing w:after="0"/>
        <w:jc w:val="both"/>
        <w:rPr>
          <w:rFonts w:ascii="Arial" w:hAnsi="Arial" w:cs="Arial"/>
        </w:rPr>
      </w:pPr>
      <w:r w:rsidRPr="007B1B8F">
        <w:rPr>
          <w:rFonts w:ascii="Arial" w:hAnsi="Arial" w:cs="Arial"/>
        </w:rPr>
        <w:lastRenderedPageBreak/>
        <w:t xml:space="preserve">replace weighted </w:t>
      </w:r>
      <w:r w:rsidR="009032BB">
        <w:rPr>
          <w:rFonts w:ascii="Arial" w:hAnsi="Arial" w:cs="Arial"/>
        </w:rPr>
        <w:t xml:space="preserve">interchange </w:t>
      </w:r>
      <w:r w:rsidRPr="007B1B8F">
        <w:rPr>
          <w:rFonts w:ascii="Arial" w:hAnsi="Arial" w:cs="Arial"/>
        </w:rPr>
        <w:t>caps with hard caps;</w:t>
      </w:r>
    </w:p>
    <w:p w:rsidR="00030F8E" w:rsidRPr="007B1B8F" w:rsidRDefault="00030F8E" w:rsidP="00BF3DCD">
      <w:pPr>
        <w:pStyle w:val="ListParagraph"/>
        <w:numPr>
          <w:ilvl w:val="0"/>
          <w:numId w:val="23"/>
        </w:numPr>
        <w:spacing w:after="0"/>
        <w:jc w:val="both"/>
        <w:rPr>
          <w:rFonts w:ascii="Arial" w:hAnsi="Arial" w:cs="Arial"/>
        </w:rPr>
      </w:pPr>
      <w:r w:rsidRPr="007B1B8F">
        <w:rPr>
          <w:rFonts w:ascii="Arial" w:hAnsi="Arial" w:cs="Arial"/>
        </w:rPr>
        <w:t>appoint a regulator responsible for enforce</w:t>
      </w:r>
      <w:r w:rsidR="009032BB">
        <w:rPr>
          <w:rFonts w:ascii="Arial" w:hAnsi="Arial" w:cs="Arial"/>
        </w:rPr>
        <w:t>ment of</w:t>
      </w:r>
      <w:r w:rsidRPr="007B1B8F">
        <w:rPr>
          <w:rFonts w:ascii="Arial" w:hAnsi="Arial" w:cs="Arial"/>
        </w:rPr>
        <w:t xml:space="preserve"> payment surcharging rules;</w:t>
      </w:r>
    </w:p>
    <w:p w:rsidR="00030F8E" w:rsidRPr="007B1B8F" w:rsidRDefault="00030F8E" w:rsidP="00BF3DCD">
      <w:pPr>
        <w:pStyle w:val="ListParagraph"/>
        <w:numPr>
          <w:ilvl w:val="0"/>
          <w:numId w:val="23"/>
        </w:numPr>
        <w:spacing w:after="0"/>
        <w:jc w:val="both"/>
        <w:rPr>
          <w:rFonts w:ascii="Arial" w:hAnsi="Arial" w:cs="Arial"/>
        </w:rPr>
      </w:pPr>
      <w:r w:rsidRPr="007B1B8F">
        <w:rPr>
          <w:rFonts w:ascii="Arial" w:hAnsi="Arial" w:cs="Arial"/>
        </w:rPr>
        <w:t>ban surcharging for low-cost payment methods; and</w:t>
      </w:r>
    </w:p>
    <w:p w:rsidR="00030F8E" w:rsidRPr="007B1B8F" w:rsidRDefault="00030F8E" w:rsidP="00BF3DCD">
      <w:pPr>
        <w:pStyle w:val="ListParagraph"/>
        <w:numPr>
          <w:ilvl w:val="0"/>
          <w:numId w:val="23"/>
        </w:numPr>
        <w:spacing w:after="0"/>
        <w:jc w:val="both"/>
        <w:rPr>
          <w:rFonts w:ascii="Arial" w:hAnsi="Arial" w:cs="Arial"/>
        </w:rPr>
      </w:pPr>
      <w:r w:rsidRPr="007B1B8F">
        <w:rPr>
          <w:rFonts w:ascii="Arial" w:hAnsi="Arial" w:cs="Arial"/>
        </w:rPr>
        <w:t>ensure automatic routing of contactless transactions does not impair consumer choice.</w:t>
      </w:r>
    </w:p>
    <w:p w:rsidR="00E71C71" w:rsidRPr="009127D8" w:rsidRDefault="00E71C71" w:rsidP="00BF3DCD">
      <w:pPr>
        <w:spacing w:after="0"/>
        <w:jc w:val="both"/>
        <w:rPr>
          <w:rFonts w:ascii="Arial" w:hAnsi="Arial" w:cs="Arial"/>
        </w:rPr>
      </w:pPr>
    </w:p>
    <w:p w:rsidR="00861696" w:rsidRPr="009127D8" w:rsidRDefault="00861696" w:rsidP="00BF3DCD">
      <w:pPr>
        <w:spacing w:after="0"/>
        <w:jc w:val="both"/>
        <w:rPr>
          <w:rFonts w:ascii="Arial" w:hAnsi="Arial" w:cs="Arial"/>
        </w:rPr>
      </w:pPr>
      <w:r w:rsidRPr="009127D8">
        <w:rPr>
          <w:rFonts w:ascii="Arial" w:hAnsi="Arial" w:cs="Arial"/>
        </w:rPr>
        <w:t>We have addressed each of the issues for consultation in further detail below.</w:t>
      </w:r>
    </w:p>
    <w:p w:rsidR="00E71C71" w:rsidRPr="009127D8" w:rsidRDefault="00E71C71" w:rsidP="00BF3DCD">
      <w:pPr>
        <w:spacing w:after="0"/>
        <w:jc w:val="both"/>
        <w:rPr>
          <w:rFonts w:ascii="Arial" w:hAnsi="Arial" w:cs="Arial"/>
        </w:rPr>
      </w:pPr>
    </w:p>
    <w:p w:rsidR="00F9118C" w:rsidRPr="009127D8" w:rsidRDefault="00E71C71" w:rsidP="00BF3DCD">
      <w:pPr>
        <w:pStyle w:val="ListParagraph"/>
        <w:numPr>
          <w:ilvl w:val="0"/>
          <w:numId w:val="24"/>
        </w:numPr>
        <w:spacing w:after="0"/>
        <w:jc w:val="both"/>
        <w:rPr>
          <w:rFonts w:ascii="Arial" w:hAnsi="Arial" w:cs="Arial"/>
          <w:b/>
        </w:rPr>
      </w:pPr>
      <w:r w:rsidRPr="009127D8">
        <w:rPr>
          <w:rFonts w:ascii="Arial" w:hAnsi="Arial" w:cs="Arial"/>
          <w:b/>
        </w:rPr>
        <w:t>Interchange fees</w:t>
      </w:r>
    </w:p>
    <w:p w:rsidR="000015E2" w:rsidRPr="009127D8" w:rsidRDefault="000015E2" w:rsidP="00BF3DCD">
      <w:pPr>
        <w:pStyle w:val="ListParagraph"/>
        <w:spacing w:after="0"/>
        <w:jc w:val="both"/>
        <w:rPr>
          <w:rFonts w:ascii="Arial" w:hAnsi="Arial" w:cs="Arial"/>
          <w:b/>
        </w:rPr>
      </w:pPr>
    </w:p>
    <w:p w:rsidR="00E71C71" w:rsidRPr="00596A8C" w:rsidRDefault="00E71C71" w:rsidP="00BF3DCD">
      <w:pPr>
        <w:pStyle w:val="ListParagraph"/>
        <w:numPr>
          <w:ilvl w:val="1"/>
          <w:numId w:val="24"/>
        </w:numPr>
        <w:spacing w:after="0"/>
        <w:ind w:left="1134"/>
        <w:jc w:val="both"/>
        <w:rPr>
          <w:rFonts w:ascii="Arial" w:hAnsi="Arial" w:cs="Arial"/>
          <w:i/>
        </w:rPr>
      </w:pPr>
      <w:r w:rsidRPr="00596A8C">
        <w:rPr>
          <w:rFonts w:ascii="Arial" w:hAnsi="Arial" w:cs="Arial"/>
          <w:i/>
        </w:rPr>
        <w:t>Publishing thresholds for which payment system providers will be subject to interchange or related regulation, possibly based on transaction values and/or market shares</w:t>
      </w:r>
    </w:p>
    <w:p w:rsidR="00985FDF" w:rsidRPr="009127D8" w:rsidRDefault="00985FDF" w:rsidP="00BF3DCD">
      <w:pPr>
        <w:pStyle w:val="ListParagraph"/>
        <w:spacing w:after="0"/>
        <w:ind w:left="1440"/>
        <w:jc w:val="both"/>
        <w:rPr>
          <w:rFonts w:ascii="Arial" w:hAnsi="Arial" w:cs="Arial"/>
          <w:b/>
        </w:rPr>
      </w:pPr>
    </w:p>
    <w:p w:rsidR="00FF58A0" w:rsidRPr="009032BB" w:rsidRDefault="00A712C4" w:rsidP="00BF3DCD">
      <w:pPr>
        <w:pStyle w:val="ListParagraph"/>
        <w:spacing w:after="0"/>
        <w:ind w:left="0"/>
        <w:jc w:val="both"/>
        <w:rPr>
          <w:rFonts w:ascii="Arial" w:hAnsi="Arial" w:cs="Arial"/>
          <w:shd w:val="clear" w:color="auto" w:fill="FFFFFF"/>
        </w:rPr>
      </w:pPr>
      <w:r w:rsidRPr="009032BB">
        <w:rPr>
          <w:rFonts w:ascii="Arial" w:hAnsi="Arial" w:cs="Arial"/>
          <w:shd w:val="clear" w:color="auto" w:fill="FFFFFF"/>
        </w:rPr>
        <w:t xml:space="preserve">We agree with the </w:t>
      </w:r>
      <w:r w:rsidR="00413D04" w:rsidRPr="009032BB">
        <w:rPr>
          <w:rFonts w:ascii="Arial" w:hAnsi="Arial" w:cs="Arial"/>
          <w:shd w:val="clear" w:color="auto" w:fill="FFFFFF"/>
        </w:rPr>
        <w:t>Financial System Inquiry (</w:t>
      </w:r>
      <w:r w:rsidRPr="009032BB">
        <w:rPr>
          <w:rFonts w:ascii="Arial" w:hAnsi="Arial" w:cs="Arial"/>
          <w:b/>
          <w:shd w:val="clear" w:color="auto" w:fill="FFFFFF"/>
        </w:rPr>
        <w:t>FSI</w:t>
      </w:r>
      <w:r w:rsidR="00413D04" w:rsidRPr="009032BB">
        <w:rPr>
          <w:rFonts w:ascii="Arial" w:hAnsi="Arial" w:cs="Arial"/>
          <w:shd w:val="clear" w:color="auto" w:fill="FFFFFF"/>
        </w:rPr>
        <w:t>)</w:t>
      </w:r>
      <w:r w:rsidRPr="009032BB">
        <w:rPr>
          <w:rFonts w:ascii="Arial" w:hAnsi="Arial" w:cs="Arial"/>
          <w:shd w:val="clear" w:color="auto" w:fill="FFFFFF"/>
        </w:rPr>
        <w:t xml:space="preserve"> panel that p</w:t>
      </w:r>
      <w:r w:rsidR="00985FDF" w:rsidRPr="009032BB">
        <w:rPr>
          <w:rFonts w:ascii="Arial" w:hAnsi="Arial" w:cs="Arial"/>
          <w:shd w:val="clear" w:color="auto" w:fill="FFFFFF"/>
        </w:rPr>
        <w:t xml:space="preserve">ublishing thresholds for designating system providers for interchange fee standards would give system and service providers, particularly new entrants, certainty </w:t>
      </w:r>
      <w:r w:rsidRPr="009032BB">
        <w:rPr>
          <w:rFonts w:ascii="Arial" w:hAnsi="Arial" w:cs="Arial"/>
          <w:shd w:val="clear" w:color="auto" w:fill="FFFFFF"/>
        </w:rPr>
        <w:t>about how regulation is applied.</w:t>
      </w:r>
      <w:r w:rsidRPr="009032BB">
        <w:rPr>
          <w:rStyle w:val="FootnoteReference"/>
          <w:rFonts w:ascii="Arial" w:hAnsi="Arial" w:cs="Arial"/>
          <w:shd w:val="clear" w:color="auto" w:fill="FFFFFF"/>
        </w:rPr>
        <w:footnoteReference w:id="1"/>
      </w:r>
      <w:r w:rsidR="00985FDF" w:rsidRPr="009032BB">
        <w:rPr>
          <w:rFonts w:ascii="Arial" w:hAnsi="Arial" w:cs="Arial"/>
          <w:shd w:val="clear" w:color="auto" w:fill="FFFFFF"/>
        </w:rPr>
        <w:t xml:space="preserve"> </w:t>
      </w:r>
      <w:r w:rsidR="003A58DA" w:rsidRPr="009032BB">
        <w:rPr>
          <w:rFonts w:ascii="Arial" w:hAnsi="Arial" w:cs="Arial"/>
          <w:shd w:val="clear" w:color="auto" w:fill="FFFFFF"/>
        </w:rPr>
        <w:t>Increased transparency is unlikely to have any detrimental effects on consumers, and may even provide</w:t>
      </w:r>
      <w:r w:rsidR="001C138A" w:rsidRPr="009032BB">
        <w:rPr>
          <w:rFonts w:ascii="Arial" w:hAnsi="Arial" w:cs="Arial"/>
          <w:shd w:val="clear" w:color="auto" w:fill="FFFFFF"/>
        </w:rPr>
        <w:t xml:space="preserve"> benefits for consumers</w:t>
      </w:r>
      <w:r w:rsidR="003A58DA" w:rsidRPr="009032BB">
        <w:rPr>
          <w:rFonts w:ascii="Arial" w:hAnsi="Arial" w:cs="Arial"/>
          <w:shd w:val="clear" w:color="auto" w:fill="FFFFFF"/>
        </w:rPr>
        <w:t xml:space="preserve"> </w:t>
      </w:r>
      <w:r w:rsidR="0038269E" w:rsidRPr="009032BB">
        <w:rPr>
          <w:rFonts w:ascii="Arial" w:hAnsi="Arial" w:cs="Arial"/>
          <w:shd w:val="clear" w:color="auto" w:fill="FFFFFF"/>
        </w:rPr>
        <w:t xml:space="preserve">as </w:t>
      </w:r>
      <w:r w:rsidR="003A64E1" w:rsidRPr="009032BB">
        <w:rPr>
          <w:rFonts w:ascii="Arial" w:hAnsi="Arial" w:cs="Arial"/>
          <w:shd w:val="clear" w:color="auto" w:fill="FFFFFF"/>
        </w:rPr>
        <w:t xml:space="preserve">regulatory certainty can encourage new entrants to </w:t>
      </w:r>
      <w:r w:rsidR="009032BB">
        <w:rPr>
          <w:rFonts w:ascii="Arial" w:hAnsi="Arial" w:cs="Arial"/>
          <w:shd w:val="clear" w:color="auto" w:fill="FFFFFF"/>
        </w:rPr>
        <w:t xml:space="preserve">join </w:t>
      </w:r>
      <w:r w:rsidR="003A64E1" w:rsidRPr="009032BB">
        <w:rPr>
          <w:rFonts w:ascii="Arial" w:hAnsi="Arial" w:cs="Arial"/>
          <w:shd w:val="clear" w:color="auto" w:fill="FFFFFF"/>
        </w:rPr>
        <w:t>the market and promote competition.</w:t>
      </w:r>
    </w:p>
    <w:p w:rsidR="00933671" w:rsidRPr="009127D8" w:rsidRDefault="00933671" w:rsidP="00BF3DCD">
      <w:pPr>
        <w:pStyle w:val="ListParagraph"/>
        <w:spacing w:after="0"/>
        <w:ind w:left="0"/>
        <w:jc w:val="both"/>
        <w:rPr>
          <w:rFonts w:ascii="Arial" w:hAnsi="Arial" w:cs="Arial"/>
          <w:b/>
        </w:rPr>
      </w:pPr>
    </w:p>
    <w:p w:rsidR="00E71C71" w:rsidRPr="00596A8C" w:rsidRDefault="00E71C71" w:rsidP="00BF3DCD">
      <w:pPr>
        <w:pStyle w:val="ListParagraph"/>
        <w:numPr>
          <w:ilvl w:val="1"/>
          <w:numId w:val="24"/>
        </w:numPr>
        <w:spacing w:after="0"/>
        <w:ind w:left="1134"/>
        <w:jc w:val="both"/>
        <w:rPr>
          <w:rFonts w:ascii="Arial" w:hAnsi="Arial" w:cs="Arial"/>
          <w:i/>
        </w:rPr>
      </w:pPr>
      <w:r w:rsidRPr="00596A8C">
        <w:rPr>
          <w:rFonts w:ascii="Arial" w:hAnsi="Arial" w:cs="Arial"/>
          <w:i/>
        </w:rPr>
        <w:t>Broadening interchange fee caps to include other payments between schemes and issuers</w:t>
      </w:r>
    </w:p>
    <w:p w:rsidR="00FF58A0" w:rsidRPr="009127D8" w:rsidRDefault="00FF58A0" w:rsidP="00BF3DCD">
      <w:pPr>
        <w:pStyle w:val="ListParagraph"/>
        <w:spacing w:after="0"/>
        <w:ind w:left="0"/>
        <w:jc w:val="both"/>
        <w:rPr>
          <w:rFonts w:ascii="Arial" w:hAnsi="Arial" w:cs="Arial"/>
          <w:b/>
        </w:rPr>
      </w:pPr>
    </w:p>
    <w:p w:rsidR="00985FDF" w:rsidRPr="009127D8" w:rsidRDefault="00F509C8" w:rsidP="00BF3DCD">
      <w:pPr>
        <w:pStyle w:val="ListParagraph"/>
        <w:spacing w:after="0"/>
        <w:ind w:left="0"/>
        <w:jc w:val="both"/>
        <w:rPr>
          <w:rFonts w:ascii="Arial" w:hAnsi="Arial" w:cs="Arial"/>
          <w:b/>
        </w:rPr>
      </w:pPr>
      <w:r w:rsidRPr="009127D8">
        <w:rPr>
          <w:rFonts w:ascii="Arial" w:hAnsi="Arial" w:cs="Arial"/>
        </w:rPr>
        <w:t>As set out in the Issues Paper, companion card arrangements have interchange-like fees that are paid from the scheme to the issuer and may involve other incentive or marketing payments to issuers.</w:t>
      </w:r>
      <w:r w:rsidRPr="009127D8">
        <w:rPr>
          <w:rStyle w:val="FootnoteReference"/>
          <w:rFonts w:ascii="Arial" w:hAnsi="Arial" w:cs="Arial"/>
        </w:rPr>
        <w:footnoteReference w:id="2"/>
      </w:r>
      <w:r w:rsidRPr="009127D8">
        <w:rPr>
          <w:rFonts w:ascii="Arial" w:hAnsi="Arial" w:cs="Arial"/>
        </w:rPr>
        <w:t xml:space="preserve"> </w:t>
      </w:r>
      <w:r w:rsidR="008B6DD0" w:rsidRPr="009127D8">
        <w:rPr>
          <w:rFonts w:ascii="Arial" w:hAnsi="Arial" w:cs="Arial"/>
        </w:rPr>
        <w:t>H</w:t>
      </w:r>
      <w:r w:rsidR="00985FDF" w:rsidRPr="009127D8">
        <w:rPr>
          <w:rFonts w:ascii="Arial" w:hAnsi="Arial" w:cs="Arial"/>
        </w:rPr>
        <w:t xml:space="preserve">owever, </w:t>
      </w:r>
      <w:r w:rsidR="008B6DD0" w:rsidRPr="009127D8">
        <w:rPr>
          <w:rFonts w:ascii="Arial" w:hAnsi="Arial" w:cs="Arial"/>
        </w:rPr>
        <w:t>these fees and payments</w:t>
      </w:r>
      <w:r w:rsidR="00985FDF" w:rsidRPr="009127D8">
        <w:rPr>
          <w:rFonts w:ascii="Arial" w:hAnsi="Arial" w:cs="Arial"/>
        </w:rPr>
        <w:t xml:space="preserve"> are not currently captured by interchange fee caps. </w:t>
      </w:r>
      <w:r w:rsidR="008B6DD0" w:rsidRPr="009127D8">
        <w:rPr>
          <w:rFonts w:ascii="Arial" w:hAnsi="Arial" w:cs="Arial"/>
        </w:rPr>
        <w:t xml:space="preserve">We support broadening interchange fee caps to include these other arrangements, </w:t>
      </w:r>
      <w:r w:rsidR="00626C07" w:rsidRPr="009127D8">
        <w:rPr>
          <w:rFonts w:ascii="Arial" w:hAnsi="Arial" w:cs="Arial"/>
        </w:rPr>
        <w:t>as it</w:t>
      </w:r>
      <w:r w:rsidR="0073777A" w:rsidRPr="009127D8">
        <w:rPr>
          <w:rFonts w:ascii="Arial" w:hAnsi="Arial" w:cs="Arial"/>
        </w:rPr>
        <w:t xml:space="preserve"> </w:t>
      </w:r>
      <w:r w:rsidR="009032BB">
        <w:rPr>
          <w:rFonts w:ascii="Arial" w:hAnsi="Arial" w:cs="Arial"/>
        </w:rPr>
        <w:t>will promote</w:t>
      </w:r>
      <w:r w:rsidR="0073777A" w:rsidRPr="009127D8">
        <w:rPr>
          <w:rFonts w:ascii="Arial" w:hAnsi="Arial" w:cs="Arial"/>
        </w:rPr>
        <w:t xml:space="preserve"> competitive neutrality between providers</w:t>
      </w:r>
      <w:r w:rsidR="00985FDF" w:rsidRPr="009127D8">
        <w:rPr>
          <w:rFonts w:ascii="Arial" w:hAnsi="Arial" w:cs="Arial"/>
        </w:rPr>
        <w:t>.</w:t>
      </w:r>
      <w:r w:rsidR="00985FDF" w:rsidRPr="009127D8">
        <w:rPr>
          <w:rStyle w:val="FootnoteReference"/>
          <w:rFonts w:ascii="Arial" w:hAnsi="Arial" w:cs="Arial"/>
        </w:rPr>
        <w:footnoteReference w:id="3"/>
      </w:r>
      <w:r w:rsidR="00626C07" w:rsidRPr="009127D8">
        <w:rPr>
          <w:rFonts w:ascii="Arial" w:hAnsi="Arial" w:cs="Arial"/>
        </w:rPr>
        <w:t xml:space="preserve"> There appears to be no real reason for distinguishing between companion card arrangements and traditional</w:t>
      </w:r>
      <w:r w:rsidR="0091176F" w:rsidRPr="009127D8">
        <w:rPr>
          <w:rFonts w:ascii="Arial" w:hAnsi="Arial" w:cs="Arial"/>
        </w:rPr>
        <w:t xml:space="preserve"> four-party arrangements. </w:t>
      </w:r>
    </w:p>
    <w:p w:rsidR="00985FDF" w:rsidRPr="009127D8" w:rsidRDefault="00985FDF" w:rsidP="00BF3DCD">
      <w:pPr>
        <w:pStyle w:val="ListParagraph"/>
        <w:spacing w:after="0"/>
        <w:ind w:left="0"/>
        <w:jc w:val="both"/>
        <w:rPr>
          <w:rFonts w:ascii="Arial" w:hAnsi="Arial" w:cs="Arial"/>
          <w:b/>
        </w:rPr>
      </w:pPr>
    </w:p>
    <w:p w:rsidR="00E71C71" w:rsidRPr="00596A8C" w:rsidRDefault="00E71C71" w:rsidP="00BF3DCD">
      <w:pPr>
        <w:pStyle w:val="ListParagraph"/>
        <w:numPr>
          <w:ilvl w:val="1"/>
          <w:numId w:val="24"/>
        </w:numPr>
        <w:spacing w:after="0"/>
        <w:ind w:left="1134"/>
        <w:jc w:val="both"/>
        <w:rPr>
          <w:rFonts w:ascii="Arial" w:hAnsi="Arial" w:cs="Arial"/>
          <w:i/>
        </w:rPr>
      </w:pPr>
      <w:r w:rsidRPr="00596A8C">
        <w:rPr>
          <w:rFonts w:ascii="Arial" w:hAnsi="Arial" w:cs="Arial"/>
          <w:i/>
        </w:rPr>
        <w:t>Making changes to the interchange benchmark system to reduce the upward ‘drift’ in average interchange rates inherent in the</w:t>
      </w:r>
      <w:r w:rsidR="00FF58A0" w:rsidRPr="00596A8C">
        <w:rPr>
          <w:rFonts w:ascii="Arial" w:hAnsi="Arial" w:cs="Arial"/>
          <w:i/>
        </w:rPr>
        <w:t xml:space="preserve"> current three-year reset cycle</w:t>
      </w:r>
    </w:p>
    <w:p w:rsidR="00985FDF" w:rsidRPr="009127D8" w:rsidRDefault="00985FDF" w:rsidP="00BF3DCD">
      <w:pPr>
        <w:spacing w:after="0"/>
        <w:jc w:val="both"/>
        <w:rPr>
          <w:rFonts w:ascii="Arial" w:hAnsi="Arial" w:cs="Arial"/>
          <w:b/>
        </w:rPr>
      </w:pPr>
    </w:p>
    <w:p w:rsidR="00D731C0" w:rsidRPr="009127D8" w:rsidRDefault="0091176F" w:rsidP="00BF3DCD">
      <w:pPr>
        <w:spacing w:after="0"/>
        <w:jc w:val="both"/>
        <w:rPr>
          <w:rFonts w:ascii="Arial" w:hAnsi="Arial" w:cs="Arial"/>
        </w:rPr>
      </w:pPr>
      <w:r w:rsidRPr="009127D8">
        <w:rPr>
          <w:rFonts w:ascii="Arial" w:hAnsi="Arial" w:cs="Arial"/>
        </w:rPr>
        <w:t xml:space="preserve">The Issues Paper reports that the combination of </w:t>
      </w:r>
      <w:r w:rsidR="00B95D24" w:rsidRPr="009127D8">
        <w:rPr>
          <w:rFonts w:ascii="Arial" w:hAnsi="Arial" w:cs="Arial"/>
        </w:rPr>
        <w:t>"</w:t>
      </w:r>
      <w:r w:rsidRPr="009127D8">
        <w:rPr>
          <w:rFonts w:ascii="Arial" w:hAnsi="Arial" w:cs="Arial"/>
        </w:rPr>
        <w:t xml:space="preserve">the infrequent and backward-looking nature of benchmark compliance and the schemes' </w:t>
      </w:r>
      <w:r w:rsidR="00B95D24" w:rsidRPr="009127D8">
        <w:rPr>
          <w:rFonts w:ascii="Arial" w:hAnsi="Arial" w:cs="Arial"/>
        </w:rPr>
        <w:t>management</w:t>
      </w:r>
      <w:r w:rsidRPr="009127D8">
        <w:rPr>
          <w:rFonts w:ascii="Arial" w:hAnsi="Arial" w:cs="Arial"/>
        </w:rPr>
        <w:t xml:space="preserve"> of their interchange fee schedules has meant that in practice the weighted-average interchange fees for the schemes.... have almost always been above the benchmark".</w:t>
      </w:r>
      <w:r w:rsidR="00B95D24" w:rsidRPr="009127D8">
        <w:rPr>
          <w:rStyle w:val="FootnoteReference"/>
          <w:rFonts w:ascii="Arial" w:hAnsi="Arial" w:cs="Arial"/>
        </w:rPr>
        <w:footnoteReference w:id="4"/>
      </w:r>
      <w:r w:rsidR="00B95D24" w:rsidRPr="009127D8">
        <w:rPr>
          <w:rFonts w:ascii="Arial" w:hAnsi="Arial" w:cs="Arial"/>
        </w:rPr>
        <w:t xml:space="preserve"> The Issues Paper also states that there has been an upwards drift in average interchange rates. </w:t>
      </w:r>
      <w:r w:rsidR="00375022" w:rsidRPr="009127D8">
        <w:rPr>
          <w:rFonts w:ascii="Arial" w:hAnsi="Arial" w:cs="Arial"/>
        </w:rPr>
        <w:t xml:space="preserve">This increase in average interchange rates, along with an increased use of debit cards for low value transactions, means that interchange fees can in some cases be "very high relative to the value of a small </w:t>
      </w:r>
      <w:r w:rsidR="00375022" w:rsidRPr="009127D8">
        <w:rPr>
          <w:rFonts w:ascii="Arial" w:hAnsi="Arial" w:cs="Arial"/>
        </w:rPr>
        <w:lastRenderedPageBreak/>
        <w:t>payments."</w:t>
      </w:r>
      <w:r w:rsidR="00375022" w:rsidRPr="009127D8">
        <w:rPr>
          <w:rStyle w:val="FootnoteReference"/>
          <w:rFonts w:ascii="Arial" w:hAnsi="Arial" w:cs="Arial"/>
        </w:rPr>
        <w:footnoteReference w:id="5"/>
      </w:r>
      <w:r w:rsidR="00375022" w:rsidRPr="009127D8">
        <w:rPr>
          <w:rFonts w:ascii="Arial" w:hAnsi="Arial" w:cs="Arial"/>
        </w:rPr>
        <w:t xml:space="preserve"> These factors are likely to </w:t>
      </w:r>
      <w:r w:rsidR="009032BB">
        <w:rPr>
          <w:rFonts w:ascii="Arial" w:hAnsi="Arial" w:cs="Arial"/>
        </w:rPr>
        <w:t>result in</w:t>
      </w:r>
      <w:r w:rsidR="00375022" w:rsidRPr="009127D8">
        <w:rPr>
          <w:rFonts w:ascii="Arial" w:hAnsi="Arial" w:cs="Arial"/>
        </w:rPr>
        <w:t xml:space="preserve"> merchants charging consumer</w:t>
      </w:r>
      <w:r w:rsidR="00BD3726">
        <w:rPr>
          <w:rFonts w:ascii="Arial" w:hAnsi="Arial" w:cs="Arial"/>
        </w:rPr>
        <w:t xml:space="preserve">s </w:t>
      </w:r>
      <w:r w:rsidR="009032BB">
        <w:rPr>
          <w:rFonts w:ascii="Arial" w:hAnsi="Arial" w:cs="Arial"/>
        </w:rPr>
        <w:t>increased</w:t>
      </w:r>
      <w:r w:rsidR="00BD3726">
        <w:rPr>
          <w:rFonts w:ascii="Arial" w:hAnsi="Arial" w:cs="Arial"/>
        </w:rPr>
        <w:t xml:space="preserve"> surcharges and/or prices for goods</w:t>
      </w:r>
      <w:r w:rsidR="00375022" w:rsidRPr="009127D8">
        <w:rPr>
          <w:rFonts w:ascii="Arial" w:hAnsi="Arial" w:cs="Arial"/>
        </w:rPr>
        <w:t>, particularly</w:t>
      </w:r>
      <w:r w:rsidR="00BD3726">
        <w:rPr>
          <w:rFonts w:ascii="Arial" w:hAnsi="Arial" w:cs="Arial"/>
        </w:rPr>
        <w:t xml:space="preserve"> </w:t>
      </w:r>
      <w:r w:rsidR="009032BB">
        <w:rPr>
          <w:rFonts w:ascii="Arial" w:hAnsi="Arial" w:cs="Arial"/>
        </w:rPr>
        <w:t>in relation to</w:t>
      </w:r>
      <w:r w:rsidR="00375022" w:rsidRPr="009127D8">
        <w:rPr>
          <w:rFonts w:ascii="Arial" w:hAnsi="Arial" w:cs="Arial"/>
        </w:rPr>
        <w:t xml:space="preserve"> low value  transactions. </w:t>
      </w:r>
      <w:r w:rsidR="00FB343C" w:rsidRPr="009127D8">
        <w:rPr>
          <w:rFonts w:ascii="Arial" w:hAnsi="Arial" w:cs="Arial"/>
        </w:rPr>
        <w:t xml:space="preserve">As set out in paragraph 1(e) below, we support replacing weighted-average interchange caps with hard caps, which would help to address these </w:t>
      </w:r>
      <w:r w:rsidR="009032BB">
        <w:rPr>
          <w:rFonts w:ascii="Arial" w:hAnsi="Arial" w:cs="Arial"/>
        </w:rPr>
        <w:t>issues</w:t>
      </w:r>
      <w:r w:rsidR="00FB343C" w:rsidRPr="009127D8">
        <w:rPr>
          <w:rFonts w:ascii="Arial" w:hAnsi="Arial" w:cs="Arial"/>
        </w:rPr>
        <w:t>.</w:t>
      </w:r>
    </w:p>
    <w:p w:rsidR="0091176F" w:rsidRPr="009127D8" w:rsidRDefault="0091176F" w:rsidP="00BF3DCD">
      <w:pPr>
        <w:spacing w:after="0"/>
        <w:jc w:val="both"/>
        <w:rPr>
          <w:rFonts w:ascii="Arial" w:hAnsi="Arial" w:cs="Arial"/>
          <w:b/>
        </w:rPr>
      </w:pPr>
    </w:p>
    <w:p w:rsidR="00FF58A0" w:rsidRPr="00596A8C" w:rsidRDefault="00E71C71" w:rsidP="00BF3DCD">
      <w:pPr>
        <w:pStyle w:val="ListParagraph"/>
        <w:keepNext/>
        <w:numPr>
          <w:ilvl w:val="1"/>
          <w:numId w:val="24"/>
        </w:numPr>
        <w:spacing w:after="0"/>
        <w:ind w:left="1134" w:hanging="357"/>
        <w:jc w:val="both"/>
        <w:rPr>
          <w:rFonts w:ascii="Arial" w:hAnsi="Arial" w:cs="Arial"/>
          <w:i/>
        </w:rPr>
      </w:pPr>
      <w:r w:rsidRPr="00596A8C">
        <w:rPr>
          <w:rFonts w:ascii="Arial" w:hAnsi="Arial" w:cs="Arial"/>
          <w:i/>
        </w:rPr>
        <w:t>Lowering interchange caps</w:t>
      </w:r>
    </w:p>
    <w:p w:rsidR="00985FDF" w:rsidRPr="009127D8" w:rsidRDefault="00985FDF" w:rsidP="00BF3DCD">
      <w:pPr>
        <w:spacing w:after="0"/>
        <w:jc w:val="both"/>
        <w:rPr>
          <w:rFonts w:ascii="Arial" w:hAnsi="Arial" w:cs="Arial"/>
          <w:b/>
        </w:rPr>
      </w:pPr>
    </w:p>
    <w:p w:rsidR="00985FDF" w:rsidRPr="009127D8" w:rsidRDefault="00A26672" w:rsidP="00BF3DCD">
      <w:pPr>
        <w:spacing w:after="0"/>
        <w:jc w:val="both"/>
        <w:rPr>
          <w:rFonts w:ascii="Arial" w:hAnsi="Arial" w:cs="Arial"/>
        </w:rPr>
      </w:pPr>
      <w:r w:rsidRPr="009127D8">
        <w:rPr>
          <w:rFonts w:ascii="Arial" w:hAnsi="Arial" w:cs="Arial"/>
        </w:rPr>
        <w:t>We note the FSI panel's conclusion that "</w:t>
      </w:r>
      <w:r w:rsidR="000F7B0D">
        <w:rPr>
          <w:rFonts w:ascii="Arial" w:hAnsi="Arial" w:cs="Arial"/>
        </w:rPr>
        <w:t>p</w:t>
      </w:r>
      <w:r w:rsidR="00985FDF" w:rsidRPr="009127D8">
        <w:rPr>
          <w:rFonts w:ascii="Arial" w:hAnsi="Arial" w:cs="Arial"/>
        </w:rPr>
        <w:t>ayments system efficiency could be increased by lowering interchange fee caps.</w:t>
      </w:r>
      <w:r w:rsidRPr="009127D8">
        <w:rPr>
          <w:rFonts w:ascii="Arial" w:hAnsi="Arial" w:cs="Arial"/>
        </w:rPr>
        <w:t>"</w:t>
      </w:r>
      <w:r w:rsidR="00985FDF" w:rsidRPr="009127D8">
        <w:rPr>
          <w:rFonts w:ascii="Arial" w:hAnsi="Arial" w:cs="Arial"/>
        </w:rPr>
        <w:t xml:space="preserve"> The </w:t>
      </w:r>
      <w:r w:rsidRPr="009127D8">
        <w:rPr>
          <w:rFonts w:ascii="Arial" w:hAnsi="Arial" w:cs="Arial"/>
        </w:rPr>
        <w:t>panel</w:t>
      </w:r>
      <w:r w:rsidR="00985FDF" w:rsidRPr="009127D8">
        <w:rPr>
          <w:rFonts w:ascii="Arial" w:hAnsi="Arial" w:cs="Arial"/>
        </w:rPr>
        <w:t xml:space="preserve"> consider</w:t>
      </w:r>
      <w:r w:rsidRPr="009127D8">
        <w:rPr>
          <w:rFonts w:ascii="Arial" w:hAnsi="Arial" w:cs="Arial"/>
        </w:rPr>
        <w:t>ed</w:t>
      </w:r>
      <w:r w:rsidR="00985FDF" w:rsidRPr="009127D8">
        <w:rPr>
          <w:rFonts w:ascii="Arial" w:hAnsi="Arial" w:cs="Arial"/>
        </w:rPr>
        <w:t xml:space="preserve"> that </w:t>
      </w:r>
      <w:r w:rsidRPr="009127D8">
        <w:rPr>
          <w:rFonts w:ascii="Arial" w:hAnsi="Arial" w:cs="Arial"/>
        </w:rPr>
        <w:t>the transitional</w:t>
      </w:r>
      <w:r w:rsidR="00985FDF" w:rsidRPr="009127D8">
        <w:rPr>
          <w:rFonts w:ascii="Arial" w:hAnsi="Arial" w:cs="Arial"/>
        </w:rPr>
        <w:t xml:space="preserve"> costs</w:t>
      </w:r>
      <w:r w:rsidRPr="009127D8">
        <w:rPr>
          <w:rFonts w:ascii="Arial" w:hAnsi="Arial" w:cs="Arial"/>
        </w:rPr>
        <w:t xml:space="preserve"> of lowering interchange caps</w:t>
      </w:r>
      <w:r w:rsidR="00985FDF" w:rsidRPr="009127D8">
        <w:rPr>
          <w:rFonts w:ascii="Arial" w:hAnsi="Arial" w:cs="Arial"/>
        </w:rPr>
        <w:t xml:space="preserve"> </w:t>
      </w:r>
      <w:r w:rsidRPr="009127D8">
        <w:rPr>
          <w:rFonts w:ascii="Arial" w:hAnsi="Arial" w:cs="Arial"/>
        </w:rPr>
        <w:t>"</w:t>
      </w:r>
      <w:r w:rsidR="00985FDF" w:rsidRPr="009127D8">
        <w:rPr>
          <w:rFonts w:ascii="Arial" w:hAnsi="Arial" w:cs="Arial"/>
        </w:rPr>
        <w:t>would be outweighed by lower product prices for all consumers, resulting from lower fees charged to merchants, and reduced cross-subsidisation.</w:t>
      </w:r>
      <w:r w:rsidRPr="009127D8">
        <w:rPr>
          <w:rFonts w:ascii="Arial" w:hAnsi="Arial" w:cs="Arial"/>
        </w:rPr>
        <w:t>"</w:t>
      </w:r>
      <w:r w:rsidR="00985FDF" w:rsidRPr="009127D8">
        <w:rPr>
          <w:rStyle w:val="FootnoteReference"/>
          <w:rFonts w:ascii="Arial" w:hAnsi="Arial" w:cs="Arial"/>
        </w:rPr>
        <w:footnoteReference w:id="6"/>
      </w:r>
      <w:r w:rsidRPr="009127D8">
        <w:rPr>
          <w:rFonts w:ascii="Arial" w:hAnsi="Arial" w:cs="Arial"/>
        </w:rPr>
        <w:t xml:space="preserve"> Given the consumer benefits that are likely to result from lowering interchange caps, </w:t>
      </w:r>
      <w:r w:rsidR="00874DAE">
        <w:rPr>
          <w:rFonts w:ascii="Arial" w:hAnsi="Arial" w:cs="Arial"/>
        </w:rPr>
        <w:t>we</w:t>
      </w:r>
      <w:r w:rsidRPr="009127D8">
        <w:rPr>
          <w:rFonts w:ascii="Arial" w:hAnsi="Arial" w:cs="Arial"/>
        </w:rPr>
        <w:t xml:space="preserve"> suppor</w:t>
      </w:r>
      <w:r w:rsidR="00874DAE">
        <w:rPr>
          <w:rFonts w:ascii="Arial" w:hAnsi="Arial" w:cs="Arial"/>
        </w:rPr>
        <w:t>t</w:t>
      </w:r>
      <w:r w:rsidRPr="009127D8">
        <w:rPr>
          <w:rFonts w:ascii="Arial" w:hAnsi="Arial" w:cs="Arial"/>
        </w:rPr>
        <w:t xml:space="preserve"> this measure. As set out in the Issues Paper, </w:t>
      </w:r>
      <w:r w:rsidR="00D55586" w:rsidRPr="009127D8">
        <w:rPr>
          <w:rFonts w:ascii="Arial" w:hAnsi="Arial" w:cs="Arial"/>
        </w:rPr>
        <w:t xml:space="preserve">the reduction in interchange fees for the international systems has not prevented continued strong growth in the card systems in Australia, and may in fact stimulate growth. There are </w:t>
      </w:r>
      <w:r w:rsidR="000F7B0D">
        <w:rPr>
          <w:rFonts w:ascii="Arial" w:hAnsi="Arial" w:cs="Arial"/>
        </w:rPr>
        <w:t xml:space="preserve">also </w:t>
      </w:r>
      <w:r w:rsidR="00D55586" w:rsidRPr="009127D8">
        <w:rPr>
          <w:rFonts w:ascii="Arial" w:hAnsi="Arial" w:cs="Arial"/>
        </w:rPr>
        <w:t>international examples of card systems that function effectively without any interchange fees.</w:t>
      </w:r>
      <w:r w:rsidR="00D55586" w:rsidRPr="009127D8">
        <w:rPr>
          <w:rStyle w:val="FootnoteReference"/>
          <w:rFonts w:ascii="Arial" w:hAnsi="Arial" w:cs="Arial"/>
        </w:rPr>
        <w:footnoteReference w:id="7"/>
      </w:r>
    </w:p>
    <w:p w:rsidR="00985FDF" w:rsidRPr="00596A8C" w:rsidRDefault="00985FDF" w:rsidP="00BF3DCD">
      <w:pPr>
        <w:spacing w:after="0"/>
        <w:jc w:val="both"/>
        <w:rPr>
          <w:rFonts w:ascii="Arial" w:hAnsi="Arial" w:cs="Arial"/>
          <w:i/>
        </w:rPr>
      </w:pPr>
    </w:p>
    <w:p w:rsidR="00E71C71" w:rsidRPr="00596A8C" w:rsidRDefault="00E71C71" w:rsidP="00BF3DCD">
      <w:pPr>
        <w:pStyle w:val="ListParagraph"/>
        <w:numPr>
          <w:ilvl w:val="1"/>
          <w:numId w:val="24"/>
        </w:numPr>
        <w:spacing w:after="0"/>
        <w:ind w:left="1134"/>
        <w:jc w:val="both"/>
        <w:rPr>
          <w:rFonts w:ascii="Arial" w:hAnsi="Arial" w:cs="Arial"/>
          <w:i/>
        </w:rPr>
      </w:pPr>
      <w:r w:rsidRPr="00596A8C">
        <w:rPr>
          <w:rFonts w:ascii="Arial" w:hAnsi="Arial" w:cs="Arial"/>
          <w:i/>
        </w:rPr>
        <w:t>Replacing weighted-average interchange caps with hard caps</w:t>
      </w:r>
    </w:p>
    <w:p w:rsidR="00FF58A0" w:rsidRPr="009127D8" w:rsidRDefault="00FF58A0" w:rsidP="00BF3DCD">
      <w:pPr>
        <w:pStyle w:val="ListParagraph"/>
        <w:spacing w:after="0"/>
        <w:ind w:left="1440"/>
        <w:jc w:val="both"/>
        <w:rPr>
          <w:rFonts w:ascii="Arial" w:hAnsi="Arial" w:cs="Arial"/>
          <w:color w:val="000000"/>
        </w:rPr>
      </w:pPr>
    </w:p>
    <w:p w:rsidR="002C24D7" w:rsidRPr="009127D8" w:rsidRDefault="007C7600" w:rsidP="00BF3DCD">
      <w:pPr>
        <w:pStyle w:val="ListParagraph"/>
        <w:spacing w:after="0"/>
        <w:ind w:left="0"/>
        <w:jc w:val="both"/>
        <w:rPr>
          <w:rFonts w:ascii="Arial" w:hAnsi="Arial" w:cs="Arial"/>
          <w:color w:val="000000"/>
        </w:rPr>
      </w:pPr>
      <w:r w:rsidRPr="009127D8">
        <w:rPr>
          <w:rFonts w:ascii="Arial" w:hAnsi="Arial" w:cs="Arial"/>
          <w:color w:val="000000"/>
        </w:rPr>
        <w:t xml:space="preserve">As set out above, </w:t>
      </w:r>
      <w:r w:rsidRPr="009127D8">
        <w:rPr>
          <w:rFonts w:ascii="Arial" w:hAnsi="Arial" w:cs="Arial"/>
        </w:rPr>
        <w:t>in practice the weighted-average int</w:t>
      </w:r>
      <w:r w:rsidR="000F7B0D">
        <w:rPr>
          <w:rFonts w:ascii="Arial" w:hAnsi="Arial" w:cs="Arial"/>
        </w:rPr>
        <w:t>erchange fees for the schemes</w:t>
      </w:r>
      <w:r w:rsidRPr="009127D8">
        <w:rPr>
          <w:rFonts w:ascii="Arial" w:hAnsi="Arial" w:cs="Arial"/>
        </w:rPr>
        <w:t xml:space="preserve"> have almost </w:t>
      </w:r>
      <w:r w:rsidR="000F7B0D">
        <w:rPr>
          <w:rFonts w:ascii="Arial" w:hAnsi="Arial" w:cs="Arial"/>
        </w:rPr>
        <w:t>always been above the benchmark</w:t>
      </w:r>
      <w:r w:rsidRPr="009127D8">
        <w:rPr>
          <w:rFonts w:ascii="Arial" w:hAnsi="Arial" w:cs="Arial"/>
        </w:rPr>
        <w:t>.</w:t>
      </w:r>
      <w:r w:rsidRPr="009127D8">
        <w:rPr>
          <w:rStyle w:val="FootnoteReference"/>
          <w:rFonts w:ascii="Arial" w:hAnsi="Arial" w:cs="Arial"/>
        </w:rPr>
        <w:footnoteReference w:id="8"/>
      </w:r>
      <w:r w:rsidRPr="009127D8">
        <w:rPr>
          <w:rFonts w:ascii="Arial" w:hAnsi="Arial" w:cs="Arial"/>
        </w:rPr>
        <w:t xml:space="preserve"> </w:t>
      </w:r>
      <w:r w:rsidR="00FF58A0" w:rsidRPr="009127D8">
        <w:rPr>
          <w:rFonts w:ascii="Arial" w:hAnsi="Arial" w:cs="Arial"/>
          <w:color w:val="000000"/>
        </w:rPr>
        <w:t>We welcome the FSI panel's recommendation to replace three-year weighted-average caps with hard caps, so every interchange fee falls below the interchange fee caps</w:t>
      </w:r>
      <w:r w:rsidRPr="009127D8">
        <w:rPr>
          <w:rFonts w:ascii="Arial" w:hAnsi="Arial" w:cs="Arial"/>
          <w:color w:val="000000"/>
        </w:rPr>
        <w:t>.</w:t>
      </w:r>
      <w:r w:rsidRPr="009127D8">
        <w:rPr>
          <w:rStyle w:val="FootnoteReference"/>
          <w:rFonts w:ascii="Arial" w:hAnsi="Arial" w:cs="Arial"/>
          <w:color w:val="000000"/>
        </w:rPr>
        <w:footnoteReference w:id="9"/>
      </w:r>
      <w:r w:rsidRPr="009127D8">
        <w:rPr>
          <w:rFonts w:ascii="Arial" w:hAnsi="Arial" w:cs="Arial"/>
          <w:color w:val="000000"/>
        </w:rPr>
        <w:t xml:space="preserve"> </w:t>
      </w:r>
      <w:r w:rsidR="00FF58A0" w:rsidRPr="009127D8">
        <w:rPr>
          <w:rFonts w:ascii="Arial" w:hAnsi="Arial" w:cs="Arial"/>
          <w:color w:val="000000"/>
        </w:rPr>
        <w:t>This would also reduce differences in fees paid by small and large merchants.</w:t>
      </w:r>
      <w:r w:rsidR="000333B5" w:rsidRPr="009127D8">
        <w:rPr>
          <w:rFonts w:ascii="Arial" w:hAnsi="Arial" w:cs="Arial"/>
          <w:color w:val="000000"/>
        </w:rPr>
        <w:t xml:space="preserve"> The RBA estimates that the average credit card interchange rate for non-preferred merchants was more than 50 basis points hig</w:t>
      </w:r>
      <w:r w:rsidR="002C24D7" w:rsidRPr="009127D8">
        <w:rPr>
          <w:rFonts w:ascii="Arial" w:hAnsi="Arial" w:cs="Arial"/>
          <w:color w:val="000000"/>
        </w:rPr>
        <w:t>her than</w:t>
      </w:r>
      <w:r w:rsidR="000333B5" w:rsidRPr="009127D8">
        <w:rPr>
          <w:rFonts w:ascii="Arial" w:hAnsi="Arial" w:cs="Arial"/>
          <w:color w:val="000000"/>
        </w:rPr>
        <w:t xml:space="preserve"> the interchange rate applying to preferred merchants in the December quarter of 2014.</w:t>
      </w:r>
      <w:r w:rsidR="002C24D7" w:rsidRPr="009127D8">
        <w:rPr>
          <w:rStyle w:val="FootnoteReference"/>
          <w:rFonts w:ascii="Arial" w:hAnsi="Arial" w:cs="Arial"/>
          <w:color w:val="000000"/>
        </w:rPr>
        <w:footnoteReference w:id="10"/>
      </w:r>
      <w:r w:rsidR="00FF58A0" w:rsidRPr="009127D8">
        <w:rPr>
          <w:rFonts w:ascii="Arial" w:hAnsi="Arial" w:cs="Arial"/>
          <w:color w:val="000000"/>
        </w:rPr>
        <w:t xml:space="preserve"> </w:t>
      </w:r>
    </w:p>
    <w:p w:rsidR="002C24D7" w:rsidRPr="009127D8" w:rsidRDefault="002C24D7" w:rsidP="00BF3DCD">
      <w:pPr>
        <w:pStyle w:val="ListParagraph"/>
        <w:spacing w:after="0"/>
        <w:ind w:left="0"/>
        <w:jc w:val="both"/>
        <w:rPr>
          <w:rFonts w:ascii="Arial" w:hAnsi="Arial" w:cs="Arial"/>
          <w:color w:val="000000"/>
        </w:rPr>
      </w:pPr>
    </w:p>
    <w:p w:rsidR="00FF58A0" w:rsidRPr="009127D8" w:rsidRDefault="00FF58A0" w:rsidP="00BF3DCD">
      <w:pPr>
        <w:pStyle w:val="ListParagraph"/>
        <w:spacing w:after="0"/>
        <w:ind w:left="0"/>
        <w:jc w:val="both"/>
        <w:rPr>
          <w:rFonts w:ascii="Arial" w:hAnsi="Arial" w:cs="Arial"/>
          <w:color w:val="000000"/>
        </w:rPr>
      </w:pPr>
      <w:r w:rsidRPr="009127D8">
        <w:rPr>
          <w:rFonts w:ascii="Arial" w:hAnsi="Arial" w:cs="Arial"/>
          <w:color w:val="000000"/>
        </w:rPr>
        <w:t xml:space="preserve">In our view, </w:t>
      </w:r>
      <w:r w:rsidR="002C24D7" w:rsidRPr="009127D8">
        <w:rPr>
          <w:rFonts w:ascii="Arial" w:hAnsi="Arial" w:cs="Arial"/>
          <w:color w:val="000000"/>
        </w:rPr>
        <w:t>replacing weighted averages with hard caps</w:t>
      </w:r>
      <w:r w:rsidRPr="009127D8">
        <w:rPr>
          <w:rFonts w:ascii="Arial" w:hAnsi="Arial" w:cs="Arial"/>
          <w:color w:val="000000"/>
        </w:rPr>
        <w:t xml:space="preserve"> would be fairer for small businesses struggling to compete on price because of the discounts received by large merchants </w:t>
      </w:r>
      <w:r w:rsidR="000F7B0D">
        <w:rPr>
          <w:rFonts w:ascii="Arial" w:hAnsi="Arial" w:cs="Arial"/>
          <w:color w:val="000000"/>
        </w:rPr>
        <w:t xml:space="preserve">with large </w:t>
      </w:r>
      <w:r w:rsidRPr="009127D8">
        <w:rPr>
          <w:rFonts w:ascii="Arial" w:hAnsi="Arial" w:cs="Arial"/>
          <w:color w:val="000000"/>
        </w:rPr>
        <w:t xml:space="preserve">market share. This in turn provides more choice for consumers, and improves competition. In our view, the current weighted average approach to setting interchange fees is unfair, and creates cross-subsidies. </w:t>
      </w:r>
      <w:r w:rsidR="002C24D7" w:rsidRPr="009127D8">
        <w:rPr>
          <w:rFonts w:ascii="Arial" w:hAnsi="Arial" w:cs="Arial"/>
          <w:color w:val="000000"/>
        </w:rPr>
        <w:t>As noted in the Issues Paper, the cost of the high interchange rates for consumer premium and commercial cards falls entirely on small merchants and other merchants that do not benefit from special rates.</w:t>
      </w:r>
      <w:r w:rsidR="002C24D7" w:rsidRPr="009127D8">
        <w:rPr>
          <w:rStyle w:val="FootnoteReference"/>
          <w:rFonts w:ascii="Arial" w:hAnsi="Arial" w:cs="Arial"/>
          <w:color w:val="000000"/>
        </w:rPr>
        <w:footnoteReference w:id="11"/>
      </w:r>
      <w:r w:rsidR="002C24D7" w:rsidRPr="009127D8">
        <w:rPr>
          <w:rFonts w:ascii="Arial" w:hAnsi="Arial" w:cs="Arial"/>
          <w:color w:val="000000"/>
        </w:rPr>
        <w:t xml:space="preserve"> In our view, this is an unfair outcome for </w:t>
      </w:r>
      <w:r w:rsidR="000F7B0D">
        <w:rPr>
          <w:rFonts w:ascii="Arial" w:hAnsi="Arial" w:cs="Arial"/>
          <w:color w:val="000000"/>
        </w:rPr>
        <w:t xml:space="preserve">both </w:t>
      </w:r>
      <w:r w:rsidR="002C24D7" w:rsidRPr="009127D8">
        <w:rPr>
          <w:rFonts w:ascii="Arial" w:hAnsi="Arial" w:cs="Arial"/>
          <w:color w:val="000000"/>
        </w:rPr>
        <w:t>merchants and consumers.</w:t>
      </w:r>
    </w:p>
    <w:p w:rsidR="00FF58A0" w:rsidRPr="009127D8" w:rsidRDefault="00FF58A0" w:rsidP="00BF3DCD">
      <w:pPr>
        <w:spacing w:after="0"/>
        <w:jc w:val="both"/>
        <w:rPr>
          <w:rFonts w:ascii="Arial" w:hAnsi="Arial" w:cs="Arial"/>
        </w:rPr>
      </w:pPr>
    </w:p>
    <w:p w:rsidR="00E71C71" w:rsidRPr="00596A8C" w:rsidRDefault="00E71C71" w:rsidP="00BF3DCD">
      <w:pPr>
        <w:pStyle w:val="ListParagraph"/>
        <w:numPr>
          <w:ilvl w:val="1"/>
          <w:numId w:val="24"/>
        </w:numPr>
        <w:spacing w:after="0"/>
        <w:ind w:left="1134"/>
        <w:jc w:val="both"/>
        <w:rPr>
          <w:rFonts w:ascii="Arial" w:hAnsi="Arial" w:cs="Arial"/>
          <w:i/>
        </w:rPr>
      </w:pPr>
      <w:r w:rsidRPr="00596A8C">
        <w:rPr>
          <w:rFonts w:ascii="Arial" w:hAnsi="Arial" w:cs="Arial"/>
          <w:i/>
        </w:rPr>
        <w:t>Applying caps as the lesser of a fixed amount and a fixed percentage of transaction values</w:t>
      </w:r>
    </w:p>
    <w:p w:rsidR="006E1C16" w:rsidRPr="009127D8" w:rsidRDefault="006E1C16" w:rsidP="00BF3DCD">
      <w:pPr>
        <w:spacing w:after="0"/>
        <w:jc w:val="both"/>
        <w:rPr>
          <w:rFonts w:ascii="Arial" w:hAnsi="Arial" w:cs="Arial"/>
        </w:rPr>
      </w:pPr>
    </w:p>
    <w:p w:rsidR="00FF58A0" w:rsidRPr="009127D8" w:rsidRDefault="003D77B8" w:rsidP="00BF3DCD">
      <w:pPr>
        <w:spacing w:after="0"/>
        <w:jc w:val="both"/>
        <w:rPr>
          <w:rFonts w:ascii="Arial" w:hAnsi="Arial" w:cs="Arial"/>
        </w:rPr>
      </w:pPr>
      <w:r w:rsidRPr="009127D8">
        <w:rPr>
          <w:rFonts w:ascii="Arial" w:hAnsi="Arial" w:cs="Arial"/>
        </w:rPr>
        <w:t>The FSI panel noted that "</w:t>
      </w:r>
      <w:r w:rsidR="00AE3A36" w:rsidRPr="009127D8">
        <w:rPr>
          <w:rFonts w:ascii="Arial" w:hAnsi="Arial" w:cs="Arial"/>
        </w:rPr>
        <w:t>a</w:t>
      </w:r>
      <w:r w:rsidR="00985FDF" w:rsidRPr="009127D8">
        <w:rPr>
          <w:rFonts w:ascii="Arial" w:hAnsi="Arial" w:cs="Arial"/>
        </w:rPr>
        <w:t xml:space="preserve">pplying fixed-percentage caps to debit systems, in addition to existing fixed-value caps, would ensure low fees for small value transactions. This would </w:t>
      </w:r>
      <w:r w:rsidR="00985FDF" w:rsidRPr="009127D8">
        <w:rPr>
          <w:rFonts w:ascii="Arial" w:hAnsi="Arial" w:cs="Arial"/>
        </w:rPr>
        <w:lastRenderedPageBreak/>
        <w:t>increase the rate of merchants accepting these transactions.</w:t>
      </w:r>
      <w:r w:rsidRPr="009127D8">
        <w:rPr>
          <w:rFonts w:ascii="Arial" w:hAnsi="Arial" w:cs="Arial"/>
        </w:rPr>
        <w:t>"</w:t>
      </w:r>
      <w:r w:rsidR="00AE3A36" w:rsidRPr="009127D8">
        <w:rPr>
          <w:rStyle w:val="FootnoteReference"/>
          <w:rFonts w:ascii="Arial" w:hAnsi="Arial" w:cs="Arial"/>
        </w:rPr>
        <w:footnoteReference w:id="12"/>
      </w:r>
      <w:r w:rsidRPr="009127D8">
        <w:rPr>
          <w:rFonts w:ascii="Arial" w:hAnsi="Arial" w:cs="Arial"/>
        </w:rPr>
        <w:t xml:space="preserve"> </w:t>
      </w:r>
      <w:r w:rsidR="00AE3A36" w:rsidRPr="009127D8">
        <w:rPr>
          <w:rFonts w:ascii="Arial" w:hAnsi="Arial" w:cs="Arial"/>
        </w:rPr>
        <w:t>If this is</w:t>
      </w:r>
      <w:r w:rsidR="00096C7C" w:rsidRPr="009127D8">
        <w:rPr>
          <w:rFonts w:ascii="Arial" w:hAnsi="Arial" w:cs="Arial"/>
        </w:rPr>
        <w:t xml:space="preserve"> </w:t>
      </w:r>
      <w:r w:rsidR="00AE3A36" w:rsidRPr="009127D8">
        <w:rPr>
          <w:rFonts w:ascii="Arial" w:hAnsi="Arial" w:cs="Arial"/>
        </w:rPr>
        <w:t xml:space="preserve">the </w:t>
      </w:r>
      <w:r w:rsidR="000F7B0D">
        <w:rPr>
          <w:rFonts w:ascii="Arial" w:hAnsi="Arial" w:cs="Arial"/>
        </w:rPr>
        <w:t xml:space="preserve">likely </w:t>
      </w:r>
      <w:r w:rsidR="00AE3A36" w:rsidRPr="009127D8">
        <w:rPr>
          <w:rFonts w:ascii="Arial" w:hAnsi="Arial" w:cs="Arial"/>
        </w:rPr>
        <w:t xml:space="preserve">result of applying caps as a fixed percentage of transaction values, this </w:t>
      </w:r>
      <w:r w:rsidRPr="009127D8">
        <w:rPr>
          <w:rFonts w:ascii="Arial" w:hAnsi="Arial" w:cs="Arial"/>
        </w:rPr>
        <w:t xml:space="preserve">would increase consumer choice, </w:t>
      </w:r>
      <w:r w:rsidR="00AE3A36" w:rsidRPr="009127D8">
        <w:rPr>
          <w:rFonts w:ascii="Arial" w:hAnsi="Arial" w:cs="Arial"/>
        </w:rPr>
        <w:t>and is</w:t>
      </w:r>
      <w:r w:rsidRPr="009127D8">
        <w:rPr>
          <w:rFonts w:ascii="Arial" w:hAnsi="Arial" w:cs="Arial"/>
        </w:rPr>
        <w:t xml:space="preserve"> likely to lower transaction costs for both merchants and consumers.</w:t>
      </w:r>
      <w:r w:rsidR="00985FDF" w:rsidRPr="009127D8">
        <w:rPr>
          <w:rFonts w:ascii="Arial" w:hAnsi="Arial" w:cs="Arial"/>
        </w:rPr>
        <w:t xml:space="preserve"> </w:t>
      </w:r>
      <w:r w:rsidR="00F962FB" w:rsidRPr="009127D8">
        <w:rPr>
          <w:rFonts w:ascii="Arial" w:hAnsi="Arial" w:cs="Arial"/>
        </w:rPr>
        <w:t>We are therefore broadly supportive of this recommendation.</w:t>
      </w:r>
    </w:p>
    <w:p w:rsidR="006E1C16" w:rsidRPr="009127D8" w:rsidRDefault="006E1C16" w:rsidP="00BF3DCD">
      <w:pPr>
        <w:spacing w:after="0"/>
        <w:jc w:val="both"/>
        <w:rPr>
          <w:rFonts w:ascii="Arial" w:hAnsi="Arial" w:cs="Arial"/>
          <w:b/>
        </w:rPr>
      </w:pPr>
    </w:p>
    <w:p w:rsidR="00E71C71" w:rsidRPr="00596A8C" w:rsidRDefault="00E71C71" w:rsidP="00BF3DCD">
      <w:pPr>
        <w:pStyle w:val="ListParagraph"/>
        <w:keepNext/>
        <w:numPr>
          <w:ilvl w:val="1"/>
          <w:numId w:val="24"/>
        </w:numPr>
        <w:spacing w:after="0"/>
        <w:ind w:left="1134" w:hanging="357"/>
        <w:jc w:val="both"/>
        <w:rPr>
          <w:rFonts w:ascii="Arial" w:hAnsi="Arial" w:cs="Arial"/>
          <w:i/>
        </w:rPr>
      </w:pPr>
      <w:r w:rsidRPr="00596A8C">
        <w:rPr>
          <w:rFonts w:ascii="Arial" w:hAnsi="Arial" w:cs="Arial"/>
          <w:i/>
        </w:rPr>
        <w:t>Including prepaid cards within the caps for debit cards</w:t>
      </w:r>
    </w:p>
    <w:p w:rsidR="00D91A8A" w:rsidRPr="009127D8" w:rsidRDefault="00D91A8A" w:rsidP="00BF3DCD">
      <w:pPr>
        <w:spacing w:after="0"/>
        <w:jc w:val="both"/>
        <w:rPr>
          <w:rFonts w:ascii="Arial" w:hAnsi="Arial" w:cs="Arial"/>
          <w:b/>
        </w:rPr>
      </w:pPr>
    </w:p>
    <w:p w:rsidR="00D91A8A" w:rsidRPr="009127D8" w:rsidRDefault="00D91A8A" w:rsidP="00BF3DCD">
      <w:pPr>
        <w:spacing w:after="0"/>
        <w:jc w:val="both"/>
        <w:rPr>
          <w:rFonts w:ascii="Arial" w:hAnsi="Arial" w:cs="Arial"/>
        </w:rPr>
      </w:pPr>
      <w:r w:rsidRPr="009127D8">
        <w:rPr>
          <w:rFonts w:ascii="Arial" w:hAnsi="Arial" w:cs="Arial"/>
        </w:rPr>
        <w:t xml:space="preserve">We agree </w:t>
      </w:r>
      <w:r w:rsidR="00F962FB" w:rsidRPr="009127D8">
        <w:rPr>
          <w:rFonts w:ascii="Arial" w:hAnsi="Arial" w:cs="Arial"/>
        </w:rPr>
        <w:t xml:space="preserve">with the RBA </w:t>
      </w:r>
      <w:r w:rsidRPr="009127D8">
        <w:rPr>
          <w:rFonts w:ascii="Arial" w:hAnsi="Arial" w:cs="Arial"/>
        </w:rPr>
        <w:t>that it would be helpful to clarify how prepaid cards are dealt with under the interchange rules in a review.</w:t>
      </w:r>
      <w:r w:rsidRPr="009127D8">
        <w:rPr>
          <w:rStyle w:val="FootnoteReference"/>
          <w:rFonts w:ascii="Arial" w:hAnsi="Arial" w:cs="Arial"/>
        </w:rPr>
        <w:footnoteReference w:id="13"/>
      </w:r>
    </w:p>
    <w:p w:rsidR="00FF58A0" w:rsidRPr="009127D8" w:rsidRDefault="00FF58A0" w:rsidP="00BF3DCD">
      <w:pPr>
        <w:pStyle w:val="ListParagraph"/>
        <w:spacing w:after="0"/>
        <w:ind w:left="1440"/>
        <w:jc w:val="both"/>
        <w:rPr>
          <w:rFonts w:ascii="Arial" w:hAnsi="Arial" w:cs="Arial"/>
          <w:b/>
        </w:rPr>
      </w:pPr>
    </w:p>
    <w:p w:rsidR="00E71C71" w:rsidRPr="00596A8C" w:rsidRDefault="00E71C71" w:rsidP="00BF3DCD">
      <w:pPr>
        <w:pStyle w:val="ListParagraph"/>
        <w:numPr>
          <w:ilvl w:val="1"/>
          <w:numId w:val="24"/>
        </w:numPr>
        <w:spacing w:after="0"/>
        <w:ind w:left="1134"/>
        <w:jc w:val="both"/>
        <w:rPr>
          <w:rFonts w:ascii="Arial" w:hAnsi="Arial" w:cs="Arial"/>
          <w:i/>
        </w:rPr>
      </w:pPr>
      <w:r w:rsidRPr="00596A8C">
        <w:rPr>
          <w:rFonts w:ascii="Arial" w:hAnsi="Arial" w:cs="Arial"/>
          <w:i/>
        </w:rPr>
        <w:t>Allowing for ‘buying groups’ for smaller merchants to group together (subject to any competition law restrictions) to negotiate to receive the lower interchange rates that are accessible to larger merchants</w:t>
      </w:r>
    </w:p>
    <w:p w:rsidR="00FF58A0" w:rsidRPr="009127D8" w:rsidRDefault="00FF58A0" w:rsidP="00BF3DCD">
      <w:pPr>
        <w:pStyle w:val="ListParagraph"/>
        <w:spacing w:after="0"/>
        <w:ind w:left="1440"/>
        <w:jc w:val="both"/>
        <w:rPr>
          <w:rFonts w:ascii="Arial" w:hAnsi="Arial" w:cs="Arial"/>
          <w:color w:val="000000"/>
        </w:rPr>
      </w:pPr>
    </w:p>
    <w:p w:rsidR="00FF58A0" w:rsidRPr="009127D8" w:rsidRDefault="00FF58A0" w:rsidP="00BF3DCD">
      <w:pPr>
        <w:pStyle w:val="ListParagraph"/>
        <w:spacing w:after="0"/>
        <w:ind w:left="0"/>
        <w:jc w:val="both"/>
        <w:rPr>
          <w:rFonts w:ascii="Arial" w:hAnsi="Arial" w:cs="Arial"/>
          <w:b/>
        </w:rPr>
      </w:pPr>
      <w:r w:rsidRPr="009127D8">
        <w:rPr>
          <w:rFonts w:ascii="Arial" w:hAnsi="Arial" w:cs="Arial"/>
          <w:color w:val="000000"/>
        </w:rPr>
        <w:t xml:space="preserve">Reducing the differences in fees paid by small and large merchants, as recommended in 1(e) above, would largely negate the need for ‘buying groups’ </w:t>
      </w:r>
      <w:r w:rsidR="000F7B0D">
        <w:rPr>
          <w:rFonts w:ascii="Arial" w:hAnsi="Arial" w:cs="Arial"/>
          <w:color w:val="000000"/>
        </w:rPr>
        <w:t>of</w:t>
      </w:r>
      <w:r w:rsidRPr="009127D8">
        <w:rPr>
          <w:rFonts w:ascii="Arial" w:hAnsi="Arial" w:cs="Arial"/>
          <w:color w:val="000000"/>
        </w:rPr>
        <w:t xml:space="preserve"> smaller merchants </w:t>
      </w:r>
      <w:r w:rsidR="000F7B0D">
        <w:rPr>
          <w:rFonts w:ascii="Arial" w:hAnsi="Arial" w:cs="Arial"/>
          <w:color w:val="000000"/>
        </w:rPr>
        <w:t>that</w:t>
      </w:r>
      <w:r w:rsidRPr="009127D8">
        <w:rPr>
          <w:rFonts w:ascii="Arial" w:hAnsi="Arial" w:cs="Arial"/>
          <w:color w:val="000000"/>
        </w:rPr>
        <w:t xml:space="preserve"> group together (subject to any competition law restrictions) to negotiate lower interchange rates that are accessible to larger merchants. However, in principle we see no issues with allowing smaller merchants to group together to negotiate lower interchange rates, provided </w:t>
      </w:r>
      <w:r w:rsidR="000F7B0D">
        <w:rPr>
          <w:rFonts w:ascii="Arial" w:hAnsi="Arial" w:cs="Arial"/>
          <w:color w:val="000000"/>
        </w:rPr>
        <w:t>relevant</w:t>
      </w:r>
      <w:r w:rsidRPr="009127D8">
        <w:rPr>
          <w:rFonts w:ascii="Arial" w:hAnsi="Arial" w:cs="Arial"/>
          <w:color w:val="000000"/>
        </w:rPr>
        <w:t xml:space="preserve"> competition laws are complied with.</w:t>
      </w:r>
    </w:p>
    <w:p w:rsidR="00F9118C" w:rsidRPr="009127D8" w:rsidRDefault="00F9118C" w:rsidP="00BF3DCD">
      <w:pPr>
        <w:pStyle w:val="ListParagraph"/>
        <w:spacing w:after="0"/>
        <w:ind w:left="1440"/>
        <w:jc w:val="both"/>
        <w:rPr>
          <w:rFonts w:ascii="Arial" w:hAnsi="Arial" w:cs="Arial"/>
        </w:rPr>
      </w:pPr>
    </w:p>
    <w:p w:rsidR="00E71C71" w:rsidRPr="009127D8" w:rsidRDefault="00E71C71" w:rsidP="00BF3DCD">
      <w:pPr>
        <w:pStyle w:val="ListParagraph"/>
        <w:numPr>
          <w:ilvl w:val="0"/>
          <w:numId w:val="24"/>
        </w:numPr>
        <w:spacing w:after="0"/>
        <w:jc w:val="both"/>
        <w:rPr>
          <w:rFonts w:ascii="Arial" w:hAnsi="Arial" w:cs="Arial"/>
          <w:b/>
        </w:rPr>
      </w:pPr>
      <w:r w:rsidRPr="009127D8">
        <w:rPr>
          <w:rFonts w:ascii="Arial" w:hAnsi="Arial" w:cs="Arial"/>
          <w:b/>
        </w:rPr>
        <w:t>Surcharging</w:t>
      </w:r>
    </w:p>
    <w:p w:rsidR="000015E2" w:rsidRPr="009127D8" w:rsidRDefault="000015E2" w:rsidP="00BF3DCD">
      <w:pPr>
        <w:pStyle w:val="ListParagraph"/>
        <w:spacing w:after="0"/>
        <w:jc w:val="both"/>
        <w:rPr>
          <w:rFonts w:ascii="Arial" w:hAnsi="Arial" w:cs="Arial"/>
          <w:b/>
        </w:rPr>
      </w:pPr>
    </w:p>
    <w:p w:rsidR="00E71C71"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t>A tiered surcharging system, perhaps along the lines of the FSI recommendations</w:t>
      </w:r>
    </w:p>
    <w:p w:rsidR="000015E2" w:rsidRPr="009127D8" w:rsidRDefault="000015E2" w:rsidP="00BF3DCD">
      <w:pPr>
        <w:pStyle w:val="ListParagraph"/>
        <w:spacing w:after="0"/>
        <w:ind w:left="1440"/>
        <w:jc w:val="both"/>
        <w:rPr>
          <w:rFonts w:ascii="Arial" w:hAnsi="Arial" w:cs="Arial"/>
          <w:b/>
        </w:rPr>
      </w:pPr>
    </w:p>
    <w:p w:rsidR="00B00B5B" w:rsidRPr="009127D8" w:rsidRDefault="00674D81" w:rsidP="00BF3DCD">
      <w:pPr>
        <w:spacing w:after="0"/>
        <w:jc w:val="both"/>
        <w:rPr>
          <w:rFonts w:ascii="Arial" w:eastAsia="Times New Roman" w:hAnsi="Arial" w:cs="Arial"/>
          <w:color w:val="000000"/>
          <w:lang w:eastAsia="en-AU"/>
        </w:rPr>
      </w:pPr>
      <w:r w:rsidRPr="009127D8">
        <w:rPr>
          <w:rFonts w:ascii="Arial" w:eastAsia="Times New Roman" w:hAnsi="Arial" w:cs="Arial"/>
          <w:color w:val="000000"/>
          <w:lang w:eastAsia="en-AU"/>
        </w:rPr>
        <w:t>It is clear that excessive surcharging is a major concern for consumers, with the FSI panel receiving over 5</w:t>
      </w:r>
      <w:r w:rsidR="00B00B5B" w:rsidRPr="009127D8">
        <w:rPr>
          <w:rFonts w:ascii="Arial" w:eastAsia="Times New Roman" w:hAnsi="Arial" w:cs="Arial"/>
          <w:color w:val="000000"/>
          <w:lang w:eastAsia="en-AU"/>
        </w:rPr>
        <w:t>,</w:t>
      </w:r>
      <w:r w:rsidRPr="009127D8">
        <w:rPr>
          <w:rFonts w:ascii="Arial" w:eastAsia="Times New Roman" w:hAnsi="Arial" w:cs="Arial"/>
          <w:color w:val="000000"/>
          <w:lang w:eastAsia="en-AU"/>
        </w:rPr>
        <w:t xml:space="preserve">000 submissions </w:t>
      </w:r>
      <w:r w:rsidR="00DF64FF">
        <w:rPr>
          <w:rFonts w:ascii="Arial" w:eastAsia="Times New Roman" w:hAnsi="Arial" w:cs="Arial"/>
          <w:color w:val="000000"/>
          <w:lang w:eastAsia="en-AU"/>
        </w:rPr>
        <w:t>in relation to credit card surcharges</w:t>
      </w:r>
      <w:r w:rsidRPr="009127D8">
        <w:rPr>
          <w:rFonts w:ascii="Arial" w:eastAsia="Times New Roman" w:hAnsi="Arial" w:cs="Arial"/>
          <w:color w:val="000000"/>
          <w:lang w:eastAsia="en-AU"/>
        </w:rPr>
        <w:t>.</w:t>
      </w:r>
      <w:r w:rsidRPr="009127D8">
        <w:rPr>
          <w:rStyle w:val="FootnoteReference"/>
          <w:rFonts w:ascii="Arial" w:eastAsia="Times New Roman" w:hAnsi="Arial" w:cs="Arial"/>
          <w:color w:val="000000"/>
          <w:lang w:eastAsia="en-AU"/>
        </w:rPr>
        <w:footnoteReference w:id="14"/>
      </w:r>
      <w:r w:rsidRPr="009127D8">
        <w:rPr>
          <w:rFonts w:ascii="Arial" w:eastAsia="Times New Roman" w:hAnsi="Arial" w:cs="Arial"/>
          <w:color w:val="000000"/>
          <w:lang w:eastAsia="en-AU"/>
        </w:rPr>
        <w:t xml:space="preserve"> </w:t>
      </w:r>
      <w:r w:rsidR="00EA51FA" w:rsidRPr="009127D8">
        <w:rPr>
          <w:rFonts w:ascii="Arial" w:eastAsia="Times New Roman" w:hAnsi="Arial" w:cs="Arial"/>
          <w:color w:val="000000"/>
          <w:lang w:eastAsia="en-AU"/>
        </w:rPr>
        <w:t xml:space="preserve">The FSI panel acknowledged that </w:t>
      </w:r>
      <w:r w:rsidR="00EA51FA" w:rsidRPr="009127D8">
        <w:rPr>
          <w:rFonts w:ascii="Arial" w:hAnsi="Arial" w:cs="Arial"/>
        </w:rPr>
        <w:t>the current reasonable cost surcharge rules are difficult for system providers to enforce, potentially complex for merchants to comply with and can cause frustration for consumers.</w:t>
      </w:r>
      <w:r w:rsidR="00EA51FA" w:rsidRPr="009127D8">
        <w:rPr>
          <w:rStyle w:val="FootnoteReference"/>
          <w:rFonts w:ascii="Arial" w:hAnsi="Arial" w:cs="Arial"/>
        </w:rPr>
        <w:footnoteReference w:id="15"/>
      </w:r>
      <w:r w:rsidR="00EA51FA" w:rsidRPr="009127D8">
        <w:rPr>
          <w:rFonts w:ascii="Arial" w:eastAsia="Times New Roman" w:hAnsi="Arial" w:cs="Arial"/>
          <w:color w:val="000000"/>
          <w:lang w:eastAsia="en-AU"/>
        </w:rPr>
        <w:t xml:space="preserve"> </w:t>
      </w:r>
      <w:r w:rsidR="00B00B5B" w:rsidRPr="009127D8">
        <w:rPr>
          <w:rFonts w:ascii="Arial" w:eastAsia="Times New Roman" w:hAnsi="Arial" w:cs="Arial"/>
          <w:color w:val="000000"/>
          <w:lang w:eastAsia="en-AU"/>
        </w:rPr>
        <w:t>In response, the</w:t>
      </w:r>
      <w:r w:rsidR="00FF58A0" w:rsidRPr="009127D8">
        <w:rPr>
          <w:rFonts w:ascii="Arial" w:eastAsia="Times New Roman" w:hAnsi="Arial" w:cs="Arial"/>
          <w:color w:val="000000"/>
          <w:lang w:eastAsia="en-AU"/>
        </w:rPr>
        <w:t xml:space="preserve"> FSI panel recommended a three tiered system for payment surcharging.</w:t>
      </w:r>
      <w:r w:rsidR="00B00B5B" w:rsidRPr="009127D8">
        <w:rPr>
          <w:rFonts w:ascii="Arial" w:eastAsia="Times New Roman" w:hAnsi="Arial" w:cs="Arial"/>
          <w:color w:val="000000"/>
          <w:lang w:eastAsia="en-AU"/>
        </w:rPr>
        <w:t xml:space="preserve"> Under this system:</w:t>
      </w:r>
    </w:p>
    <w:p w:rsidR="00B00B5B" w:rsidRPr="009127D8" w:rsidRDefault="00B00B5B" w:rsidP="00BF3DCD">
      <w:pPr>
        <w:spacing w:after="0"/>
        <w:jc w:val="both"/>
        <w:rPr>
          <w:rFonts w:ascii="Arial" w:eastAsia="Times New Roman" w:hAnsi="Arial" w:cs="Arial"/>
          <w:color w:val="000000"/>
          <w:lang w:eastAsia="en-AU"/>
        </w:rPr>
      </w:pPr>
    </w:p>
    <w:p w:rsidR="00B00B5B" w:rsidRPr="009127D8" w:rsidRDefault="00DC5621" w:rsidP="00BF3DCD">
      <w:pPr>
        <w:pStyle w:val="ListParagraph"/>
        <w:numPr>
          <w:ilvl w:val="0"/>
          <w:numId w:val="23"/>
        </w:numPr>
        <w:spacing w:after="0"/>
        <w:jc w:val="both"/>
        <w:rPr>
          <w:rFonts w:ascii="Arial" w:eastAsia="Times New Roman" w:hAnsi="Arial" w:cs="Arial"/>
          <w:color w:val="000000"/>
          <w:lang w:eastAsia="en-AU"/>
        </w:rPr>
      </w:pPr>
      <w:r w:rsidRPr="004B1473">
        <w:rPr>
          <w:rFonts w:ascii="Arial" w:eastAsia="Times New Roman" w:hAnsi="Arial" w:cs="Arial"/>
          <w:color w:val="000000"/>
          <w:lang w:eastAsia="en-AU"/>
        </w:rPr>
        <w:t>low-cost system providers</w:t>
      </w:r>
      <w:r w:rsidRPr="009127D8">
        <w:rPr>
          <w:rFonts w:ascii="Arial" w:eastAsia="Times New Roman" w:hAnsi="Arial" w:cs="Arial"/>
          <w:color w:val="000000"/>
          <w:lang w:eastAsia="en-AU"/>
        </w:rPr>
        <w:t xml:space="preserve"> would be allowed to ban surcharges. System providers could qualify as 'low-cost' if their interchange fees are below debit interchange fee caps';</w:t>
      </w:r>
    </w:p>
    <w:p w:rsidR="00DC5621" w:rsidRPr="009127D8" w:rsidRDefault="00DC5621" w:rsidP="00BF3DCD">
      <w:pPr>
        <w:pStyle w:val="ListParagraph"/>
        <w:numPr>
          <w:ilvl w:val="0"/>
          <w:numId w:val="23"/>
        </w:numPr>
        <w:spacing w:after="0"/>
        <w:jc w:val="both"/>
        <w:rPr>
          <w:rFonts w:ascii="Arial" w:eastAsia="Times New Roman" w:hAnsi="Arial" w:cs="Arial"/>
          <w:color w:val="000000"/>
          <w:lang w:eastAsia="en-AU"/>
        </w:rPr>
      </w:pPr>
      <w:r w:rsidRPr="004B1473">
        <w:rPr>
          <w:rFonts w:ascii="Arial" w:eastAsia="Times New Roman" w:hAnsi="Arial" w:cs="Arial"/>
          <w:color w:val="000000"/>
          <w:lang w:eastAsia="en-AU"/>
        </w:rPr>
        <w:t>medium-cost system providers</w:t>
      </w:r>
      <w:r w:rsidRPr="009127D8">
        <w:rPr>
          <w:rFonts w:ascii="Arial" w:eastAsia="Times New Roman" w:hAnsi="Arial" w:cs="Arial"/>
          <w:color w:val="000000"/>
          <w:lang w:eastAsia="en-AU"/>
        </w:rPr>
        <w:t xml:space="preserve"> would be allowed to set and enforce surcharge limits</w:t>
      </w:r>
      <w:r w:rsidR="000B3EEF" w:rsidRPr="009127D8">
        <w:rPr>
          <w:rFonts w:ascii="Arial" w:eastAsia="Times New Roman" w:hAnsi="Arial" w:cs="Arial"/>
          <w:color w:val="000000"/>
          <w:lang w:eastAsia="en-AU"/>
        </w:rPr>
        <w:t>, which could be set by t</w:t>
      </w:r>
      <w:r w:rsidRPr="009127D8">
        <w:rPr>
          <w:rFonts w:ascii="Arial" w:eastAsia="Times New Roman" w:hAnsi="Arial" w:cs="Arial"/>
          <w:color w:val="000000"/>
          <w:lang w:eastAsia="en-AU"/>
        </w:rPr>
        <w:t xml:space="preserve">he </w:t>
      </w:r>
      <w:r w:rsidR="008E125D">
        <w:rPr>
          <w:rFonts w:ascii="Arial" w:eastAsia="Times New Roman" w:hAnsi="Arial" w:cs="Arial"/>
          <w:color w:val="000000"/>
          <w:lang w:eastAsia="en-AU"/>
        </w:rPr>
        <w:t>Payments Systems Board</w:t>
      </w:r>
      <w:r w:rsidRPr="009127D8">
        <w:rPr>
          <w:rFonts w:ascii="Arial" w:eastAsia="Times New Roman" w:hAnsi="Arial" w:cs="Arial"/>
          <w:color w:val="000000"/>
          <w:lang w:eastAsia="en-AU"/>
        </w:rPr>
        <w:t xml:space="preserve"> </w:t>
      </w:r>
      <w:r w:rsidR="000B3EEF" w:rsidRPr="009127D8">
        <w:rPr>
          <w:rFonts w:ascii="Arial" w:eastAsia="Times New Roman" w:hAnsi="Arial" w:cs="Arial"/>
          <w:color w:val="000000"/>
          <w:lang w:eastAsia="en-AU"/>
        </w:rPr>
        <w:t>based on</w:t>
      </w:r>
      <w:r w:rsidRPr="009127D8">
        <w:rPr>
          <w:rFonts w:ascii="Arial" w:eastAsia="Times New Roman" w:hAnsi="Arial" w:cs="Arial"/>
          <w:color w:val="000000"/>
          <w:lang w:eastAsia="en-AU"/>
        </w:rPr>
        <w:t xml:space="preserve"> approximate payment acceptance costs. System providers could qualify as 'medium-cost' if their interchange fees are below credit interchange fee caps; and</w:t>
      </w:r>
    </w:p>
    <w:p w:rsidR="00DC5621" w:rsidRPr="009127D8" w:rsidRDefault="00FD5280" w:rsidP="00BF3DCD">
      <w:pPr>
        <w:pStyle w:val="ListParagraph"/>
        <w:numPr>
          <w:ilvl w:val="0"/>
          <w:numId w:val="23"/>
        </w:numPr>
        <w:spacing w:after="0"/>
        <w:jc w:val="both"/>
        <w:rPr>
          <w:rFonts w:ascii="Arial" w:eastAsia="Times New Roman" w:hAnsi="Arial" w:cs="Arial"/>
          <w:color w:val="000000"/>
          <w:lang w:eastAsia="en-AU"/>
        </w:rPr>
      </w:pPr>
      <w:r w:rsidRPr="004B1473">
        <w:rPr>
          <w:rFonts w:ascii="Arial" w:eastAsia="Times New Roman" w:hAnsi="Arial" w:cs="Arial"/>
          <w:color w:val="000000"/>
          <w:lang w:eastAsia="en-AU"/>
        </w:rPr>
        <w:t>higher-cost system providers</w:t>
      </w:r>
      <w:r w:rsidRPr="009127D8">
        <w:rPr>
          <w:rFonts w:ascii="Arial" w:eastAsia="Times New Roman" w:hAnsi="Arial" w:cs="Arial"/>
          <w:color w:val="000000"/>
          <w:lang w:eastAsia="en-AU"/>
        </w:rPr>
        <w:t xml:space="preserve"> would be allowed to continue to enforce reasonable cost-recovery surcharging rules.</w:t>
      </w:r>
      <w:r w:rsidR="00782689">
        <w:rPr>
          <w:rStyle w:val="FootnoteReference"/>
          <w:rFonts w:ascii="Arial" w:eastAsia="Times New Roman" w:hAnsi="Arial" w:cs="Arial"/>
          <w:color w:val="000000"/>
          <w:lang w:eastAsia="en-AU"/>
        </w:rPr>
        <w:footnoteReference w:id="16"/>
      </w:r>
    </w:p>
    <w:p w:rsidR="00C26DB6" w:rsidRPr="009127D8" w:rsidRDefault="00FF58A0" w:rsidP="00BF3DCD">
      <w:pPr>
        <w:spacing w:after="0"/>
        <w:jc w:val="both"/>
        <w:rPr>
          <w:rFonts w:ascii="Arial" w:eastAsia="Times New Roman" w:hAnsi="Arial" w:cs="Arial"/>
          <w:color w:val="000000"/>
          <w:lang w:eastAsia="en-AU"/>
        </w:rPr>
      </w:pPr>
      <w:r w:rsidRPr="009127D8">
        <w:rPr>
          <w:rFonts w:ascii="Arial" w:eastAsia="Times New Roman" w:hAnsi="Arial" w:cs="Arial"/>
          <w:color w:val="000000"/>
          <w:lang w:eastAsia="en-AU"/>
        </w:rPr>
        <w:lastRenderedPageBreak/>
        <w:t>In our view, the three tiered approach to payment surcharging may be confusing to both customers and merchants. We do not oppose the tiered approach in principle, provided that extensive consumer testing is undertaken</w:t>
      </w:r>
      <w:r w:rsidR="00C26DB6" w:rsidRPr="009127D8">
        <w:rPr>
          <w:rFonts w:ascii="Arial" w:eastAsia="Times New Roman" w:hAnsi="Arial" w:cs="Arial"/>
          <w:color w:val="000000"/>
          <w:lang w:eastAsia="en-AU"/>
        </w:rPr>
        <w:t xml:space="preserve"> before implementation</w:t>
      </w:r>
      <w:r w:rsidRPr="009127D8">
        <w:rPr>
          <w:rFonts w:ascii="Arial" w:eastAsia="Times New Roman" w:hAnsi="Arial" w:cs="Arial"/>
          <w:color w:val="000000"/>
          <w:lang w:eastAsia="en-AU"/>
        </w:rPr>
        <w:t xml:space="preserve"> to ensure that both consumers and merchants understand the relevant tiers. </w:t>
      </w:r>
    </w:p>
    <w:p w:rsidR="00FF58A0" w:rsidRPr="009127D8" w:rsidRDefault="00FF58A0" w:rsidP="00BF3DCD">
      <w:pPr>
        <w:spacing w:after="0"/>
        <w:jc w:val="both"/>
        <w:rPr>
          <w:rFonts w:ascii="Arial" w:eastAsia="Times New Roman" w:hAnsi="Arial" w:cs="Arial"/>
          <w:color w:val="000000"/>
          <w:lang w:eastAsia="en-AU"/>
        </w:rPr>
      </w:pPr>
    </w:p>
    <w:p w:rsidR="00FF58A0" w:rsidRPr="009127D8" w:rsidRDefault="00FF58A0" w:rsidP="00BF3DCD">
      <w:pPr>
        <w:spacing w:after="0"/>
        <w:jc w:val="both"/>
        <w:rPr>
          <w:rFonts w:ascii="Arial" w:eastAsia="Times New Roman" w:hAnsi="Arial" w:cs="Arial"/>
          <w:color w:val="000000"/>
          <w:lang w:eastAsia="en-AU"/>
        </w:rPr>
      </w:pPr>
      <w:r w:rsidRPr="009127D8">
        <w:rPr>
          <w:rFonts w:ascii="Arial" w:eastAsia="Times New Roman" w:hAnsi="Arial" w:cs="Arial"/>
          <w:color w:val="000000"/>
          <w:lang w:eastAsia="en-AU"/>
        </w:rPr>
        <w:t xml:space="preserve">In general, we oppose surcharging for lower cost payment methods (such as </w:t>
      </w:r>
      <w:r w:rsidR="0040672A" w:rsidRPr="009127D8">
        <w:rPr>
          <w:rFonts w:ascii="Arial" w:eastAsia="Times New Roman" w:hAnsi="Arial" w:cs="Arial"/>
          <w:color w:val="000000"/>
          <w:lang w:eastAsia="en-AU"/>
        </w:rPr>
        <w:t>eftpos</w:t>
      </w:r>
      <w:r w:rsidRPr="009127D8">
        <w:rPr>
          <w:rFonts w:ascii="Arial" w:eastAsia="Times New Roman" w:hAnsi="Arial" w:cs="Arial"/>
          <w:color w:val="000000"/>
          <w:lang w:eastAsia="en-AU"/>
        </w:rPr>
        <w:t>, cash and debit cards). First,</w:t>
      </w:r>
      <w:r w:rsidR="00A85999" w:rsidRPr="009127D8">
        <w:rPr>
          <w:rFonts w:ascii="Arial" w:eastAsia="Times New Roman" w:hAnsi="Arial" w:cs="Arial"/>
          <w:color w:val="000000"/>
          <w:lang w:eastAsia="en-AU"/>
        </w:rPr>
        <w:t xml:space="preserve"> these are the least costly point of sale payment instruments.</w:t>
      </w:r>
      <w:r w:rsidR="00A85999" w:rsidRPr="009127D8">
        <w:rPr>
          <w:rStyle w:val="FootnoteReference"/>
          <w:rFonts w:ascii="Arial" w:eastAsia="Times New Roman" w:hAnsi="Arial" w:cs="Arial"/>
          <w:color w:val="000000"/>
          <w:lang w:eastAsia="en-AU"/>
        </w:rPr>
        <w:footnoteReference w:id="17"/>
      </w:r>
      <w:r w:rsidRPr="009127D8">
        <w:rPr>
          <w:rFonts w:ascii="Arial" w:eastAsia="Times New Roman" w:hAnsi="Arial" w:cs="Arial"/>
          <w:color w:val="000000"/>
          <w:lang w:eastAsia="en-AU"/>
        </w:rPr>
        <w:t xml:space="preserve"> </w:t>
      </w:r>
      <w:r w:rsidR="00A85999" w:rsidRPr="009127D8">
        <w:rPr>
          <w:rFonts w:ascii="Arial" w:eastAsia="Times New Roman" w:hAnsi="Arial" w:cs="Arial"/>
          <w:color w:val="000000"/>
          <w:lang w:eastAsia="en-AU"/>
        </w:rPr>
        <w:t xml:space="preserve">Second, </w:t>
      </w:r>
      <w:r w:rsidRPr="009127D8">
        <w:rPr>
          <w:rFonts w:ascii="Arial" w:eastAsia="Times New Roman" w:hAnsi="Arial" w:cs="Arial"/>
          <w:color w:val="000000"/>
          <w:lang w:eastAsia="en-AU"/>
        </w:rPr>
        <w:t xml:space="preserve">surcharging low-cost payment methods may mean consumers that choose this option would end up subsidising consumers who choose to use higher cost payment methods, such as high-end reward credit cards. </w:t>
      </w:r>
      <w:r w:rsidR="00A85999" w:rsidRPr="009127D8">
        <w:rPr>
          <w:rFonts w:ascii="Arial" w:eastAsia="Times New Roman" w:hAnsi="Arial" w:cs="Arial"/>
          <w:color w:val="000000"/>
          <w:lang w:eastAsia="en-AU"/>
        </w:rPr>
        <w:t>Third</w:t>
      </w:r>
      <w:r w:rsidRPr="009127D8">
        <w:rPr>
          <w:rFonts w:ascii="Arial" w:eastAsia="Times New Roman" w:hAnsi="Arial" w:cs="Arial"/>
          <w:color w:val="000000"/>
          <w:lang w:eastAsia="en-AU"/>
        </w:rPr>
        <w:t>, we do not believe it is fair for consumers to be surcharged for access to their own funds. </w:t>
      </w:r>
    </w:p>
    <w:p w:rsidR="00A85999" w:rsidRPr="009127D8" w:rsidRDefault="00A85999" w:rsidP="00BF3DCD">
      <w:pPr>
        <w:spacing w:after="0"/>
        <w:jc w:val="both"/>
        <w:rPr>
          <w:rFonts w:ascii="Arial" w:eastAsia="Times New Roman" w:hAnsi="Arial" w:cs="Arial"/>
          <w:color w:val="000000"/>
          <w:lang w:eastAsia="en-AU"/>
        </w:rPr>
      </w:pPr>
    </w:p>
    <w:p w:rsidR="00A85999" w:rsidRPr="009127D8" w:rsidRDefault="00F437E1" w:rsidP="00BF3DCD">
      <w:pPr>
        <w:spacing w:after="0"/>
        <w:jc w:val="both"/>
        <w:rPr>
          <w:rFonts w:ascii="Arial" w:eastAsia="Times New Roman" w:hAnsi="Arial" w:cs="Arial"/>
          <w:color w:val="000000"/>
          <w:lang w:eastAsia="en-AU"/>
        </w:rPr>
      </w:pPr>
      <w:r w:rsidRPr="009127D8">
        <w:rPr>
          <w:rFonts w:ascii="Arial" w:eastAsia="Times New Roman" w:hAnsi="Arial" w:cs="Arial"/>
          <w:color w:val="000000"/>
          <w:lang w:eastAsia="en-AU"/>
        </w:rPr>
        <w:t>Regardless of whether a 'reasonab</w:t>
      </w:r>
      <w:r w:rsidR="008E125D">
        <w:rPr>
          <w:rFonts w:ascii="Arial" w:eastAsia="Times New Roman" w:hAnsi="Arial" w:cs="Arial"/>
          <w:color w:val="000000"/>
          <w:lang w:eastAsia="en-AU"/>
        </w:rPr>
        <w:t>le costs' or 'three tier' system</w:t>
      </w:r>
      <w:r w:rsidRPr="009127D8">
        <w:rPr>
          <w:rFonts w:ascii="Arial" w:eastAsia="Times New Roman" w:hAnsi="Arial" w:cs="Arial"/>
          <w:color w:val="000000"/>
          <w:lang w:eastAsia="en-AU"/>
        </w:rPr>
        <w:t xml:space="preserve"> is adopted, p</w:t>
      </w:r>
      <w:r w:rsidR="00A85999" w:rsidRPr="009127D8">
        <w:rPr>
          <w:rFonts w:ascii="Arial" w:eastAsia="Times New Roman" w:hAnsi="Arial" w:cs="Arial"/>
          <w:color w:val="000000"/>
          <w:lang w:eastAsia="en-AU"/>
        </w:rPr>
        <w:t xml:space="preserve">ayment surcharge regulations must be rigorously enforced in order to be effective. The Issues Paper acknowledges that there has been 'limited effective enforcement' of the current rules </w:t>
      </w:r>
      <w:r w:rsidR="008E125D">
        <w:rPr>
          <w:rFonts w:ascii="Arial" w:eastAsia="Times New Roman" w:hAnsi="Arial" w:cs="Arial"/>
          <w:color w:val="000000"/>
          <w:lang w:eastAsia="en-AU"/>
        </w:rPr>
        <w:t>that</w:t>
      </w:r>
      <w:r w:rsidR="00A85999" w:rsidRPr="009127D8">
        <w:rPr>
          <w:rFonts w:ascii="Arial" w:eastAsia="Times New Roman" w:hAnsi="Arial" w:cs="Arial"/>
          <w:color w:val="000000"/>
          <w:lang w:eastAsia="en-AU"/>
        </w:rPr>
        <w:t xml:space="preserve"> limit surcharges to the reasonable cost of acceptance.</w:t>
      </w:r>
      <w:r w:rsidR="00A85999" w:rsidRPr="009127D8">
        <w:rPr>
          <w:rStyle w:val="FootnoteReference"/>
          <w:rFonts w:ascii="Arial" w:eastAsia="Times New Roman" w:hAnsi="Arial" w:cs="Arial"/>
          <w:color w:val="000000"/>
          <w:lang w:eastAsia="en-AU"/>
        </w:rPr>
        <w:footnoteReference w:id="18"/>
      </w:r>
      <w:r w:rsidR="00A85999" w:rsidRPr="009127D8">
        <w:rPr>
          <w:rFonts w:ascii="Arial" w:eastAsia="Times New Roman" w:hAnsi="Arial" w:cs="Arial"/>
          <w:color w:val="000000"/>
          <w:lang w:eastAsia="en-AU"/>
        </w:rPr>
        <w:t xml:space="preserve"> We discuss enforcement of surcharging rules in further detail in section 2(b)</w:t>
      </w:r>
      <w:r w:rsidR="008E125D">
        <w:rPr>
          <w:rFonts w:ascii="Arial" w:eastAsia="Times New Roman" w:hAnsi="Arial" w:cs="Arial"/>
          <w:color w:val="000000"/>
          <w:lang w:eastAsia="en-AU"/>
        </w:rPr>
        <w:t xml:space="preserve"> below</w:t>
      </w:r>
      <w:r w:rsidR="00A85999" w:rsidRPr="009127D8">
        <w:rPr>
          <w:rFonts w:ascii="Arial" w:eastAsia="Times New Roman" w:hAnsi="Arial" w:cs="Arial"/>
          <w:color w:val="000000"/>
          <w:lang w:eastAsia="en-AU"/>
        </w:rPr>
        <w:t xml:space="preserve">. </w:t>
      </w:r>
    </w:p>
    <w:p w:rsidR="00FF58A0" w:rsidRPr="009127D8" w:rsidRDefault="00FF58A0" w:rsidP="00BF3DCD">
      <w:pPr>
        <w:pStyle w:val="ListParagraph"/>
        <w:spacing w:after="0"/>
        <w:ind w:left="1440"/>
        <w:jc w:val="both"/>
        <w:rPr>
          <w:rFonts w:ascii="Arial" w:hAnsi="Arial" w:cs="Arial"/>
          <w:b/>
        </w:rPr>
      </w:pPr>
    </w:p>
    <w:p w:rsidR="00F9118C"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t>Targeted changes to reduce particular cases of excessive surcharging</w:t>
      </w:r>
    </w:p>
    <w:p w:rsidR="00FF58A0" w:rsidRPr="009127D8" w:rsidRDefault="00FF58A0" w:rsidP="00BF3DCD">
      <w:pPr>
        <w:pStyle w:val="ListParagraph"/>
        <w:spacing w:after="0"/>
        <w:ind w:left="1440"/>
        <w:jc w:val="both"/>
        <w:rPr>
          <w:rFonts w:ascii="Arial" w:hAnsi="Arial" w:cs="Arial"/>
          <w:b/>
        </w:rPr>
      </w:pPr>
    </w:p>
    <w:p w:rsidR="00FF58A0" w:rsidRPr="009127D8" w:rsidRDefault="00FF58A0" w:rsidP="00BF3DCD">
      <w:pPr>
        <w:pStyle w:val="ListParagraph"/>
        <w:spacing w:after="0"/>
        <w:ind w:left="0"/>
        <w:jc w:val="both"/>
        <w:rPr>
          <w:rFonts w:ascii="Arial" w:hAnsi="Arial" w:cs="Arial"/>
          <w:color w:val="000000"/>
        </w:rPr>
      </w:pPr>
      <w:r w:rsidRPr="009127D8">
        <w:rPr>
          <w:rFonts w:ascii="Arial" w:hAnsi="Arial" w:cs="Arial"/>
          <w:color w:val="000000"/>
        </w:rPr>
        <w:t>Over-sur</w:t>
      </w:r>
      <w:r w:rsidR="0011097F" w:rsidRPr="009127D8">
        <w:rPr>
          <w:rFonts w:ascii="Arial" w:hAnsi="Arial" w:cs="Arial"/>
          <w:color w:val="000000"/>
        </w:rPr>
        <w:t>charging will continue despite targeted changes</w:t>
      </w:r>
      <w:r w:rsidRPr="009127D8">
        <w:rPr>
          <w:rFonts w:ascii="Arial" w:hAnsi="Arial" w:cs="Arial"/>
          <w:color w:val="000000"/>
        </w:rPr>
        <w:t xml:space="preserve"> unless a regulator is made responsible for enforcement. Without regulatory oversight, rules designed to limit surcharging are likely to be widely ignored. We recommend that a regulator, preferably </w:t>
      </w:r>
      <w:r w:rsidR="008E125D">
        <w:rPr>
          <w:rFonts w:ascii="Arial" w:hAnsi="Arial" w:cs="Arial"/>
          <w:color w:val="000000"/>
        </w:rPr>
        <w:t>the Australian Securities and Investments Commission</w:t>
      </w:r>
      <w:r w:rsidRPr="009127D8">
        <w:rPr>
          <w:rFonts w:ascii="Arial" w:hAnsi="Arial" w:cs="Arial"/>
          <w:color w:val="000000"/>
        </w:rPr>
        <w:t xml:space="preserve"> or </w:t>
      </w:r>
      <w:r w:rsidR="008E125D">
        <w:rPr>
          <w:rFonts w:ascii="Arial" w:hAnsi="Arial" w:cs="Arial"/>
          <w:color w:val="000000"/>
        </w:rPr>
        <w:t>Australian Competition and Consumer Commission (</w:t>
      </w:r>
      <w:r w:rsidR="008E125D">
        <w:rPr>
          <w:rFonts w:ascii="Arial" w:hAnsi="Arial" w:cs="Arial"/>
          <w:b/>
          <w:color w:val="000000"/>
        </w:rPr>
        <w:t>ACCC</w:t>
      </w:r>
      <w:r w:rsidR="008E125D">
        <w:rPr>
          <w:rFonts w:ascii="Arial" w:hAnsi="Arial" w:cs="Arial"/>
          <w:color w:val="000000"/>
        </w:rPr>
        <w:t>)</w:t>
      </w:r>
      <w:r w:rsidRPr="009127D8">
        <w:rPr>
          <w:rFonts w:ascii="Arial" w:hAnsi="Arial" w:cs="Arial"/>
          <w:color w:val="000000"/>
        </w:rPr>
        <w:t>, be given responsibility for enforcing payment surcharging rules. The regulator would need to enforce the</w:t>
      </w:r>
      <w:r w:rsidR="00831CC1">
        <w:rPr>
          <w:rFonts w:ascii="Arial" w:hAnsi="Arial" w:cs="Arial"/>
          <w:color w:val="000000"/>
        </w:rPr>
        <w:t>se rules robustly</w:t>
      </w:r>
      <w:r w:rsidRPr="009127D8">
        <w:rPr>
          <w:rFonts w:ascii="Arial" w:hAnsi="Arial" w:cs="Arial"/>
          <w:color w:val="000000"/>
        </w:rPr>
        <w:t xml:space="preserve"> in order to send a clear message to merchants that the days of excessive surcharging are over.</w:t>
      </w:r>
      <w:r w:rsidR="0011097F" w:rsidRPr="009127D8">
        <w:rPr>
          <w:rFonts w:ascii="Arial" w:hAnsi="Arial" w:cs="Arial"/>
          <w:color w:val="000000"/>
        </w:rPr>
        <w:t xml:space="preserve"> The regulator should </w:t>
      </w:r>
      <w:r w:rsidR="00EC1D56" w:rsidRPr="009127D8">
        <w:rPr>
          <w:rFonts w:ascii="Arial" w:hAnsi="Arial" w:cs="Arial"/>
          <w:color w:val="000000"/>
        </w:rPr>
        <w:t>prioritise enforcement activity on sectors that are known for excessive surcharging, such as the airline and taxi industries.</w:t>
      </w:r>
    </w:p>
    <w:p w:rsidR="00961EAA" w:rsidRPr="009127D8" w:rsidRDefault="00961EAA" w:rsidP="00BF3DCD">
      <w:pPr>
        <w:pStyle w:val="ListParagraph"/>
        <w:spacing w:after="0"/>
        <w:ind w:left="0"/>
        <w:jc w:val="both"/>
        <w:rPr>
          <w:rFonts w:ascii="Arial" w:hAnsi="Arial" w:cs="Arial"/>
          <w:color w:val="000000"/>
        </w:rPr>
      </w:pPr>
    </w:p>
    <w:p w:rsidR="00961EAA" w:rsidRPr="009127D8" w:rsidRDefault="00961EAA" w:rsidP="00BF3DCD">
      <w:pPr>
        <w:pStyle w:val="ListParagraph"/>
        <w:spacing w:after="0"/>
        <w:ind w:left="0"/>
        <w:jc w:val="both"/>
        <w:rPr>
          <w:rFonts w:ascii="Arial" w:hAnsi="Arial" w:cs="Arial"/>
          <w:color w:val="000000"/>
        </w:rPr>
      </w:pPr>
      <w:r w:rsidRPr="009127D8">
        <w:rPr>
          <w:rFonts w:ascii="Arial" w:hAnsi="Arial" w:cs="Arial"/>
          <w:color w:val="000000"/>
        </w:rPr>
        <w:t xml:space="preserve">In relation to the airline industry, the market is currently dominated by four airlines: Jetstar, Qantas, Virgin and Tiger. As </w:t>
      </w:r>
      <w:r w:rsidR="00831CC1">
        <w:rPr>
          <w:rFonts w:ascii="Arial" w:hAnsi="Arial" w:cs="Arial"/>
          <w:color w:val="000000"/>
        </w:rPr>
        <w:t>set out in the I</w:t>
      </w:r>
      <w:r w:rsidR="004314DA" w:rsidRPr="009127D8">
        <w:rPr>
          <w:rFonts w:ascii="Arial" w:hAnsi="Arial" w:cs="Arial"/>
          <w:color w:val="000000"/>
        </w:rPr>
        <w:t xml:space="preserve">ssues </w:t>
      </w:r>
      <w:r w:rsidR="00831CC1">
        <w:rPr>
          <w:rFonts w:ascii="Arial" w:hAnsi="Arial" w:cs="Arial"/>
          <w:color w:val="000000"/>
        </w:rPr>
        <w:t>P</w:t>
      </w:r>
      <w:r w:rsidR="004314DA" w:rsidRPr="009127D8">
        <w:rPr>
          <w:rFonts w:ascii="Arial" w:hAnsi="Arial" w:cs="Arial"/>
          <w:color w:val="000000"/>
        </w:rPr>
        <w:t>aper, each of these companies impose a surcharge for use of credit or scheme debit card</w:t>
      </w:r>
      <w:r w:rsidR="00831CC1">
        <w:rPr>
          <w:rFonts w:ascii="Arial" w:hAnsi="Arial" w:cs="Arial"/>
          <w:color w:val="000000"/>
        </w:rPr>
        <w:t>s</w:t>
      </w:r>
      <w:r w:rsidR="004314DA" w:rsidRPr="009127D8">
        <w:rPr>
          <w:rFonts w:ascii="Arial" w:hAnsi="Arial" w:cs="Arial"/>
          <w:color w:val="000000"/>
        </w:rPr>
        <w:t>.</w:t>
      </w:r>
      <w:r w:rsidR="00791A69" w:rsidRPr="009127D8">
        <w:rPr>
          <w:rFonts w:ascii="Arial" w:hAnsi="Arial" w:cs="Arial"/>
          <w:color w:val="000000"/>
        </w:rPr>
        <w:t xml:space="preserve"> Some l</w:t>
      </w:r>
      <w:r w:rsidR="004314DA" w:rsidRPr="009127D8">
        <w:rPr>
          <w:rFonts w:ascii="Arial" w:hAnsi="Arial" w:cs="Arial"/>
          <w:color w:val="000000"/>
        </w:rPr>
        <w:t>imited exceptions apply</w:t>
      </w:r>
      <w:r w:rsidR="00791A69" w:rsidRPr="009127D8">
        <w:rPr>
          <w:rFonts w:ascii="Arial" w:hAnsi="Arial" w:cs="Arial"/>
          <w:color w:val="000000"/>
        </w:rPr>
        <w:t xml:space="preserve"> to this rule</w:t>
      </w:r>
      <w:r w:rsidR="004314DA" w:rsidRPr="009127D8">
        <w:rPr>
          <w:rFonts w:ascii="Arial" w:hAnsi="Arial" w:cs="Arial"/>
          <w:color w:val="000000"/>
        </w:rPr>
        <w:t xml:space="preserve">: Jetstar and Tiger waive the surcharge for </w:t>
      </w:r>
      <w:r w:rsidR="009127D8" w:rsidRPr="009127D8">
        <w:rPr>
          <w:rFonts w:ascii="Arial" w:hAnsi="Arial" w:cs="Arial"/>
          <w:color w:val="000000"/>
        </w:rPr>
        <w:t xml:space="preserve">some </w:t>
      </w:r>
      <w:r w:rsidR="004314DA" w:rsidRPr="009127D8">
        <w:rPr>
          <w:rFonts w:ascii="Arial" w:hAnsi="Arial" w:cs="Arial"/>
          <w:color w:val="000000"/>
        </w:rPr>
        <w:t>MasterCards, and Qantas waives the surcharge for debit or Qantas Cash cards if departure is within 7 days.</w:t>
      </w:r>
      <w:r w:rsidR="00791A69" w:rsidRPr="009127D8">
        <w:rPr>
          <w:rStyle w:val="FootnoteReference"/>
          <w:rFonts w:ascii="Arial" w:hAnsi="Arial" w:cs="Arial"/>
          <w:color w:val="000000"/>
        </w:rPr>
        <w:footnoteReference w:id="19"/>
      </w:r>
      <w:r w:rsidR="00791A69" w:rsidRPr="009127D8">
        <w:rPr>
          <w:rFonts w:ascii="Arial" w:hAnsi="Arial" w:cs="Arial"/>
          <w:color w:val="000000"/>
        </w:rPr>
        <w:t xml:space="preserve"> </w:t>
      </w:r>
      <w:r w:rsidR="00831CC1">
        <w:rPr>
          <w:rFonts w:ascii="Arial" w:hAnsi="Arial" w:cs="Arial"/>
          <w:color w:val="000000"/>
        </w:rPr>
        <w:t>S</w:t>
      </w:r>
      <w:r w:rsidR="00791A69" w:rsidRPr="009127D8">
        <w:rPr>
          <w:rFonts w:ascii="Arial" w:hAnsi="Arial" w:cs="Arial"/>
          <w:color w:val="000000"/>
        </w:rPr>
        <w:t xml:space="preserve">urcharges are now disclosed before any personal details are entered, </w:t>
      </w:r>
      <w:r w:rsidR="003B39AC" w:rsidRPr="009127D8">
        <w:rPr>
          <w:rFonts w:ascii="Arial" w:hAnsi="Arial" w:cs="Arial"/>
          <w:color w:val="000000"/>
        </w:rPr>
        <w:t xml:space="preserve">which is an improvement on previous practice. </w:t>
      </w:r>
    </w:p>
    <w:p w:rsidR="003B39AC" w:rsidRPr="009127D8" w:rsidRDefault="003B39AC" w:rsidP="00BF3DCD">
      <w:pPr>
        <w:pStyle w:val="ListParagraph"/>
        <w:spacing w:after="0"/>
        <w:ind w:left="0"/>
        <w:jc w:val="both"/>
        <w:rPr>
          <w:rFonts w:ascii="Arial" w:hAnsi="Arial" w:cs="Arial"/>
          <w:color w:val="000000"/>
        </w:rPr>
      </w:pPr>
    </w:p>
    <w:p w:rsidR="003B39AC" w:rsidRPr="009127D8" w:rsidRDefault="003B39AC" w:rsidP="00BF3DCD">
      <w:pPr>
        <w:pStyle w:val="ListParagraph"/>
        <w:spacing w:after="0"/>
        <w:ind w:left="0"/>
        <w:jc w:val="both"/>
        <w:rPr>
          <w:rFonts w:ascii="Arial" w:hAnsi="Arial" w:cs="Arial"/>
          <w:color w:val="000000"/>
        </w:rPr>
      </w:pPr>
      <w:r w:rsidRPr="009127D8">
        <w:rPr>
          <w:rFonts w:ascii="Arial" w:hAnsi="Arial" w:cs="Arial"/>
          <w:color w:val="000000"/>
        </w:rPr>
        <w:t xml:space="preserve">However, </w:t>
      </w:r>
      <w:r w:rsidRPr="009127D8">
        <w:rPr>
          <w:rFonts w:ascii="Arial" w:hAnsi="Arial" w:cs="Arial"/>
        </w:rPr>
        <w:t>the cost of these surcharges is still not prominently displayed in the price advertised online, and thus the advertised price is</w:t>
      </w:r>
      <w:r w:rsidR="00A86B27" w:rsidRPr="009127D8">
        <w:rPr>
          <w:rFonts w:ascii="Arial" w:hAnsi="Arial" w:cs="Arial"/>
        </w:rPr>
        <w:t xml:space="preserve"> generally</w:t>
      </w:r>
      <w:r w:rsidRPr="009127D8">
        <w:rPr>
          <w:rFonts w:ascii="Arial" w:hAnsi="Arial" w:cs="Arial"/>
        </w:rPr>
        <w:t xml:space="preserve"> not a reflection of the true cost of the service.</w:t>
      </w:r>
      <w:r w:rsidR="00A86B27" w:rsidRPr="009127D8">
        <w:rPr>
          <w:rFonts w:ascii="Arial" w:hAnsi="Arial" w:cs="Arial"/>
        </w:rPr>
        <w:t xml:space="preserve"> This is particularly the case </w:t>
      </w:r>
      <w:r w:rsidR="00416039" w:rsidRPr="009127D8">
        <w:rPr>
          <w:rFonts w:ascii="Arial" w:hAnsi="Arial" w:cs="Arial"/>
        </w:rPr>
        <w:t>with airlines such as Tiger, which offer very few non-surcharged payment options.</w:t>
      </w:r>
      <w:r w:rsidR="00416039" w:rsidRPr="009127D8">
        <w:rPr>
          <w:rStyle w:val="FootnoteReference"/>
          <w:rFonts w:ascii="Arial" w:hAnsi="Arial" w:cs="Arial"/>
        </w:rPr>
        <w:footnoteReference w:id="20"/>
      </w:r>
      <w:r w:rsidR="00C1210B">
        <w:rPr>
          <w:rFonts w:ascii="Arial" w:hAnsi="Arial" w:cs="Arial"/>
        </w:rPr>
        <w:t xml:space="preserve"> </w:t>
      </w:r>
    </w:p>
    <w:p w:rsidR="00BF08AE" w:rsidRPr="00041C78" w:rsidRDefault="00BF08AE" w:rsidP="00BF3DCD">
      <w:pPr>
        <w:autoSpaceDE w:val="0"/>
        <w:autoSpaceDN w:val="0"/>
        <w:adjustRightInd w:val="0"/>
        <w:spacing w:after="0"/>
        <w:jc w:val="both"/>
        <w:rPr>
          <w:rStyle w:val="Strong"/>
          <w:rFonts w:ascii="Arial" w:hAnsi="Arial" w:cs="Arial"/>
          <w:b w:val="0"/>
          <w:bCs w:val="0"/>
        </w:rPr>
      </w:pPr>
      <w:r w:rsidRPr="009127D8">
        <w:rPr>
          <w:rFonts w:ascii="Arial" w:hAnsi="Arial" w:cs="Arial"/>
        </w:rPr>
        <w:lastRenderedPageBreak/>
        <w:t xml:space="preserve">We </w:t>
      </w:r>
      <w:r w:rsidR="00EC1D56" w:rsidRPr="009127D8">
        <w:rPr>
          <w:rFonts w:ascii="Arial" w:hAnsi="Arial" w:cs="Arial"/>
        </w:rPr>
        <w:t xml:space="preserve">also </w:t>
      </w:r>
      <w:r w:rsidRPr="009127D8">
        <w:rPr>
          <w:rFonts w:ascii="Arial" w:hAnsi="Arial" w:cs="Arial"/>
        </w:rPr>
        <w:t xml:space="preserve">believe that the </w:t>
      </w:r>
      <w:r w:rsidR="00F266F9">
        <w:rPr>
          <w:rFonts w:ascii="Arial" w:hAnsi="Arial" w:cs="Arial"/>
        </w:rPr>
        <w:t>RBA</w:t>
      </w:r>
      <w:r w:rsidRPr="009127D8">
        <w:rPr>
          <w:rFonts w:ascii="Arial" w:hAnsi="Arial" w:cs="Arial"/>
        </w:rPr>
        <w:t xml:space="preserve"> may need to consider how it can reformulate its standards and other regulatory measures to prevent surcharging being used in an anti-competitive way by merchants in concentrated markets.  In certain markets that rely on online payment (such as </w:t>
      </w:r>
      <w:r w:rsidR="00831CC1">
        <w:rPr>
          <w:rFonts w:ascii="Arial" w:hAnsi="Arial" w:cs="Arial"/>
        </w:rPr>
        <w:t>event ticketing</w:t>
      </w:r>
      <w:r w:rsidRPr="009127D8">
        <w:rPr>
          <w:rFonts w:ascii="Arial" w:hAnsi="Arial" w:cs="Arial"/>
        </w:rPr>
        <w:t xml:space="preserve">), there is no practical alternative but to pay by credit or scheme debit </w:t>
      </w:r>
      <w:r w:rsidR="00831CC1">
        <w:rPr>
          <w:rFonts w:ascii="Arial" w:hAnsi="Arial" w:cs="Arial"/>
        </w:rPr>
        <w:t>cards</w:t>
      </w:r>
      <w:r w:rsidRPr="009127D8">
        <w:rPr>
          <w:rFonts w:ascii="Arial" w:hAnsi="Arial" w:cs="Arial"/>
        </w:rPr>
        <w:t xml:space="preserve">. </w:t>
      </w:r>
      <w:r w:rsidR="003923F9">
        <w:rPr>
          <w:rFonts w:ascii="Arial" w:hAnsi="Arial" w:cs="Arial"/>
        </w:rPr>
        <w:t xml:space="preserve">For example, </w:t>
      </w:r>
      <w:r w:rsidR="00D179A6" w:rsidRPr="009127D8">
        <w:rPr>
          <w:rFonts w:ascii="Arial" w:hAnsi="Arial" w:cs="Arial"/>
        </w:rPr>
        <w:t>Ticketek charges a</w:t>
      </w:r>
      <w:r w:rsidR="00D179A6" w:rsidRPr="009127D8">
        <w:rPr>
          <w:rStyle w:val="Strong"/>
          <w:rFonts w:ascii="Arial" w:hAnsi="Arial" w:cs="Arial"/>
        </w:rPr>
        <w:t xml:space="preserve"> </w:t>
      </w:r>
      <w:r w:rsidR="00D179A6" w:rsidRPr="009127D8">
        <w:rPr>
          <w:rStyle w:val="Strong"/>
          <w:rFonts w:ascii="Arial" w:hAnsi="Arial" w:cs="Arial"/>
          <w:b w:val="0"/>
        </w:rPr>
        <w:t>payment processing fee of 1.95%, which applies to all purchases made by credit or debit card.</w:t>
      </w:r>
      <w:r w:rsidR="001B750E">
        <w:rPr>
          <w:rStyle w:val="FootnoteReference"/>
          <w:rFonts w:ascii="Arial" w:hAnsi="Arial" w:cs="Arial"/>
          <w:bCs/>
        </w:rPr>
        <w:footnoteReference w:id="21"/>
      </w:r>
      <w:r w:rsidR="00D179A6" w:rsidRPr="009127D8">
        <w:rPr>
          <w:rStyle w:val="Strong"/>
          <w:rFonts w:ascii="Arial" w:hAnsi="Arial" w:cs="Arial"/>
          <w:b w:val="0"/>
        </w:rPr>
        <w:t xml:space="preserve"> The online portal </w:t>
      </w:r>
      <w:r w:rsidR="00786D34">
        <w:rPr>
          <w:rStyle w:val="Strong"/>
          <w:rFonts w:ascii="Arial" w:hAnsi="Arial" w:cs="Arial"/>
          <w:b w:val="0"/>
        </w:rPr>
        <w:t>appears to only allow</w:t>
      </w:r>
      <w:r w:rsidR="00D179A6" w:rsidRPr="009127D8">
        <w:rPr>
          <w:rStyle w:val="Strong"/>
          <w:rFonts w:ascii="Arial" w:hAnsi="Arial" w:cs="Arial"/>
          <w:b w:val="0"/>
        </w:rPr>
        <w:t xml:space="preserve"> customers to purchase tickets using credit or debit card.</w:t>
      </w:r>
    </w:p>
    <w:p w:rsidR="00E70925" w:rsidRPr="009127D8" w:rsidRDefault="00E70925" w:rsidP="00BF3DCD">
      <w:pPr>
        <w:autoSpaceDE w:val="0"/>
        <w:autoSpaceDN w:val="0"/>
        <w:adjustRightInd w:val="0"/>
        <w:spacing w:after="0"/>
        <w:jc w:val="both"/>
        <w:rPr>
          <w:rFonts w:ascii="Arial" w:hAnsi="Arial" w:cs="Arial"/>
        </w:rPr>
      </w:pPr>
    </w:p>
    <w:p w:rsidR="00FF58A0" w:rsidRDefault="00BF08AE" w:rsidP="00BF3DCD">
      <w:pPr>
        <w:autoSpaceDE w:val="0"/>
        <w:autoSpaceDN w:val="0"/>
        <w:adjustRightInd w:val="0"/>
        <w:spacing w:after="0"/>
        <w:jc w:val="both"/>
        <w:rPr>
          <w:rFonts w:ascii="Arial" w:hAnsi="Arial" w:cs="Arial"/>
        </w:rPr>
      </w:pPr>
      <w:r w:rsidRPr="009127D8">
        <w:rPr>
          <w:rFonts w:ascii="Arial" w:hAnsi="Arial" w:cs="Arial"/>
        </w:rPr>
        <w:t xml:space="preserve">In these circumstances, the imposition of a surcharge will not facilitate a switch to other payment methods because no other payment method is practical, given the business models of the traders in the market.  In addition, the imposition of a credit card surcharge can (and often does) amount to a ‘hidden’ cost that distorts competition because it hides the true cost of the good or service from the customer. Consumers are either unaware of the surcharge, or only become aware of the surcharge after a number of online steps have been taken (such as the entering of personal information) by which time the consumer has made a time and emotional investment in the transaction going ahead. </w:t>
      </w:r>
    </w:p>
    <w:p w:rsidR="00E70925" w:rsidRPr="003C377F" w:rsidRDefault="00E70925" w:rsidP="00BF3DCD">
      <w:pPr>
        <w:autoSpaceDE w:val="0"/>
        <w:autoSpaceDN w:val="0"/>
        <w:adjustRightInd w:val="0"/>
        <w:spacing w:after="0"/>
        <w:jc w:val="both"/>
        <w:rPr>
          <w:rFonts w:ascii="Arial" w:hAnsi="Arial" w:cs="Arial"/>
        </w:rPr>
      </w:pPr>
    </w:p>
    <w:p w:rsidR="00F9118C"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t>Any other changes to enforcement procedures and disclosure practices</w:t>
      </w:r>
    </w:p>
    <w:p w:rsidR="00FF58A0" w:rsidRPr="009127D8" w:rsidRDefault="00FF58A0" w:rsidP="00BF3DCD">
      <w:pPr>
        <w:pStyle w:val="ListParagraph"/>
        <w:spacing w:after="0"/>
        <w:ind w:left="0"/>
        <w:jc w:val="both"/>
        <w:rPr>
          <w:rFonts w:ascii="Arial" w:hAnsi="Arial" w:cs="Arial"/>
          <w:b/>
        </w:rPr>
      </w:pPr>
    </w:p>
    <w:p w:rsidR="00B643C1" w:rsidRDefault="00FF58A0" w:rsidP="00BF3DCD">
      <w:pPr>
        <w:pStyle w:val="ListParagraph"/>
        <w:spacing w:after="0"/>
        <w:ind w:left="0"/>
        <w:jc w:val="both"/>
        <w:rPr>
          <w:rFonts w:ascii="Arial" w:hAnsi="Arial" w:cs="Arial"/>
        </w:rPr>
      </w:pPr>
      <w:r w:rsidRPr="009127D8">
        <w:rPr>
          <w:rFonts w:ascii="Arial" w:eastAsia="Times New Roman" w:hAnsi="Arial" w:cs="Arial"/>
          <w:color w:val="000000"/>
          <w:lang w:eastAsia="en-AU"/>
        </w:rPr>
        <w:t>We</w:t>
      </w:r>
      <w:r w:rsidR="0030765E">
        <w:rPr>
          <w:rFonts w:ascii="Arial" w:eastAsia="Times New Roman" w:hAnsi="Arial" w:cs="Arial"/>
          <w:color w:val="000000"/>
          <w:lang w:eastAsia="en-AU"/>
        </w:rPr>
        <w:t xml:space="preserve"> recommend requiring payment surcharge amounts to be prominently disclosed to consumers early in the process of a transaction. </w:t>
      </w:r>
      <w:r w:rsidR="00161FA7">
        <w:rPr>
          <w:rFonts w:ascii="Arial" w:eastAsia="Times New Roman" w:hAnsi="Arial" w:cs="Arial"/>
          <w:color w:val="000000"/>
          <w:lang w:eastAsia="en-AU"/>
        </w:rPr>
        <w:t>The failure to</w:t>
      </w:r>
      <w:r w:rsidR="00831CC1">
        <w:rPr>
          <w:rFonts w:ascii="Arial" w:eastAsia="Times New Roman" w:hAnsi="Arial" w:cs="Arial"/>
          <w:color w:val="000000"/>
          <w:lang w:eastAsia="en-AU"/>
        </w:rPr>
        <w:t xml:space="preserve"> adequately</w:t>
      </w:r>
      <w:r w:rsidR="00161FA7">
        <w:rPr>
          <w:rFonts w:ascii="Arial" w:eastAsia="Times New Roman" w:hAnsi="Arial" w:cs="Arial"/>
          <w:color w:val="000000"/>
          <w:lang w:eastAsia="en-AU"/>
        </w:rPr>
        <w:t xml:space="preserve"> disclose payment surcharges may constitute misleading or deceptive conduct if it creates the impression that no surcharges are applicable.</w:t>
      </w:r>
      <w:r w:rsidR="00161FA7">
        <w:rPr>
          <w:rStyle w:val="FootnoteReference"/>
          <w:rFonts w:ascii="Arial" w:eastAsia="Times New Roman" w:hAnsi="Arial" w:cs="Arial"/>
          <w:color w:val="000000"/>
          <w:lang w:eastAsia="en-AU"/>
        </w:rPr>
        <w:footnoteReference w:id="22"/>
      </w:r>
      <w:r w:rsidR="00161FA7">
        <w:rPr>
          <w:rFonts w:ascii="Arial" w:eastAsia="Times New Roman" w:hAnsi="Arial" w:cs="Arial"/>
          <w:color w:val="000000"/>
          <w:lang w:eastAsia="en-AU"/>
        </w:rPr>
        <w:t xml:space="preserve"> </w:t>
      </w:r>
      <w:r w:rsidR="00B643C1">
        <w:rPr>
          <w:rFonts w:ascii="Arial" w:hAnsi="Arial" w:cs="Arial"/>
        </w:rPr>
        <w:t xml:space="preserve">The </w:t>
      </w:r>
      <w:r w:rsidR="00831CC1">
        <w:rPr>
          <w:rFonts w:ascii="Arial" w:hAnsi="Arial" w:cs="Arial"/>
        </w:rPr>
        <w:t>ACCC</w:t>
      </w:r>
      <w:r w:rsidR="00B643C1">
        <w:rPr>
          <w:rFonts w:ascii="Arial" w:hAnsi="Arial" w:cs="Arial"/>
        </w:rPr>
        <w:t xml:space="preserve"> has taken legal action against a number of airlines for misleading consumers in the way that surcharges are displayed (referred to as ‘drip pricing’).</w:t>
      </w:r>
      <w:r w:rsidR="00B643C1">
        <w:rPr>
          <w:rStyle w:val="FootnoteReference"/>
          <w:rFonts w:ascii="Arial" w:hAnsi="Arial" w:cs="Arial"/>
        </w:rPr>
        <w:footnoteReference w:id="23"/>
      </w:r>
      <w:r w:rsidR="00B643C1">
        <w:rPr>
          <w:rFonts w:ascii="Arial" w:hAnsi="Arial" w:cs="Arial"/>
        </w:rPr>
        <w:t xml:space="preserve"> However, this will not de</w:t>
      </w:r>
      <w:r w:rsidR="00831CC1">
        <w:rPr>
          <w:rFonts w:ascii="Arial" w:hAnsi="Arial" w:cs="Arial"/>
        </w:rPr>
        <w:t>al with excessive surcharging. I</w:t>
      </w:r>
      <w:r w:rsidR="00B643C1">
        <w:rPr>
          <w:rFonts w:ascii="Arial" w:hAnsi="Arial" w:cs="Arial"/>
        </w:rPr>
        <w:t>t will only deal with the way in which surcharges are displayed.</w:t>
      </w:r>
    </w:p>
    <w:p w:rsidR="00B643C1" w:rsidRDefault="00B643C1" w:rsidP="00BF3DCD">
      <w:pPr>
        <w:pStyle w:val="ListParagraph"/>
        <w:spacing w:after="0"/>
        <w:ind w:left="0"/>
        <w:jc w:val="both"/>
        <w:rPr>
          <w:rFonts w:ascii="Arial" w:hAnsi="Arial" w:cs="Arial"/>
        </w:rPr>
      </w:pPr>
    </w:p>
    <w:p w:rsidR="00FF58A0" w:rsidRDefault="00831CC1" w:rsidP="00BF3DCD">
      <w:pPr>
        <w:pStyle w:val="ListParagraph"/>
        <w:spacing w:after="0"/>
        <w:ind w:left="0"/>
        <w:jc w:val="both"/>
        <w:rPr>
          <w:rFonts w:ascii="Arial" w:eastAsia="Times New Roman" w:hAnsi="Arial" w:cs="Arial"/>
          <w:color w:val="000000"/>
          <w:lang w:eastAsia="en-AU"/>
        </w:rPr>
      </w:pPr>
      <w:r>
        <w:rPr>
          <w:rFonts w:ascii="Arial" w:eastAsia="Times New Roman" w:hAnsi="Arial" w:cs="Arial"/>
          <w:color w:val="000000"/>
          <w:lang w:eastAsia="en-AU"/>
        </w:rPr>
        <w:t>However, w</w:t>
      </w:r>
      <w:r w:rsidR="00161FA7">
        <w:rPr>
          <w:rFonts w:ascii="Arial" w:eastAsia="Times New Roman" w:hAnsi="Arial" w:cs="Arial"/>
          <w:color w:val="000000"/>
          <w:lang w:eastAsia="en-AU"/>
        </w:rPr>
        <w:t xml:space="preserve">e </w:t>
      </w:r>
      <w:r w:rsidR="00FF58A0" w:rsidRPr="009127D8">
        <w:rPr>
          <w:rFonts w:ascii="Arial" w:eastAsia="Times New Roman" w:hAnsi="Arial" w:cs="Arial"/>
          <w:color w:val="000000"/>
          <w:lang w:eastAsia="en-AU"/>
        </w:rPr>
        <w:t>caution against relying on disclosure</w:t>
      </w:r>
      <w:r w:rsidR="00CF301A">
        <w:rPr>
          <w:rFonts w:ascii="Arial" w:eastAsia="Times New Roman" w:hAnsi="Arial" w:cs="Arial"/>
          <w:color w:val="000000"/>
          <w:lang w:eastAsia="en-AU"/>
        </w:rPr>
        <w:t xml:space="preserve"> exclusively</w:t>
      </w:r>
      <w:r w:rsidR="00FF58A0" w:rsidRPr="009127D8">
        <w:rPr>
          <w:rFonts w:ascii="Arial" w:eastAsia="Times New Roman" w:hAnsi="Arial" w:cs="Arial"/>
          <w:color w:val="000000"/>
          <w:lang w:eastAsia="en-AU"/>
        </w:rPr>
        <w:t xml:space="preserve"> to deal with excessive customer surcharging. Consumers </w:t>
      </w:r>
      <w:r>
        <w:rPr>
          <w:rFonts w:ascii="Arial" w:eastAsia="Times New Roman" w:hAnsi="Arial" w:cs="Arial"/>
          <w:color w:val="000000"/>
          <w:lang w:eastAsia="en-AU"/>
        </w:rPr>
        <w:t>may not</w:t>
      </w:r>
      <w:r w:rsidR="00FF58A0" w:rsidRPr="009127D8">
        <w:rPr>
          <w:rFonts w:ascii="Arial" w:eastAsia="Times New Roman" w:hAnsi="Arial" w:cs="Arial"/>
          <w:color w:val="000000"/>
          <w:lang w:eastAsia="en-AU"/>
        </w:rPr>
        <w:t xml:space="preserve"> have a choice about whether or not they pay a surcharge (for example, when purchasing </w:t>
      </w:r>
      <w:r w:rsidR="00B34009">
        <w:rPr>
          <w:rFonts w:ascii="Arial" w:eastAsia="Times New Roman" w:hAnsi="Arial" w:cs="Arial"/>
          <w:color w:val="000000"/>
          <w:lang w:eastAsia="en-AU"/>
        </w:rPr>
        <w:t>concert</w:t>
      </w:r>
      <w:r w:rsidR="00FF58A0" w:rsidRPr="009127D8">
        <w:rPr>
          <w:rFonts w:ascii="Arial" w:eastAsia="Times New Roman" w:hAnsi="Arial" w:cs="Arial"/>
          <w:color w:val="000000"/>
          <w:lang w:eastAsia="en-AU"/>
        </w:rPr>
        <w:t xml:space="preserve"> tickets) and in any case surcharges are often only disclosed late in the transaction. By this stage, consumers have committed to buying the product and the decision to pay the surcharge may not actually ref</w:t>
      </w:r>
      <w:r w:rsidR="0030765E">
        <w:rPr>
          <w:rFonts w:ascii="Arial" w:eastAsia="Times New Roman" w:hAnsi="Arial" w:cs="Arial"/>
          <w:color w:val="000000"/>
          <w:lang w:eastAsia="en-AU"/>
        </w:rPr>
        <w:t>lect their economic interests.</w:t>
      </w:r>
    </w:p>
    <w:p w:rsidR="00B34009" w:rsidRDefault="00B34009" w:rsidP="00BF3DCD">
      <w:pPr>
        <w:pStyle w:val="ListParagraph"/>
        <w:spacing w:after="0"/>
        <w:ind w:left="0"/>
        <w:jc w:val="both"/>
        <w:rPr>
          <w:rFonts w:ascii="Arial" w:eastAsia="Times New Roman" w:hAnsi="Arial" w:cs="Arial"/>
          <w:color w:val="000000"/>
          <w:lang w:eastAsia="en-AU"/>
        </w:rPr>
      </w:pPr>
    </w:p>
    <w:p w:rsidR="00D731C0" w:rsidRDefault="00B34009" w:rsidP="00BF3DCD">
      <w:pPr>
        <w:pStyle w:val="ListParagraph"/>
        <w:spacing w:after="0"/>
        <w:ind w:left="0"/>
        <w:jc w:val="both"/>
        <w:rPr>
          <w:rFonts w:ascii="Arial" w:eastAsia="Times New Roman" w:hAnsi="Arial" w:cs="Arial"/>
          <w:color w:val="000000"/>
          <w:lang w:eastAsia="en-AU"/>
        </w:rPr>
      </w:pPr>
      <w:r>
        <w:rPr>
          <w:rFonts w:ascii="Arial" w:eastAsia="Times New Roman" w:hAnsi="Arial" w:cs="Arial"/>
          <w:color w:val="000000"/>
          <w:lang w:eastAsia="en-AU"/>
        </w:rPr>
        <w:t xml:space="preserve">Please refer to section 2(b) for </w:t>
      </w:r>
      <w:r w:rsidR="006E28BB">
        <w:rPr>
          <w:rFonts w:ascii="Arial" w:eastAsia="Times New Roman" w:hAnsi="Arial" w:cs="Arial"/>
          <w:color w:val="000000"/>
          <w:lang w:eastAsia="en-AU"/>
        </w:rPr>
        <w:t>our comments in relation to enforcement.</w:t>
      </w:r>
    </w:p>
    <w:p w:rsidR="00CD79D4" w:rsidRDefault="00CD79D4" w:rsidP="00BF3DCD">
      <w:pPr>
        <w:pStyle w:val="ListParagraph"/>
        <w:spacing w:after="0"/>
        <w:ind w:left="0"/>
        <w:jc w:val="both"/>
        <w:rPr>
          <w:rFonts w:ascii="Arial" w:eastAsia="Times New Roman" w:hAnsi="Arial" w:cs="Arial"/>
          <w:color w:val="000000"/>
          <w:lang w:eastAsia="en-AU"/>
        </w:rPr>
      </w:pPr>
    </w:p>
    <w:p w:rsidR="00CD79D4" w:rsidRDefault="00CD79D4" w:rsidP="00BF3DCD">
      <w:pPr>
        <w:pStyle w:val="ListParagraph"/>
        <w:spacing w:after="0"/>
        <w:ind w:left="0"/>
        <w:jc w:val="both"/>
        <w:rPr>
          <w:rFonts w:ascii="Arial" w:eastAsia="Times New Roman" w:hAnsi="Arial" w:cs="Arial"/>
          <w:color w:val="000000"/>
          <w:lang w:eastAsia="en-AU"/>
        </w:rPr>
      </w:pPr>
    </w:p>
    <w:p w:rsidR="00CD79D4" w:rsidRPr="009127D8" w:rsidRDefault="00CD79D4" w:rsidP="00BF3DCD">
      <w:pPr>
        <w:pStyle w:val="ListParagraph"/>
        <w:spacing w:after="0"/>
        <w:ind w:left="0"/>
        <w:jc w:val="both"/>
        <w:rPr>
          <w:rFonts w:ascii="Arial" w:eastAsia="Times New Roman" w:hAnsi="Arial" w:cs="Arial"/>
          <w:color w:val="000000"/>
          <w:lang w:eastAsia="en-AU"/>
        </w:rPr>
      </w:pPr>
    </w:p>
    <w:p w:rsidR="00F9118C" w:rsidRPr="009127D8" w:rsidRDefault="00F9118C" w:rsidP="00BF3DCD">
      <w:pPr>
        <w:spacing w:after="0"/>
        <w:jc w:val="both"/>
        <w:rPr>
          <w:rFonts w:ascii="Arial" w:hAnsi="Arial" w:cs="Arial"/>
        </w:rPr>
      </w:pPr>
    </w:p>
    <w:p w:rsidR="00F9118C" w:rsidRPr="009127D8" w:rsidRDefault="00F9118C" w:rsidP="00BF3DCD">
      <w:pPr>
        <w:pStyle w:val="ListParagraph"/>
        <w:numPr>
          <w:ilvl w:val="0"/>
          <w:numId w:val="24"/>
        </w:numPr>
        <w:spacing w:after="0"/>
        <w:jc w:val="both"/>
        <w:rPr>
          <w:rFonts w:ascii="Arial" w:hAnsi="Arial" w:cs="Arial"/>
          <w:b/>
        </w:rPr>
      </w:pPr>
      <w:r w:rsidRPr="009127D8">
        <w:rPr>
          <w:rFonts w:ascii="Arial" w:hAnsi="Arial" w:cs="Arial"/>
          <w:b/>
        </w:rPr>
        <w:lastRenderedPageBreak/>
        <w:t>Other possible regulatory changes</w:t>
      </w:r>
    </w:p>
    <w:p w:rsidR="000015E2" w:rsidRPr="009127D8" w:rsidRDefault="000015E2" w:rsidP="00BF3DCD">
      <w:pPr>
        <w:pStyle w:val="ListParagraph"/>
        <w:spacing w:after="0"/>
        <w:jc w:val="both"/>
        <w:rPr>
          <w:rFonts w:ascii="Arial" w:hAnsi="Arial" w:cs="Arial"/>
          <w:b/>
        </w:rPr>
      </w:pPr>
    </w:p>
    <w:p w:rsidR="00F9118C"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t>Strengthened transparency over the cost of payments to merchants and cardholders</w:t>
      </w:r>
    </w:p>
    <w:p w:rsidR="00C66733" w:rsidRDefault="00C66733" w:rsidP="00BF3DCD">
      <w:pPr>
        <w:spacing w:after="0"/>
        <w:jc w:val="both"/>
        <w:rPr>
          <w:rFonts w:ascii="Arial" w:hAnsi="Arial" w:cs="Arial"/>
        </w:rPr>
      </w:pPr>
    </w:p>
    <w:p w:rsidR="00DB455D" w:rsidRDefault="00C66733" w:rsidP="00BF3DCD">
      <w:pPr>
        <w:spacing w:after="0"/>
        <w:jc w:val="both"/>
        <w:rPr>
          <w:rFonts w:ascii="Arial" w:hAnsi="Arial" w:cs="Arial"/>
        </w:rPr>
      </w:pPr>
      <w:r>
        <w:rPr>
          <w:rFonts w:ascii="Arial" w:hAnsi="Arial" w:cs="Arial"/>
        </w:rPr>
        <w:t>The Issues Paper says that a consequence of the complex interchange fee schedules i</w:t>
      </w:r>
      <w:r w:rsidR="00831CC1">
        <w:rPr>
          <w:rFonts w:ascii="Arial" w:hAnsi="Arial" w:cs="Arial"/>
        </w:rPr>
        <w:t>s that non-preferred merchants</w:t>
      </w:r>
      <w:r>
        <w:rPr>
          <w:rFonts w:ascii="Arial" w:hAnsi="Arial" w:cs="Arial"/>
        </w:rPr>
        <w:t xml:space="preserve"> have little transparency over the c</w:t>
      </w:r>
      <w:r w:rsidR="000C5202">
        <w:rPr>
          <w:rFonts w:ascii="Arial" w:hAnsi="Arial" w:cs="Arial"/>
        </w:rPr>
        <w:t>ost of particular transactions.</w:t>
      </w:r>
      <w:r w:rsidR="000C5202">
        <w:rPr>
          <w:rStyle w:val="FootnoteReference"/>
          <w:rFonts w:ascii="Arial" w:hAnsi="Arial" w:cs="Arial"/>
        </w:rPr>
        <w:footnoteReference w:id="24"/>
      </w:r>
      <w:r w:rsidR="000C5202">
        <w:rPr>
          <w:rFonts w:ascii="Arial" w:hAnsi="Arial" w:cs="Arial"/>
        </w:rPr>
        <w:t xml:space="preserve"> In addition, 'the inability of merchants to distinguish between debit and credit cards appears to be a fairly common phenomenon'.</w:t>
      </w:r>
      <w:r w:rsidR="000C5202">
        <w:rPr>
          <w:rStyle w:val="FootnoteReference"/>
          <w:rFonts w:ascii="Arial" w:hAnsi="Arial" w:cs="Arial"/>
        </w:rPr>
        <w:footnoteReference w:id="25"/>
      </w:r>
      <w:r w:rsidR="000C5202">
        <w:rPr>
          <w:rFonts w:ascii="Arial" w:hAnsi="Arial" w:cs="Arial"/>
        </w:rPr>
        <w:t xml:space="preserve"> </w:t>
      </w:r>
      <w:r w:rsidR="001958BD">
        <w:rPr>
          <w:rFonts w:ascii="Arial" w:hAnsi="Arial" w:cs="Arial"/>
        </w:rPr>
        <w:t xml:space="preserve">The </w:t>
      </w:r>
      <w:r w:rsidR="00F266F9">
        <w:rPr>
          <w:rFonts w:ascii="Arial" w:hAnsi="Arial" w:cs="Arial"/>
        </w:rPr>
        <w:t>RBA</w:t>
      </w:r>
      <w:r w:rsidR="001958BD">
        <w:rPr>
          <w:rFonts w:ascii="Arial" w:hAnsi="Arial" w:cs="Arial"/>
        </w:rPr>
        <w:t xml:space="preserve"> predicts that the issue of the lack of transparency of the cost of payments to merchants is likely to grow </w:t>
      </w:r>
      <w:r w:rsidR="009F5378">
        <w:rPr>
          <w:rFonts w:ascii="Arial" w:hAnsi="Arial" w:cs="Arial"/>
        </w:rPr>
        <w:t>due to</w:t>
      </w:r>
      <w:r w:rsidR="001958BD">
        <w:rPr>
          <w:rFonts w:ascii="Arial" w:hAnsi="Arial" w:cs="Arial"/>
        </w:rPr>
        <w:t xml:space="preserve"> ongoing changes in payments technology. </w:t>
      </w:r>
      <w:r w:rsidR="00D80BD8">
        <w:rPr>
          <w:rFonts w:ascii="Arial" w:hAnsi="Arial" w:cs="Arial"/>
        </w:rPr>
        <w:t>This confusion makes it difficult for merchants to accurately surcharge unde</w:t>
      </w:r>
      <w:r w:rsidR="00CB7DFD">
        <w:rPr>
          <w:rFonts w:ascii="Arial" w:hAnsi="Arial" w:cs="Arial"/>
        </w:rPr>
        <w:t>r the current 'reasonable costs' rules</w:t>
      </w:r>
      <w:r w:rsidR="00C12FFD">
        <w:rPr>
          <w:rFonts w:ascii="Arial" w:hAnsi="Arial" w:cs="Arial"/>
        </w:rPr>
        <w:t xml:space="preserve">, which can lead to inefficiency and increased costs for consumers. We recommend that acquirers ensure that credit and debit cards be identifiable to merchants, either visually or electronically (or both). </w:t>
      </w:r>
    </w:p>
    <w:p w:rsidR="00DB455D" w:rsidRDefault="00DB455D" w:rsidP="00BF3DCD">
      <w:pPr>
        <w:spacing w:after="0"/>
        <w:jc w:val="both"/>
        <w:rPr>
          <w:rFonts w:ascii="Arial" w:hAnsi="Arial" w:cs="Arial"/>
        </w:rPr>
      </w:pPr>
    </w:p>
    <w:p w:rsidR="00C66733" w:rsidRPr="00C66733" w:rsidRDefault="00DB455D" w:rsidP="00BF3DCD">
      <w:pPr>
        <w:spacing w:after="0"/>
        <w:jc w:val="both"/>
        <w:rPr>
          <w:rFonts w:ascii="Arial" w:hAnsi="Arial" w:cs="Arial"/>
        </w:rPr>
      </w:pPr>
      <w:r>
        <w:rPr>
          <w:rFonts w:ascii="Arial" w:hAnsi="Arial" w:cs="Arial"/>
        </w:rPr>
        <w:t xml:space="preserve">If the three tiered surcharging system is introduced, it will be critical that categories of cards with different interchange fees be identifiable both visually and electronically, so that consumers and merchants are </w:t>
      </w:r>
      <w:r w:rsidR="00E70925">
        <w:rPr>
          <w:rFonts w:ascii="Arial" w:hAnsi="Arial" w:cs="Arial"/>
        </w:rPr>
        <w:t>a</w:t>
      </w:r>
      <w:r>
        <w:rPr>
          <w:rFonts w:ascii="Arial" w:hAnsi="Arial" w:cs="Arial"/>
        </w:rPr>
        <w:t xml:space="preserve">ware when a low-cost, medium-cost or high-cost card is being used. The </w:t>
      </w:r>
      <w:r w:rsidR="00F266F9">
        <w:rPr>
          <w:rFonts w:ascii="Arial" w:hAnsi="Arial" w:cs="Arial"/>
        </w:rPr>
        <w:t>RBA</w:t>
      </w:r>
      <w:r>
        <w:rPr>
          <w:rFonts w:ascii="Arial" w:hAnsi="Arial" w:cs="Arial"/>
        </w:rPr>
        <w:t xml:space="preserve"> should consider whether cards should be labelled in accordance with these tiers. </w:t>
      </w:r>
    </w:p>
    <w:p w:rsidR="00FF58A0" w:rsidRPr="009127D8" w:rsidRDefault="00FF58A0" w:rsidP="00BF3DCD">
      <w:pPr>
        <w:pStyle w:val="ListParagraph"/>
        <w:spacing w:after="0"/>
        <w:ind w:left="1440"/>
        <w:jc w:val="both"/>
        <w:rPr>
          <w:rFonts w:ascii="Arial" w:hAnsi="Arial" w:cs="Arial"/>
          <w:b/>
        </w:rPr>
      </w:pPr>
    </w:p>
    <w:p w:rsidR="00F9118C"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t>Further easing of ‘honour-all-cards’ rules to allow merchants to decline to accept cards with high interchange fees</w:t>
      </w:r>
    </w:p>
    <w:p w:rsidR="00B02363" w:rsidRDefault="00B02363" w:rsidP="00BF3DCD">
      <w:pPr>
        <w:spacing w:after="0"/>
        <w:jc w:val="both"/>
        <w:rPr>
          <w:rFonts w:ascii="Arial" w:hAnsi="Arial" w:cs="Arial"/>
        </w:rPr>
      </w:pPr>
    </w:p>
    <w:p w:rsidR="00B02363" w:rsidRPr="00B02363" w:rsidRDefault="00B02363" w:rsidP="00BF3DCD">
      <w:pPr>
        <w:spacing w:after="0"/>
        <w:jc w:val="both"/>
        <w:rPr>
          <w:rFonts w:ascii="Arial" w:hAnsi="Arial" w:cs="Arial"/>
        </w:rPr>
      </w:pPr>
      <w:r>
        <w:rPr>
          <w:rFonts w:ascii="Arial" w:hAnsi="Arial" w:cs="Arial"/>
        </w:rPr>
        <w:t>Any easing of the 'honour-all-cards' rules to allow merchants to decline to a</w:t>
      </w:r>
      <w:r w:rsidR="008B556E">
        <w:rPr>
          <w:rFonts w:ascii="Arial" w:hAnsi="Arial" w:cs="Arial"/>
        </w:rPr>
        <w:t xml:space="preserve">ccept certain cards should be balanced against the need to avoid limiting consumer choice and promoting competition. Increased transparency will also be required to ensure that merchants and consumers can identify whether their card is high-cost, and therefore whether that card can legitimately be declined by the merchant. </w:t>
      </w:r>
    </w:p>
    <w:p w:rsidR="00FF58A0" w:rsidRPr="009127D8" w:rsidRDefault="00FF58A0" w:rsidP="00BF3DCD">
      <w:pPr>
        <w:spacing w:after="0"/>
        <w:jc w:val="both"/>
        <w:rPr>
          <w:rFonts w:ascii="Arial" w:hAnsi="Arial" w:cs="Arial"/>
          <w:b/>
        </w:rPr>
      </w:pPr>
    </w:p>
    <w:p w:rsidR="00F9118C"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t>Facilitation of differential surcharging by merchants</w:t>
      </w:r>
    </w:p>
    <w:p w:rsidR="00747A7B" w:rsidRDefault="00747A7B" w:rsidP="00BF3DCD">
      <w:pPr>
        <w:spacing w:after="0"/>
        <w:jc w:val="both"/>
        <w:rPr>
          <w:rFonts w:ascii="Arial" w:hAnsi="Arial" w:cs="Arial"/>
          <w:b/>
        </w:rPr>
      </w:pPr>
    </w:p>
    <w:p w:rsidR="00747A7B" w:rsidRDefault="004A3D4C" w:rsidP="00BF3DCD">
      <w:pPr>
        <w:spacing w:after="0"/>
        <w:jc w:val="both"/>
        <w:rPr>
          <w:rFonts w:ascii="Arial" w:hAnsi="Arial" w:cs="Arial"/>
        </w:rPr>
      </w:pPr>
      <w:r>
        <w:rPr>
          <w:rFonts w:ascii="Arial" w:hAnsi="Arial" w:cs="Arial"/>
        </w:rPr>
        <w:t xml:space="preserve">We support increasing transparency </w:t>
      </w:r>
      <w:r w:rsidR="009F5378">
        <w:rPr>
          <w:rFonts w:ascii="Arial" w:hAnsi="Arial" w:cs="Arial"/>
        </w:rPr>
        <w:t>of</w:t>
      </w:r>
      <w:r>
        <w:rPr>
          <w:rFonts w:ascii="Arial" w:hAnsi="Arial" w:cs="Arial"/>
        </w:rPr>
        <w:t xml:space="preserve"> the cost of payments to merchants and cardholders, as set out in section 3(a) above. Although the three tiered system would </w:t>
      </w:r>
      <w:r w:rsidR="009F457B">
        <w:rPr>
          <w:rFonts w:ascii="Arial" w:hAnsi="Arial" w:cs="Arial"/>
        </w:rPr>
        <w:t>prescribe the amount of</w:t>
      </w:r>
      <w:r>
        <w:rPr>
          <w:rFonts w:ascii="Arial" w:hAnsi="Arial" w:cs="Arial"/>
        </w:rPr>
        <w:t xml:space="preserve"> surcharg</w:t>
      </w:r>
      <w:r w:rsidR="009F457B">
        <w:rPr>
          <w:rFonts w:ascii="Arial" w:hAnsi="Arial" w:cs="Arial"/>
        </w:rPr>
        <w:t>es</w:t>
      </w:r>
      <w:r>
        <w:rPr>
          <w:rFonts w:ascii="Arial" w:hAnsi="Arial" w:cs="Arial"/>
        </w:rPr>
        <w:t xml:space="preserve"> for low-cost and medium-cost cards, </w:t>
      </w:r>
      <w:r w:rsidR="009F457B">
        <w:rPr>
          <w:rFonts w:ascii="Arial" w:hAnsi="Arial" w:cs="Arial"/>
        </w:rPr>
        <w:t>under the FSI panel's proposal merchants would still be able to charge for the reasonable costs of acceptance of high cost cards. For this system to work</w:t>
      </w:r>
      <w:r w:rsidR="00EA2207">
        <w:rPr>
          <w:rFonts w:ascii="Arial" w:hAnsi="Arial" w:cs="Arial"/>
        </w:rPr>
        <w:t xml:space="preserve"> effectively</w:t>
      </w:r>
      <w:r w:rsidR="009F457B">
        <w:rPr>
          <w:rFonts w:ascii="Arial" w:hAnsi="Arial" w:cs="Arial"/>
        </w:rPr>
        <w:t xml:space="preserve">, </w:t>
      </w:r>
      <w:r w:rsidR="00EA2207">
        <w:rPr>
          <w:rFonts w:ascii="Arial" w:hAnsi="Arial" w:cs="Arial"/>
        </w:rPr>
        <w:t xml:space="preserve">acquirers and card schemes will need to </w:t>
      </w:r>
      <w:r w:rsidR="00C607B3">
        <w:rPr>
          <w:rFonts w:ascii="Arial" w:hAnsi="Arial" w:cs="Arial"/>
        </w:rPr>
        <w:t xml:space="preserve">facilitate differential surcharging by merchants. We </w:t>
      </w:r>
      <w:r w:rsidR="005123B9">
        <w:rPr>
          <w:rFonts w:ascii="Arial" w:hAnsi="Arial" w:cs="Arial"/>
        </w:rPr>
        <w:t xml:space="preserve">welcome the suggestion in the Issues Paper that scheme rules or contractual terms should be required to allow Australian merchants to inform customers of their cost of card acceptance if they wished to justify their surcharging policies. This would increase transparency and </w:t>
      </w:r>
      <w:r w:rsidR="009F5378">
        <w:rPr>
          <w:rFonts w:ascii="Arial" w:hAnsi="Arial" w:cs="Arial"/>
        </w:rPr>
        <w:t>assist</w:t>
      </w:r>
      <w:r w:rsidR="005123B9">
        <w:rPr>
          <w:rFonts w:ascii="Arial" w:hAnsi="Arial" w:cs="Arial"/>
        </w:rPr>
        <w:t xml:space="preserve"> consumers to hold merchants to account for their surcharging practices.</w:t>
      </w:r>
    </w:p>
    <w:p w:rsidR="00CD79D4" w:rsidRPr="00747A7B" w:rsidRDefault="00CD79D4" w:rsidP="00BF3DCD">
      <w:pPr>
        <w:spacing w:after="0"/>
        <w:jc w:val="both"/>
        <w:rPr>
          <w:rFonts w:ascii="Arial" w:hAnsi="Arial" w:cs="Arial"/>
        </w:rPr>
      </w:pPr>
    </w:p>
    <w:p w:rsidR="00FF58A0" w:rsidRPr="009127D8" w:rsidRDefault="00FF58A0" w:rsidP="00BF3DCD">
      <w:pPr>
        <w:pStyle w:val="ListParagraph"/>
        <w:spacing w:after="0"/>
        <w:ind w:left="1440"/>
        <w:jc w:val="both"/>
        <w:rPr>
          <w:rFonts w:ascii="Arial" w:hAnsi="Arial" w:cs="Arial"/>
          <w:b/>
        </w:rPr>
      </w:pPr>
    </w:p>
    <w:p w:rsidR="00F9118C"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lastRenderedPageBreak/>
        <w:t>Ensuring that merchants have the ability to choose to route their transactions via lower-cost networks or processors</w:t>
      </w:r>
    </w:p>
    <w:p w:rsidR="00FF58A0" w:rsidRPr="009127D8" w:rsidRDefault="00FF58A0" w:rsidP="00BF3DCD">
      <w:pPr>
        <w:spacing w:after="0"/>
        <w:jc w:val="both"/>
        <w:rPr>
          <w:rFonts w:ascii="Arial" w:hAnsi="Arial" w:cs="Arial"/>
          <w:b/>
        </w:rPr>
      </w:pPr>
    </w:p>
    <w:p w:rsidR="004B7CCE" w:rsidRDefault="004B7CCE" w:rsidP="00BF3DCD">
      <w:pPr>
        <w:spacing w:after="0"/>
        <w:jc w:val="both"/>
        <w:rPr>
          <w:rFonts w:ascii="Arial" w:eastAsia="Times New Roman" w:hAnsi="Arial" w:cs="Arial"/>
          <w:color w:val="000000"/>
          <w:lang w:eastAsia="en-AU"/>
        </w:rPr>
      </w:pPr>
      <w:r>
        <w:rPr>
          <w:rFonts w:ascii="Arial" w:eastAsia="Times New Roman" w:hAnsi="Arial" w:cs="Arial"/>
          <w:color w:val="000000"/>
          <w:lang w:eastAsia="en-AU"/>
        </w:rPr>
        <w:t xml:space="preserve">According to the Issues Paper, until recently </w:t>
      </w:r>
      <w:r w:rsidR="000D7587">
        <w:rPr>
          <w:rFonts w:ascii="Arial" w:eastAsia="Times New Roman" w:hAnsi="Arial" w:cs="Arial"/>
          <w:color w:val="000000"/>
          <w:lang w:eastAsia="en-AU"/>
        </w:rPr>
        <w:t xml:space="preserve">debit card users </w:t>
      </w:r>
      <w:r>
        <w:rPr>
          <w:rFonts w:ascii="Arial" w:eastAsia="Times New Roman" w:hAnsi="Arial" w:cs="Arial"/>
          <w:color w:val="000000"/>
          <w:lang w:eastAsia="en-AU"/>
        </w:rPr>
        <w:t xml:space="preserve">have typically chosen </w:t>
      </w:r>
      <w:r w:rsidR="000D7587">
        <w:rPr>
          <w:rFonts w:ascii="Arial" w:eastAsia="Times New Roman" w:hAnsi="Arial" w:cs="Arial"/>
          <w:color w:val="000000"/>
          <w:lang w:eastAsia="en-AU"/>
        </w:rPr>
        <w:t xml:space="preserve">the network used at point-of-sale terminals. However, as contactless (or 'touch-and-go') point-of-sale transactions become more widely used, consumers are no longer </w:t>
      </w:r>
      <w:r w:rsidR="00252896">
        <w:rPr>
          <w:rFonts w:ascii="Arial" w:eastAsia="Times New Roman" w:hAnsi="Arial" w:cs="Arial"/>
          <w:color w:val="000000"/>
          <w:lang w:eastAsia="en-AU"/>
        </w:rPr>
        <w:t>choosing the payment typ</w:t>
      </w:r>
      <w:r w:rsidR="000D7587">
        <w:rPr>
          <w:rFonts w:ascii="Arial" w:eastAsia="Times New Roman" w:hAnsi="Arial" w:cs="Arial"/>
          <w:color w:val="000000"/>
          <w:lang w:eastAsia="en-AU"/>
        </w:rPr>
        <w:t>e and network at the terminal. These</w:t>
      </w:r>
      <w:r w:rsidR="00252896">
        <w:rPr>
          <w:rFonts w:ascii="Arial" w:eastAsia="Times New Roman" w:hAnsi="Arial" w:cs="Arial"/>
          <w:color w:val="000000"/>
          <w:lang w:eastAsia="en-AU"/>
        </w:rPr>
        <w:t xml:space="preserve"> transactions are now routed automatically.</w:t>
      </w:r>
    </w:p>
    <w:p w:rsidR="004B7CCE" w:rsidRDefault="004B7CCE" w:rsidP="00BF3DCD">
      <w:pPr>
        <w:spacing w:after="0"/>
        <w:jc w:val="both"/>
        <w:rPr>
          <w:rFonts w:ascii="Arial" w:eastAsia="Times New Roman" w:hAnsi="Arial" w:cs="Arial"/>
          <w:color w:val="000000"/>
          <w:lang w:eastAsia="en-AU"/>
        </w:rPr>
      </w:pPr>
    </w:p>
    <w:p w:rsidR="00FF58A0" w:rsidRPr="009127D8" w:rsidRDefault="00FF58A0" w:rsidP="00BF3DCD">
      <w:pPr>
        <w:spacing w:after="0"/>
        <w:jc w:val="both"/>
        <w:rPr>
          <w:rFonts w:ascii="Arial" w:eastAsia="Times New Roman" w:hAnsi="Arial" w:cs="Arial"/>
          <w:color w:val="000000"/>
          <w:lang w:eastAsia="en-AU"/>
        </w:rPr>
      </w:pPr>
      <w:r w:rsidRPr="009127D8">
        <w:rPr>
          <w:rFonts w:ascii="Arial" w:eastAsia="Times New Roman" w:hAnsi="Arial" w:cs="Arial"/>
          <w:color w:val="000000"/>
          <w:lang w:eastAsia="en-AU"/>
        </w:rPr>
        <w:t xml:space="preserve">Incentives should be placed into the regulatory framework so that payments are directed to the least cost and most efficient system. However, this should not be done in a way that reduces consumer choice. While this may be good for efficiency (i.e. the merchant can direct the consumer to the cheaper system for the merchant), it is not </w:t>
      </w:r>
      <w:r w:rsidR="009F5378">
        <w:rPr>
          <w:rFonts w:ascii="Arial" w:eastAsia="Times New Roman" w:hAnsi="Arial" w:cs="Arial"/>
          <w:color w:val="000000"/>
          <w:lang w:eastAsia="en-AU"/>
        </w:rPr>
        <w:t xml:space="preserve">necessarily </w:t>
      </w:r>
      <w:r w:rsidRPr="009127D8">
        <w:rPr>
          <w:rFonts w:ascii="Arial" w:eastAsia="Times New Roman" w:hAnsi="Arial" w:cs="Arial"/>
          <w:color w:val="000000"/>
          <w:lang w:eastAsia="en-AU"/>
        </w:rPr>
        <w:t xml:space="preserve">good for consumer choice. The consumer may unwittingly be charged credit surcharge and credit card interest thinking that the amount is coming from their debit account, or they may want to use scheme debit rather than </w:t>
      </w:r>
      <w:r w:rsidR="00252896">
        <w:rPr>
          <w:rFonts w:ascii="Arial" w:eastAsia="Times New Roman" w:hAnsi="Arial" w:cs="Arial"/>
          <w:color w:val="000000"/>
          <w:lang w:eastAsia="en-AU"/>
        </w:rPr>
        <w:t>eftpos</w:t>
      </w:r>
      <w:r w:rsidRPr="009127D8">
        <w:rPr>
          <w:rFonts w:ascii="Arial" w:eastAsia="Times New Roman" w:hAnsi="Arial" w:cs="Arial"/>
          <w:color w:val="000000"/>
          <w:lang w:eastAsia="en-AU"/>
        </w:rPr>
        <w:t xml:space="preserve"> because </w:t>
      </w:r>
      <w:r w:rsidR="00252896">
        <w:rPr>
          <w:rFonts w:ascii="Arial" w:eastAsia="Times New Roman" w:hAnsi="Arial" w:cs="Arial"/>
          <w:color w:val="000000"/>
          <w:lang w:eastAsia="en-AU"/>
        </w:rPr>
        <w:t>eftpos</w:t>
      </w:r>
      <w:r w:rsidRPr="009127D8">
        <w:rPr>
          <w:rFonts w:ascii="Arial" w:eastAsia="Times New Roman" w:hAnsi="Arial" w:cs="Arial"/>
          <w:color w:val="000000"/>
          <w:lang w:eastAsia="en-AU"/>
        </w:rPr>
        <w:t xml:space="preserve"> may involve a transaction fee by the bank.</w:t>
      </w:r>
      <w:r w:rsidR="005E10EA">
        <w:rPr>
          <w:rFonts w:ascii="Arial" w:eastAsia="Times New Roman" w:hAnsi="Arial" w:cs="Arial"/>
          <w:color w:val="000000"/>
          <w:lang w:eastAsia="en-AU"/>
        </w:rPr>
        <w:t xml:space="preserve"> We agree that more formal 'rules of the game' might be appropriate that balance efficiency and consumer choice, perhaps by allowing consumers to provide their bank with a 'default' routing preference.</w:t>
      </w:r>
    </w:p>
    <w:p w:rsidR="00FF58A0" w:rsidRPr="009127D8" w:rsidRDefault="00FF58A0" w:rsidP="00BF3DCD">
      <w:pPr>
        <w:spacing w:after="0"/>
        <w:jc w:val="both"/>
        <w:rPr>
          <w:rFonts w:ascii="Arial" w:hAnsi="Arial" w:cs="Arial"/>
          <w:b/>
        </w:rPr>
      </w:pPr>
    </w:p>
    <w:p w:rsidR="00F9118C" w:rsidRPr="00596A8C" w:rsidRDefault="00F9118C" w:rsidP="00BF3DCD">
      <w:pPr>
        <w:pStyle w:val="ListParagraph"/>
        <w:numPr>
          <w:ilvl w:val="1"/>
          <w:numId w:val="24"/>
        </w:numPr>
        <w:spacing w:after="0"/>
        <w:ind w:left="1134"/>
        <w:jc w:val="both"/>
        <w:rPr>
          <w:rFonts w:ascii="Arial" w:hAnsi="Arial" w:cs="Arial"/>
          <w:i/>
        </w:rPr>
      </w:pPr>
      <w:r w:rsidRPr="00596A8C">
        <w:rPr>
          <w:rFonts w:ascii="Arial" w:hAnsi="Arial" w:cs="Arial"/>
          <w:i/>
        </w:rPr>
        <w:t>Clarifying arrangements for competing payment options within a single device or application</w:t>
      </w:r>
    </w:p>
    <w:p w:rsidR="00FF58A0" w:rsidRDefault="00FF58A0" w:rsidP="00BF3DCD">
      <w:pPr>
        <w:pStyle w:val="ListParagraph"/>
        <w:spacing w:after="0"/>
        <w:ind w:left="0"/>
        <w:jc w:val="both"/>
        <w:rPr>
          <w:rFonts w:ascii="Arial" w:hAnsi="Arial" w:cs="Arial"/>
          <w:b/>
        </w:rPr>
      </w:pPr>
    </w:p>
    <w:p w:rsidR="00D1228F" w:rsidRPr="00D1228F" w:rsidRDefault="00D1228F" w:rsidP="00BF3DCD">
      <w:pPr>
        <w:pStyle w:val="ListParagraph"/>
        <w:spacing w:after="0"/>
        <w:ind w:left="0"/>
        <w:jc w:val="both"/>
        <w:rPr>
          <w:rFonts w:ascii="Arial" w:hAnsi="Arial" w:cs="Arial"/>
        </w:rPr>
      </w:pPr>
      <w:r w:rsidRPr="00D1228F">
        <w:rPr>
          <w:rFonts w:ascii="Arial" w:hAnsi="Arial" w:cs="Arial"/>
        </w:rPr>
        <w:t>Please see our comments in section 3(d) above.</w:t>
      </w:r>
    </w:p>
    <w:p w:rsidR="00D1228F" w:rsidRPr="009127D8" w:rsidRDefault="00D1228F" w:rsidP="00BF3DCD">
      <w:pPr>
        <w:pStyle w:val="ListParagraph"/>
        <w:spacing w:after="0"/>
        <w:ind w:left="0"/>
        <w:jc w:val="both"/>
        <w:rPr>
          <w:rFonts w:ascii="Arial" w:hAnsi="Arial" w:cs="Arial"/>
          <w:b/>
        </w:rPr>
      </w:pPr>
    </w:p>
    <w:p w:rsidR="00FF58A0" w:rsidRPr="00596A8C" w:rsidRDefault="00FF58A0" w:rsidP="00BF3DCD">
      <w:pPr>
        <w:pStyle w:val="ListParagraph"/>
        <w:numPr>
          <w:ilvl w:val="1"/>
          <w:numId w:val="24"/>
        </w:numPr>
        <w:spacing w:after="0"/>
        <w:ind w:left="1134"/>
        <w:jc w:val="both"/>
        <w:rPr>
          <w:rFonts w:ascii="Arial" w:hAnsi="Arial" w:cs="Arial"/>
          <w:i/>
        </w:rPr>
      </w:pPr>
      <w:r w:rsidRPr="00596A8C">
        <w:rPr>
          <w:rFonts w:ascii="Arial" w:hAnsi="Arial" w:cs="Arial"/>
          <w:i/>
        </w:rPr>
        <w:t>Other</w:t>
      </w:r>
    </w:p>
    <w:p w:rsidR="000015E2" w:rsidRPr="009127D8" w:rsidRDefault="000015E2" w:rsidP="00BF3DCD">
      <w:pPr>
        <w:spacing w:after="0"/>
        <w:jc w:val="both"/>
        <w:rPr>
          <w:rFonts w:ascii="Arial" w:hAnsi="Arial" w:cs="Arial"/>
          <w:b/>
        </w:rPr>
      </w:pPr>
    </w:p>
    <w:p w:rsidR="00CB3388" w:rsidRDefault="00FF58A0" w:rsidP="00BF3DCD">
      <w:pPr>
        <w:pStyle w:val="ListParagraph"/>
        <w:spacing w:after="0"/>
        <w:ind w:left="0"/>
        <w:jc w:val="both"/>
        <w:rPr>
          <w:rFonts w:ascii="Arial" w:eastAsia="Times New Roman" w:hAnsi="Arial" w:cs="Arial"/>
          <w:color w:val="000000"/>
          <w:lang w:eastAsia="en-AU"/>
        </w:rPr>
      </w:pPr>
      <w:r w:rsidRPr="009127D8">
        <w:rPr>
          <w:rFonts w:ascii="Arial" w:eastAsia="Times New Roman" w:hAnsi="Arial" w:cs="Arial"/>
          <w:color w:val="000000"/>
          <w:lang w:eastAsia="en-AU"/>
        </w:rPr>
        <w:t xml:space="preserve">We </w:t>
      </w:r>
      <w:r w:rsidR="009F5378">
        <w:rPr>
          <w:rFonts w:ascii="Arial" w:eastAsia="Times New Roman" w:hAnsi="Arial" w:cs="Arial"/>
          <w:color w:val="000000"/>
          <w:lang w:eastAsia="en-AU"/>
        </w:rPr>
        <w:t>are</w:t>
      </w:r>
      <w:r w:rsidRPr="009127D8">
        <w:rPr>
          <w:rFonts w:ascii="Arial" w:eastAsia="Times New Roman" w:hAnsi="Arial" w:cs="Arial"/>
          <w:color w:val="000000"/>
          <w:lang w:eastAsia="en-AU"/>
        </w:rPr>
        <w:t xml:space="preserve"> pleased to hear that the Australian Bankers' Association is working with the RBA and scheme debit card providers to remove the distinction in regulation between direct debit payments from transaction accounts and credit (or scheme debit) cards. In our view, a consumer should be able to instruct their bank to cancel a recurring payment authority</w:t>
      </w:r>
      <w:r w:rsidR="00E70925">
        <w:rPr>
          <w:rFonts w:ascii="Arial" w:eastAsia="Times New Roman" w:hAnsi="Arial" w:cs="Arial"/>
          <w:color w:val="000000"/>
          <w:lang w:eastAsia="en-AU"/>
        </w:rPr>
        <w:t xml:space="preserve"> on a scheme card</w:t>
      </w:r>
      <w:r w:rsidRPr="009127D8">
        <w:rPr>
          <w:rFonts w:ascii="Arial" w:eastAsia="Times New Roman" w:hAnsi="Arial" w:cs="Arial"/>
          <w:color w:val="000000"/>
          <w:lang w:eastAsia="en-AU"/>
        </w:rPr>
        <w:t>, as they can with a transaction account direct debit authority. Further, upon cancellation or closure of a credit card account, a bank should take steps to cancel all regular transactions and other standing authorities. However, if stakeholders fails to deal with this issue within a reasonable period, we recommend that the Government regulate to remove the distinction.</w:t>
      </w:r>
    </w:p>
    <w:p w:rsidR="00CD79D4" w:rsidRDefault="00CD79D4" w:rsidP="00BF3DCD">
      <w:pPr>
        <w:pStyle w:val="ListParagraph"/>
        <w:spacing w:after="0"/>
        <w:ind w:left="0"/>
        <w:jc w:val="both"/>
        <w:rPr>
          <w:rFonts w:ascii="Arial" w:eastAsia="Times New Roman" w:hAnsi="Arial" w:cs="Arial"/>
          <w:color w:val="000000"/>
          <w:lang w:eastAsia="en-AU"/>
        </w:rPr>
      </w:pPr>
    </w:p>
    <w:p w:rsidR="00BF3DCD" w:rsidRDefault="00596A39" w:rsidP="00BF3DCD">
      <w:pPr>
        <w:pStyle w:val="ListParagraph"/>
        <w:spacing w:after="0"/>
        <w:ind w:left="0"/>
        <w:jc w:val="both"/>
        <w:rPr>
          <w:rFonts w:ascii="Arial" w:hAnsi="Arial" w:cs="Arial"/>
        </w:rPr>
      </w:pPr>
      <w:r w:rsidRPr="001D3DC9">
        <w:rPr>
          <w:rFonts w:ascii="Arial" w:hAnsi="Arial" w:cs="Arial"/>
        </w:rPr>
        <w:t xml:space="preserve">Please contact </w:t>
      </w:r>
      <w:r>
        <w:rPr>
          <w:rFonts w:ascii="Arial" w:hAnsi="Arial" w:cs="Arial"/>
        </w:rPr>
        <w:t>Katherine Temple</w:t>
      </w:r>
      <w:r w:rsidR="00874DAE">
        <w:rPr>
          <w:rFonts w:ascii="Arial" w:hAnsi="Arial" w:cs="Arial"/>
        </w:rPr>
        <w:t>, Senior Policy Officer at Consumer Action,</w:t>
      </w:r>
      <w:r w:rsidRPr="001D3DC9">
        <w:rPr>
          <w:rFonts w:ascii="Arial" w:hAnsi="Arial" w:cs="Arial"/>
        </w:rPr>
        <w:t xml:space="preserve"> on 03 9670 5088 or at </w:t>
      </w:r>
      <w:r>
        <w:rPr>
          <w:rFonts w:ascii="Arial" w:hAnsi="Arial" w:cs="Arial"/>
        </w:rPr>
        <w:t>katherine</w:t>
      </w:r>
      <w:r w:rsidRPr="001D3DC9">
        <w:rPr>
          <w:rFonts w:ascii="Arial" w:hAnsi="Arial" w:cs="Arial"/>
        </w:rPr>
        <w:t>@consumeraction.org.au if you have any questions about this submission.</w:t>
      </w:r>
    </w:p>
    <w:p w:rsidR="00BF3DCD" w:rsidRDefault="00BF3DCD">
      <w:pPr>
        <w:spacing w:after="0" w:line="240" w:lineRule="auto"/>
        <w:rPr>
          <w:rFonts w:ascii="Arial" w:hAnsi="Arial" w:cs="Arial"/>
        </w:rPr>
      </w:pPr>
      <w:r>
        <w:rPr>
          <w:rFonts w:ascii="Arial" w:hAnsi="Arial" w:cs="Arial"/>
        </w:rPr>
        <w:br w:type="page"/>
      </w:r>
    </w:p>
    <w:p w:rsidR="00596A39" w:rsidRDefault="00596A39" w:rsidP="00BF3DCD">
      <w:pPr>
        <w:pStyle w:val="ListParagraph"/>
        <w:spacing w:after="0"/>
        <w:ind w:left="0"/>
        <w:jc w:val="both"/>
        <w:rPr>
          <w:rFonts w:ascii="Arial" w:hAnsi="Arial" w:cs="Arial"/>
        </w:rPr>
      </w:pPr>
    </w:p>
    <w:p w:rsidR="00596A39" w:rsidRDefault="00596A39" w:rsidP="00BF3DCD">
      <w:pPr>
        <w:pStyle w:val="ListParagraph"/>
        <w:spacing w:after="0"/>
        <w:ind w:left="0"/>
        <w:jc w:val="both"/>
        <w:rPr>
          <w:rFonts w:ascii="Arial" w:hAnsi="Arial" w:cs="Arial"/>
        </w:rPr>
      </w:pPr>
    </w:p>
    <w:p w:rsidR="00596A39" w:rsidRDefault="00596A39" w:rsidP="00BF3DCD">
      <w:pPr>
        <w:keepNext/>
        <w:spacing w:after="0"/>
        <w:ind w:right="-96"/>
        <w:jc w:val="both"/>
        <w:rPr>
          <w:rFonts w:ascii="Arial" w:hAnsi="Arial" w:cs="Arial"/>
        </w:rPr>
      </w:pPr>
      <w:r w:rsidRPr="001D3DC9">
        <w:rPr>
          <w:rFonts w:ascii="Arial" w:hAnsi="Arial" w:cs="Arial"/>
        </w:rPr>
        <w:t>Yours sincerely</w:t>
      </w:r>
    </w:p>
    <w:p w:rsidR="00616D31" w:rsidRPr="001D3DC9" w:rsidRDefault="00616D31" w:rsidP="00BF3DCD">
      <w:pPr>
        <w:keepNext/>
        <w:spacing w:after="0"/>
        <w:ind w:right="-96"/>
        <w:jc w:val="both"/>
        <w:rPr>
          <w:rFonts w:ascii="Arial" w:hAnsi="Arial" w:cs="Arial"/>
        </w:rPr>
      </w:pPr>
    </w:p>
    <w:p w:rsidR="00596A39" w:rsidRPr="00596A39" w:rsidRDefault="00596A39" w:rsidP="00BF3DCD">
      <w:pPr>
        <w:keepNext/>
        <w:spacing w:after="0"/>
        <w:ind w:right="-96"/>
        <w:jc w:val="both"/>
        <w:rPr>
          <w:rFonts w:ascii="Arial" w:hAnsi="Arial" w:cs="Arial"/>
          <w:b/>
        </w:rPr>
      </w:pPr>
      <w:r w:rsidRPr="001D3DC9">
        <w:rPr>
          <w:rFonts w:ascii="Arial" w:hAnsi="Arial" w:cs="Arial"/>
          <w:b/>
        </w:rPr>
        <w:t>CONSUMER ACTION LAW CENTRE</w:t>
      </w:r>
      <w:r w:rsidR="00CD79D4">
        <w:rPr>
          <w:rFonts w:ascii="Arial" w:hAnsi="Arial" w:cs="Arial"/>
          <w:b/>
        </w:rPr>
        <w:tab/>
      </w:r>
      <w:r w:rsidR="00CD79D4">
        <w:rPr>
          <w:rFonts w:ascii="Arial" w:hAnsi="Arial" w:cs="Arial"/>
          <w:b/>
        </w:rPr>
        <w:tab/>
        <w:t>FINANCIAL RIGHTS LEGAL CENTRE</w:t>
      </w:r>
    </w:p>
    <w:p w:rsidR="00596A39" w:rsidRDefault="00CD79D4" w:rsidP="00BF3DCD">
      <w:pPr>
        <w:spacing w:after="0"/>
        <w:ind w:right="-96"/>
        <w:rPr>
          <w:rFonts w:ascii="Arial" w:hAnsi="Arial" w:cs="Arial"/>
          <w:noProof/>
        </w:rPr>
      </w:pPr>
      <w:r>
        <w:rPr>
          <w:rFonts w:ascii="Arial" w:hAnsi="Arial" w:cs="Arial"/>
          <w:noProof/>
          <w:lang w:eastAsia="en-AU"/>
        </w:rPr>
        <w:drawing>
          <wp:anchor distT="0" distB="0" distL="114300" distR="114300" simplePos="0" relativeHeight="251667456" behindDoc="1" locked="0" layoutInCell="1" allowOverlap="1">
            <wp:simplePos x="0" y="0"/>
            <wp:positionH relativeFrom="column">
              <wp:posOffset>1301115</wp:posOffset>
            </wp:positionH>
            <wp:positionV relativeFrom="paragraph">
              <wp:posOffset>28575</wp:posOffset>
            </wp:positionV>
            <wp:extent cx="2057400" cy="638175"/>
            <wp:effectExtent l="19050" t="0" r="0" b="0"/>
            <wp:wrapNone/>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7400" cy="638175"/>
                    </a:xfrm>
                    <a:prstGeom prst="rect">
                      <a:avLst/>
                    </a:prstGeom>
                    <a:noFill/>
                    <a:ln>
                      <a:noFill/>
                    </a:ln>
                  </pic:spPr>
                </pic:pic>
              </a:graphicData>
            </a:graphic>
          </wp:anchor>
        </w:drawing>
      </w:r>
      <w:r w:rsidR="00596A39">
        <w:rPr>
          <w:rFonts w:ascii="Arial" w:hAnsi="Arial" w:cs="Arial"/>
          <w:noProof/>
          <w:lang w:eastAsia="en-AU"/>
        </w:rPr>
        <w:drawing>
          <wp:anchor distT="0" distB="0" distL="114300" distR="114300" simplePos="0" relativeHeight="251661312" behindDoc="0" locked="0" layoutInCell="1" allowOverlap="1">
            <wp:simplePos x="0" y="0"/>
            <wp:positionH relativeFrom="column">
              <wp:posOffset>-253365</wp:posOffset>
            </wp:positionH>
            <wp:positionV relativeFrom="paragraph">
              <wp:posOffset>29210</wp:posOffset>
            </wp:positionV>
            <wp:extent cx="1990725" cy="772795"/>
            <wp:effectExtent l="19050" t="0" r="9525" b="0"/>
            <wp:wrapSquare wrapText="bothSides"/>
            <wp:docPr id="4" name="Picture 1" descr="Gerard Brody 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rard Brody signature.jpg"/>
                    <pic:cNvPicPr/>
                  </pic:nvPicPr>
                  <pic:blipFill>
                    <a:blip r:embed="rId13" cstate="print"/>
                    <a:stretch>
                      <a:fillRect/>
                    </a:stretch>
                  </pic:blipFill>
                  <pic:spPr>
                    <a:xfrm>
                      <a:off x="0" y="0"/>
                      <a:ext cx="1990725" cy="772795"/>
                    </a:xfrm>
                    <a:prstGeom prst="rect">
                      <a:avLst/>
                    </a:prstGeom>
                  </pic:spPr>
                </pic:pic>
              </a:graphicData>
            </a:graphic>
          </wp:anchor>
        </w:drawing>
      </w:r>
    </w:p>
    <w:p w:rsidR="00596A39" w:rsidRDefault="00596A39" w:rsidP="00BF3DCD">
      <w:pPr>
        <w:spacing w:after="0"/>
        <w:ind w:right="-96"/>
        <w:rPr>
          <w:rFonts w:ascii="Arial" w:hAnsi="Arial" w:cs="Arial"/>
          <w:lang w:val="en-US"/>
        </w:rPr>
      </w:pPr>
    </w:p>
    <w:p w:rsidR="00596A39" w:rsidRPr="001D3DC9" w:rsidRDefault="00596A39" w:rsidP="00BF3DCD">
      <w:pPr>
        <w:spacing w:after="0"/>
        <w:ind w:right="-96"/>
        <w:rPr>
          <w:rFonts w:ascii="Arial" w:hAnsi="Arial" w:cs="Arial"/>
          <w:lang w:val="en-US"/>
        </w:rPr>
      </w:pPr>
    </w:p>
    <w:p w:rsidR="00596A39" w:rsidRDefault="00596A39" w:rsidP="00BF3DCD">
      <w:pPr>
        <w:spacing w:after="0"/>
        <w:ind w:right="-96"/>
        <w:rPr>
          <w:rFonts w:ascii="Arial" w:hAnsi="Arial" w:cs="Arial"/>
          <w:lang w:val="en-US"/>
        </w:rPr>
      </w:pPr>
    </w:p>
    <w:p w:rsidR="00596A39" w:rsidRDefault="00596A39" w:rsidP="00BF3DCD">
      <w:pPr>
        <w:spacing w:after="0"/>
        <w:ind w:right="-96"/>
        <w:rPr>
          <w:rFonts w:ascii="Arial" w:hAnsi="Arial" w:cs="Arial"/>
          <w:lang w:val="en-US"/>
        </w:rPr>
      </w:pPr>
    </w:p>
    <w:p w:rsidR="00596A39" w:rsidRPr="001D3DC9" w:rsidRDefault="00596A39" w:rsidP="00BF3DCD">
      <w:pPr>
        <w:spacing w:after="0"/>
        <w:ind w:right="-96"/>
        <w:rPr>
          <w:rFonts w:ascii="Arial" w:hAnsi="Arial" w:cs="Arial"/>
          <w:lang w:val="en-US"/>
        </w:rPr>
      </w:pPr>
      <w:r w:rsidRPr="001D3DC9">
        <w:rPr>
          <w:rFonts w:ascii="Arial" w:hAnsi="Arial" w:cs="Arial"/>
          <w:lang w:val="en-US"/>
        </w:rPr>
        <w:t>Gerard Brody</w:t>
      </w:r>
      <w:r w:rsidRPr="001D3DC9">
        <w:rPr>
          <w:rFonts w:ascii="Arial" w:hAnsi="Arial" w:cs="Arial"/>
          <w:lang w:val="en-US"/>
        </w:rPr>
        <w:tab/>
      </w:r>
      <w:r w:rsidRPr="001D3DC9">
        <w:rPr>
          <w:rFonts w:ascii="Arial" w:hAnsi="Arial" w:cs="Arial"/>
          <w:lang w:val="en-US"/>
        </w:rPr>
        <w:tab/>
      </w:r>
      <w:r w:rsidRPr="001D3DC9">
        <w:rPr>
          <w:rFonts w:ascii="Arial" w:hAnsi="Arial" w:cs="Arial"/>
          <w:lang w:val="en-US"/>
        </w:rPr>
        <w:tab/>
      </w:r>
      <w:r w:rsidR="00CD79D4">
        <w:rPr>
          <w:rFonts w:ascii="Arial" w:hAnsi="Arial" w:cs="Arial"/>
          <w:lang w:val="en-US"/>
        </w:rPr>
        <w:tab/>
      </w:r>
      <w:r w:rsidR="00CD79D4">
        <w:rPr>
          <w:rFonts w:ascii="Arial" w:hAnsi="Arial" w:cs="Arial"/>
          <w:lang w:val="en-US"/>
        </w:rPr>
        <w:tab/>
      </w:r>
      <w:r w:rsidR="00CD79D4">
        <w:rPr>
          <w:rFonts w:ascii="Arial" w:hAnsi="Arial" w:cs="Arial"/>
          <w:lang w:val="en-US"/>
        </w:rPr>
        <w:tab/>
        <w:t>Kat Lane</w:t>
      </w:r>
      <w:r>
        <w:rPr>
          <w:rFonts w:ascii="Arial" w:hAnsi="Arial" w:cs="Arial"/>
          <w:lang w:val="en-US"/>
        </w:rPr>
        <w:tab/>
      </w:r>
      <w:r>
        <w:rPr>
          <w:rFonts w:ascii="Arial" w:hAnsi="Arial" w:cs="Arial"/>
          <w:lang w:val="en-US"/>
        </w:rPr>
        <w:tab/>
      </w:r>
      <w:r w:rsidRPr="001D3DC9">
        <w:rPr>
          <w:rFonts w:ascii="Arial" w:hAnsi="Arial" w:cs="Arial"/>
          <w:lang w:val="en-US"/>
        </w:rPr>
        <w:tab/>
      </w:r>
      <w:r w:rsidRPr="001D3DC9">
        <w:rPr>
          <w:rFonts w:ascii="Arial" w:hAnsi="Arial" w:cs="Arial"/>
          <w:lang w:val="en-US"/>
        </w:rPr>
        <w:tab/>
      </w:r>
    </w:p>
    <w:p w:rsidR="00596A39" w:rsidRDefault="00596A39" w:rsidP="00BF3DCD">
      <w:pPr>
        <w:spacing w:after="0"/>
        <w:ind w:right="-96"/>
        <w:rPr>
          <w:rFonts w:ascii="Arial" w:hAnsi="Arial" w:cs="Arial"/>
          <w:lang w:val="en-US"/>
        </w:rPr>
      </w:pPr>
      <w:r w:rsidRPr="001D3DC9">
        <w:rPr>
          <w:rFonts w:ascii="Arial" w:hAnsi="Arial" w:cs="Arial"/>
          <w:lang w:val="en-US"/>
        </w:rPr>
        <w:t>Chief Executive Officer</w:t>
      </w:r>
      <w:r w:rsidRPr="001D3DC9">
        <w:rPr>
          <w:rFonts w:ascii="Arial" w:hAnsi="Arial" w:cs="Arial"/>
          <w:lang w:val="en-US"/>
        </w:rPr>
        <w:tab/>
      </w:r>
      <w:r>
        <w:rPr>
          <w:rFonts w:ascii="Arial" w:hAnsi="Arial" w:cs="Arial"/>
          <w:lang w:val="en-US"/>
        </w:rPr>
        <w:tab/>
      </w:r>
      <w:r w:rsidR="00CD79D4">
        <w:rPr>
          <w:rFonts w:ascii="Arial" w:hAnsi="Arial" w:cs="Arial"/>
          <w:lang w:val="en-US"/>
        </w:rPr>
        <w:tab/>
      </w:r>
      <w:r w:rsidR="00CD79D4">
        <w:rPr>
          <w:rFonts w:ascii="Arial" w:hAnsi="Arial" w:cs="Arial"/>
          <w:lang w:val="en-US"/>
        </w:rPr>
        <w:tab/>
        <w:t>Principal Solicitor</w:t>
      </w:r>
      <w:r>
        <w:rPr>
          <w:rFonts w:ascii="Arial" w:hAnsi="Arial" w:cs="Arial"/>
          <w:lang w:val="en-US"/>
        </w:rPr>
        <w:tab/>
      </w:r>
      <w:r w:rsidRPr="001D3DC9">
        <w:rPr>
          <w:rFonts w:ascii="Arial" w:hAnsi="Arial" w:cs="Arial"/>
          <w:lang w:val="en-US"/>
        </w:rPr>
        <w:tab/>
      </w:r>
    </w:p>
    <w:p w:rsidR="00596A39" w:rsidRDefault="00CD79D4" w:rsidP="00BF3DCD">
      <w:pPr>
        <w:pStyle w:val="ListParagraph"/>
        <w:spacing w:after="0"/>
        <w:ind w:left="0"/>
        <w:jc w:val="both"/>
        <w:rPr>
          <w:rFonts w:ascii="Arial" w:eastAsia="Times New Roman" w:hAnsi="Arial" w:cs="Arial"/>
          <w:color w:val="000000"/>
          <w:lang w:eastAsia="en-AU"/>
        </w:rPr>
      </w:pPr>
      <w:r w:rsidRPr="002D14A8">
        <w:rPr>
          <w:rFonts w:ascii="Arial" w:hAnsi="Arial" w:cs="Arial"/>
        </w:rPr>
        <w:t>Email: gerard@consumeraction.org.au</w:t>
      </w:r>
      <w:r>
        <w:rPr>
          <w:rFonts w:ascii="Arial" w:hAnsi="Arial" w:cs="Arial"/>
        </w:rPr>
        <w:tab/>
      </w:r>
      <w:r>
        <w:rPr>
          <w:rFonts w:ascii="Arial" w:hAnsi="Arial" w:cs="Arial"/>
        </w:rPr>
        <w:tab/>
      </w:r>
      <w:r w:rsidRPr="002D14A8">
        <w:rPr>
          <w:rFonts w:ascii="Arial" w:hAnsi="Arial" w:cs="Arial"/>
        </w:rPr>
        <w:t>Email: Kat.Lane@financialrights.org.au</w:t>
      </w:r>
    </w:p>
    <w:p w:rsidR="00CD79D4" w:rsidRDefault="00CD79D4" w:rsidP="00BF3DCD">
      <w:pPr>
        <w:pStyle w:val="ListParagraph"/>
        <w:spacing w:after="0"/>
        <w:ind w:left="0"/>
        <w:jc w:val="both"/>
        <w:rPr>
          <w:rFonts w:ascii="Arial" w:eastAsia="Times New Roman" w:hAnsi="Arial" w:cs="Arial"/>
          <w:color w:val="000000"/>
          <w:lang w:eastAsia="en-AU"/>
        </w:rPr>
      </w:pPr>
    </w:p>
    <w:p w:rsidR="00CD79D4" w:rsidRPr="009127D8" w:rsidRDefault="00CD79D4" w:rsidP="00BF3DCD">
      <w:pPr>
        <w:pStyle w:val="ListParagraph"/>
        <w:spacing w:after="0"/>
        <w:ind w:left="0"/>
        <w:jc w:val="both"/>
        <w:rPr>
          <w:rFonts w:ascii="Arial" w:eastAsia="Times New Roman" w:hAnsi="Arial" w:cs="Arial"/>
          <w:color w:val="000000"/>
          <w:lang w:eastAsia="en-AU"/>
        </w:rPr>
      </w:pPr>
    </w:p>
    <w:sectPr w:rsidR="00CD79D4" w:rsidRPr="009127D8" w:rsidSect="00396479">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3DCD" w:rsidRDefault="00BF3DCD" w:rsidP="00786EC0">
      <w:pPr>
        <w:spacing w:after="0" w:line="240" w:lineRule="auto"/>
      </w:pPr>
      <w:r>
        <w:separator/>
      </w:r>
    </w:p>
  </w:endnote>
  <w:endnote w:type="continuationSeparator" w:id="0">
    <w:p w:rsidR="00BF3DCD" w:rsidRDefault="00BF3DCD" w:rsidP="00786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DCD" w:rsidRDefault="00BF3D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DCD" w:rsidRDefault="00BF3DCD">
    <w:pPr>
      <w:pStyle w:val="Footer"/>
      <w:jc w:val="center"/>
    </w:pPr>
    <w:r w:rsidRPr="006E1028">
      <w:rPr>
        <w:rFonts w:ascii="Arial" w:hAnsi="Arial" w:cs="Arial"/>
      </w:rPr>
      <w:fldChar w:fldCharType="begin"/>
    </w:r>
    <w:r w:rsidRPr="006E1028">
      <w:rPr>
        <w:rFonts w:ascii="Arial" w:hAnsi="Arial" w:cs="Arial"/>
      </w:rPr>
      <w:instrText xml:space="preserve"> PAGE   \* MERGEFORMAT </w:instrText>
    </w:r>
    <w:r w:rsidRPr="006E1028">
      <w:rPr>
        <w:rFonts w:ascii="Arial" w:hAnsi="Arial" w:cs="Arial"/>
      </w:rPr>
      <w:fldChar w:fldCharType="separate"/>
    </w:r>
    <w:r w:rsidR="0070491E">
      <w:rPr>
        <w:rFonts w:ascii="Arial" w:hAnsi="Arial" w:cs="Arial"/>
        <w:noProof/>
      </w:rPr>
      <w:t>9</w:t>
    </w:r>
    <w:r w:rsidRPr="006E1028">
      <w:rPr>
        <w:rFonts w:ascii="Arial" w:hAnsi="Arial" w:cs="Arial"/>
      </w:rPr>
      <w:fldChar w:fldCharType="end"/>
    </w:r>
  </w:p>
  <w:p w:rsidR="00BF3DCD" w:rsidRDefault="00BF3DC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DCD" w:rsidRDefault="00BF3D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3DCD" w:rsidRDefault="00BF3DCD" w:rsidP="00786EC0">
      <w:pPr>
        <w:spacing w:after="0" w:line="240" w:lineRule="auto"/>
      </w:pPr>
      <w:r>
        <w:separator/>
      </w:r>
    </w:p>
  </w:footnote>
  <w:footnote w:type="continuationSeparator" w:id="0">
    <w:p w:rsidR="00BF3DCD" w:rsidRDefault="00BF3DCD" w:rsidP="00786EC0">
      <w:pPr>
        <w:spacing w:after="0" w:line="240" w:lineRule="auto"/>
      </w:pPr>
      <w:r>
        <w:continuationSeparator/>
      </w:r>
    </w:p>
  </w:footnote>
  <w:footnote w:id="1">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Financial System Inquiry, Final Report, November 2014, p. 173.</w:t>
      </w:r>
    </w:p>
  </w:footnote>
  <w:footnote w:id="2">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Reserve Bank of Australia, Review of Card Payments Regulation - Issues Paper, March 2015, p. 32.</w:t>
      </w:r>
    </w:p>
  </w:footnote>
  <w:footnote w:id="3">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This position is supported by Financial System Inquiry Final Report at page 173.</w:t>
      </w:r>
    </w:p>
  </w:footnote>
  <w:footnote w:id="4">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30.</w:t>
      </w:r>
    </w:p>
  </w:footnote>
  <w:footnote w:id="5">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31.</w:t>
      </w:r>
    </w:p>
  </w:footnote>
  <w:footnote w:id="6">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Financial System Inquiry Final Report, p. 173.</w:t>
      </w:r>
    </w:p>
  </w:footnote>
  <w:footnote w:id="7">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30.</w:t>
      </w:r>
    </w:p>
  </w:footnote>
  <w:footnote w:id="8">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Ibid.</w:t>
      </w:r>
    </w:p>
  </w:footnote>
  <w:footnote w:id="9">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Financial System Inquiry Final Report, </w:t>
      </w:r>
      <w:r w:rsidRPr="009B5922">
        <w:rPr>
          <w:rFonts w:ascii="Arial" w:hAnsi="Arial" w:cs="Arial"/>
          <w:color w:val="000000"/>
          <w:szCs w:val="18"/>
        </w:rPr>
        <w:t>Recommendation 17.</w:t>
      </w:r>
    </w:p>
  </w:footnote>
  <w:footnote w:id="10">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28.</w:t>
      </w:r>
    </w:p>
  </w:footnote>
  <w:footnote w:id="11">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26.</w:t>
      </w:r>
    </w:p>
  </w:footnote>
  <w:footnote w:id="12">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Financial System Inquiry Final Report, p. 173.</w:t>
      </w:r>
    </w:p>
  </w:footnote>
  <w:footnote w:id="13">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As suggested in the Review of Card Payments Regulation - Issues Paper at page 36.</w:t>
      </w:r>
    </w:p>
  </w:footnote>
  <w:footnote w:id="14">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w:t>
      </w:r>
      <w:r>
        <w:rPr>
          <w:rFonts w:ascii="Arial" w:hAnsi="Arial" w:cs="Arial"/>
          <w:szCs w:val="18"/>
        </w:rPr>
        <w:t>Financial System Inquiry, Second Round Submissions, available at:</w:t>
      </w:r>
      <w:r w:rsidRPr="009B5922">
        <w:rPr>
          <w:rFonts w:ascii="Arial" w:hAnsi="Arial" w:cs="Arial"/>
          <w:szCs w:val="18"/>
        </w:rPr>
        <w:t xml:space="preserve"> http://fsi.gov.au/consultation/second-round-submissions.</w:t>
      </w:r>
    </w:p>
  </w:footnote>
  <w:footnote w:id="15">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Financial System Inquiry Final Report, p. 175.</w:t>
      </w:r>
    </w:p>
  </w:footnote>
  <w:footnote w:id="16">
    <w:p w:rsidR="00BF3DCD" w:rsidRDefault="00BF3DCD">
      <w:pPr>
        <w:pStyle w:val="FootnoteText"/>
      </w:pPr>
      <w:r>
        <w:rPr>
          <w:rStyle w:val="FootnoteReference"/>
        </w:rPr>
        <w:footnoteRef/>
      </w:r>
      <w:r>
        <w:t xml:space="preserve"> </w:t>
      </w:r>
      <w:r w:rsidRPr="00782689">
        <w:rPr>
          <w:rFonts w:ascii="Arial" w:hAnsi="Arial" w:cs="Arial"/>
        </w:rPr>
        <w:t xml:space="preserve">For further details, see </w:t>
      </w:r>
      <w:r w:rsidRPr="00782689">
        <w:rPr>
          <w:rFonts w:ascii="Arial" w:hAnsi="Arial" w:cs="Arial"/>
          <w:szCs w:val="18"/>
        </w:rPr>
        <w:t>Financial</w:t>
      </w:r>
      <w:r w:rsidRPr="009B5922">
        <w:rPr>
          <w:rFonts w:ascii="Arial" w:hAnsi="Arial" w:cs="Arial"/>
          <w:szCs w:val="18"/>
        </w:rPr>
        <w:t xml:space="preserve"> System Inquiry Final Report, p</w:t>
      </w:r>
      <w:r>
        <w:rPr>
          <w:rFonts w:ascii="Arial" w:hAnsi="Arial" w:cs="Arial"/>
          <w:szCs w:val="18"/>
        </w:rPr>
        <w:t>p</w:t>
      </w:r>
      <w:r w:rsidRPr="009B5922">
        <w:rPr>
          <w:rFonts w:ascii="Arial" w:hAnsi="Arial" w:cs="Arial"/>
          <w:szCs w:val="18"/>
        </w:rPr>
        <w:t>. 175</w:t>
      </w:r>
      <w:r>
        <w:rPr>
          <w:rFonts w:ascii="Arial" w:hAnsi="Arial" w:cs="Arial"/>
          <w:szCs w:val="18"/>
        </w:rPr>
        <w:t>-176.</w:t>
      </w:r>
    </w:p>
  </w:footnote>
  <w:footnote w:id="17">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Reserve Bank of Australia, Research Discussion Paper: The Evolution of Payments Costs in Australia, December 2014, p. 17.</w:t>
      </w:r>
    </w:p>
  </w:footnote>
  <w:footnote w:id="18">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31.</w:t>
      </w:r>
    </w:p>
  </w:footnote>
  <w:footnote w:id="19">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32. </w:t>
      </w:r>
    </w:p>
  </w:footnote>
  <w:footnote w:id="20">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The only non-surcharged payment method offered by Tiger is Debit MasterCard</w:t>
      </w:r>
      <w:r>
        <w:rPr>
          <w:rFonts w:ascii="Arial" w:hAnsi="Arial" w:cs="Arial"/>
          <w:szCs w:val="18"/>
        </w:rPr>
        <w:t xml:space="preserve"> payments</w:t>
      </w:r>
      <w:r w:rsidRPr="009B5922">
        <w:rPr>
          <w:rFonts w:ascii="Arial" w:hAnsi="Arial" w:cs="Arial"/>
          <w:szCs w:val="18"/>
        </w:rPr>
        <w:t>: Review of Card Payments Regulation - Issues Paper, p. 32.</w:t>
      </w:r>
    </w:p>
  </w:footnote>
  <w:footnote w:id="21">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w:t>
      </w:r>
      <w:r w:rsidRPr="009B5922">
        <w:rPr>
          <w:rStyle w:val="Strong"/>
          <w:rFonts w:ascii="Arial" w:hAnsi="Arial" w:cs="Arial"/>
          <w:b w:val="0"/>
          <w:szCs w:val="18"/>
        </w:rPr>
        <w:t>A 'service/delivery' fee is also separately charged, which can be up to $10.50 (as per the Ticketek website accessed on 23 April 2015)</w:t>
      </w:r>
      <w:r>
        <w:rPr>
          <w:rStyle w:val="Strong"/>
          <w:rFonts w:ascii="Arial" w:hAnsi="Arial" w:cs="Arial"/>
          <w:b w:val="0"/>
          <w:szCs w:val="18"/>
        </w:rPr>
        <w:t>.</w:t>
      </w:r>
    </w:p>
  </w:footnote>
  <w:footnote w:id="22">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See the recent example of Aldi supermarkets: Madeleine Heffernan, 'Aldi under fire on disclosure of credit card, tap-and-go fees', Sydney Morning Herald</w:t>
      </w:r>
      <w:r w:rsidRPr="009B5922">
        <w:rPr>
          <w:rFonts w:ascii="Arial" w:hAnsi="Arial" w:cs="Arial"/>
          <w:i/>
          <w:szCs w:val="18"/>
        </w:rPr>
        <w:t>,</w:t>
      </w:r>
      <w:r w:rsidRPr="009B5922">
        <w:rPr>
          <w:rFonts w:ascii="Arial" w:hAnsi="Arial" w:cs="Arial"/>
          <w:szCs w:val="18"/>
        </w:rPr>
        <w:t xml:space="preserve"> 23 April 2015, available at: </w:t>
      </w:r>
      <w:r w:rsidRPr="00086EC7">
        <w:rPr>
          <w:rFonts w:ascii="Arial" w:hAnsi="Arial" w:cs="Arial"/>
          <w:szCs w:val="18"/>
        </w:rPr>
        <w:t>http://www.smh.com.au/business/retail/aldi-under-fire-on-disclosure-of-credit-card-tapandgo-fees-20150422-1mp4wo.html</w:t>
      </w:r>
      <w:r w:rsidRPr="009B5922">
        <w:rPr>
          <w:rFonts w:ascii="Arial" w:hAnsi="Arial" w:cs="Arial"/>
          <w:szCs w:val="18"/>
        </w:rPr>
        <w:t>.</w:t>
      </w:r>
    </w:p>
  </w:footnote>
  <w:footnote w:id="23">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Australian Competition and Consumer Commission, Media Release: ACCC takes action against Jets</w:t>
      </w:r>
      <w:r>
        <w:rPr>
          <w:rFonts w:ascii="Arial" w:hAnsi="Arial" w:cs="Arial"/>
          <w:szCs w:val="18"/>
        </w:rPr>
        <w:t>t</w:t>
      </w:r>
      <w:r w:rsidRPr="009B5922">
        <w:rPr>
          <w:rFonts w:ascii="Arial" w:hAnsi="Arial" w:cs="Arial"/>
          <w:szCs w:val="18"/>
        </w:rPr>
        <w:t xml:space="preserve">ar and Virgin for drip pricing practices', 19 June 2014, available at: </w:t>
      </w:r>
      <w:r w:rsidRPr="00086EC7">
        <w:rPr>
          <w:rFonts w:ascii="Arial" w:hAnsi="Arial" w:cs="Arial"/>
          <w:szCs w:val="18"/>
        </w:rPr>
        <w:t>http://www.accc.gov.au/media-release/accc-takes-action-against-jetstar-and-virgin-for-drip-pricing-practices</w:t>
      </w:r>
      <w:r w:rsidRPr="009B5922">
        <w:rPr>
          <w:rFonts w:ascii="Arial" w:hAnsi="Arial" w:cs="Arial"/>
          <w:szCs w:val="18"/>
        </w:rPr>
        <w:t xml:space="preserve">. </w:t>
      </w:r>
    </w:p>
  </w:footnote>
  <w:footnote w:id="24">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28.</w:t>
      </w:r>
    </w:p>
  </w:footnote>
  <w:footnote w:id="25">
    <w:p w:rsidR="00BF3DCD" w:rsidRPr="009B5922" w:rsidRDefault="00BF3DCD" w:rsidP="009B5922">
      <w:pPr>
        <w:pStyle w:val="FootnoteText"/>
        <w:rPr>
          <w:rFonts w:ascii="Arial" w:hAnsi="Arial" w:cs="Arial"/>
          <w:szCs w:val="18"/>
        </w:rPr>
      </w:pPr>
      <w:r w:rsidRPr="009B5922">
        <w:rPr>
          <w:rStyle w:val="FootnoteReference"/>
          <w:rFonts w:ascii="Arial" w:hAnsi="Arial" w:cs="Arial"/>
          <w:szCs w:val="18"/>
        </w:rPr>
        <w:footnoteRef/>
      </w:r>
      <w:r w:rsidRPr="009B5922">
        <w:rPr>
          <w:rFonts w:ascii="Arial" w:hAnsi="Arial" w:cs="Arial"/>
          <w:szCs w:val="18"/>
        </w:rPr>
        <w:t xml:space="preserve"> Review of Card Payments Regulation - Issues Paper, p. 26.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DCD" w:rsidRDefault="00BF3D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DCD" w:rsidRDefault="00BF3DC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DCD" w:rsidRDefault="00BF3D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32A40"/>
    <w:multiLevelType w:val="hybridMultilevel"/>
    <w:tmpl w:val="431044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0057BD"/>
    <w:multiLevelType w:val="hybridMultilevel"/>
    <w:tmpl w:val="4FDAE7F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D8D1328"/>
    <w:multiLevelType w:val="hybridMultilevel"/>
    <w:tmpl w:val="009E00B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C4E19C0"/>
    <w:multiLevelType w:val="hybridMultilevel"/>
    <w:tmpl w:val="3E1662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F94264D"/>
    <w:multiLevelType w:val="hybridMultilevel"/>
    <w:tmpl w:val="40B4CB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0E111F6"/>
    <w:multiLevelType w:val="hybridMultilevel"/>
    <w:tmpl w:val="7842ED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63A3F2D"/>
    <w:multiLevelType w:val="hybridMultilevel"/>
    <w:tmpl w:val="BD2A833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2D7761ED"/>
    <w:multiLevelType w:val="hybridMultilevel"/>
    <w:tmpl w:val="2182BD0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nsid w:val="31FD01E4"/>
    <w:multiLevelType w:val="hybridMultilevel"/>
    <w:tmpl w:val="6DFAAF0E"/>
    <w:lvl w:ilvl="0" w:tplc="0C09000F">
      <w:start w:val="1"/>
      <w:numFmt w:val="decimal"/>
      <w:lvlText w:val="%1."/>
      <w:lvlJc w:val="left"/>
      <w:pPr>
        <w:tabs>
          <w:tab w:val="num" w:pos="360"/>
        </w:tabs>
        <w:ind w:left="360" w:hanging="360"/>
      </w:pPr>
      <w:rPr>
        <w:rFonts w:cs="Times New Roman"/>
      </w:rPr>
    </w:lvl>
    <w:lvl w:ilvl="1" w:tplc="0C090019" w:tentative="1">
      <w:start w:val="1"/>
      <w:numFmt w:val="lowerLetter"/>
      <w:lvlText w:val="%2."/>
      <w:lvlJc w:val="left"/>
      <w:pPr>
        <w:tabs>
          <w:tab w:val="num" w:pos="1080"/>
        </w:tabs>
        <w:ind w:left="1080" w:hanging="360"/>
      </w:pPr>
      <w:rPr>
        <w:rFonts w:cs="Times New Roman"/>
      </w:rPr>
    </w:lvl>
    <w:lvl w:ilvl="2" w:tplc="0C09001B" w:tentative="1">
      <w:start w:val="1"/>
      <w:numFmt w:val="lowerRoman"/>
      <w:lvlText w:val="%3."/>
      <w:lvlJc w:val="right"/>
      <w:pPr>
        <w:tabs>
          <w:tab w:val="num" w:pos="1800"/>
        </w:tabs>
        <w:ind w:left="1800" w:hanging="180"/>
      </w:pPr>
      <w:rPr>
        <w:rFonts w:cs="Times New Roman"/>
      </w:rPr>
    </w:lvl>
    <w:lvl w:ilvl="3" w:tplc="0C09000F" w:tentative="1">
      <w:start w:val="1"/>
      <w:numFmt w:val="decimal"/>
      <w:lvlText w:val="%4."/>
      <w:lvlJc w:val="left"/>
      <w:pPr>
        <w:tabs>
          <w:tab w:val="num" w:pos="2520"/>
        </w:tabs>
        <w:ind w:left="2520" w:hanging="360"/>
      </w:pPr>
      <w:rPr>
        <w:rFonts w:cs="Times New Roman"/>
      </w:rPr>
    </w:lvl>
    <w:lvl w:ilvl="4" w:tplc="0C090019" w:tentative="1">
      <w:start w:val="1"/>
      <w:numFmt w:val="lowerLetter"/>
      <w:lvlText w:val="%5."/>
      <w:lvlJc w:val="left"/>
      <w:pPr>
        <w:tabs>
          <w:tab w:val="num" w:pos="3240"/>
        </w:tabs>
        <w:ind w:left="3240" w:hanging="360"/>
      </w:pPr>
      <w:rPr>
        <w:rFonts w:cs="Times New Roman"/>
      </w:rPr>
    </w:lvl>
    <w:lvl w:ilvl="5" w:tplc="0C09001B" w:tentative="1">
      <w:start w:val="1"/>
      <w:numFmt w:val="lowerRoman"/>
      <w:lvlText w:val="%6."/>
      <w:lvlJc w:val="right"/>
      <w:pPr>
        <w:tabs>
          <w:tab w:val="num" w:pos="3960"/>
        </w:tabs>
        <w:ind w:left="3960" w:hanging="180"/>
      </w:pPr>
      <w:rPr>
        <w:rFonts w:cs="Times New Roman"/>
      </w:rPr>
    </w:lvl>
    <w:lvl w:ilvl="6" w:tplc="0C09000F" w:tentative="1">
      <w:start w:val="1"/>
      <w:numFmt w:val="decimal"/>
      <w:lvlText w:val="%7."/>
      <w:lvlJc w:val="left"/>
      <w:pPr>
        <w:tabs>
          <w:tab w:val="num" w:pos="4680"/>
        </w:tabs>
        <w:ind w:left="4680" w:hanging="360"/>
      </w:pPr>
      <w:rPr>
        <w:rFonts w:cs="Times New Roman"/>
      </w:rPr>
    </w:lvl>
    <w:lvl w:ilvl="7" w:tplc="0C090019" w:tentative="1">
      <w:start w:val="1"/>
      <w:numFmt w:val="lowerLetter"/>
      <w:lvlText w:val="%8."/>
      <w:lvlJc w:val="left"/>
      <w:pPr>
        <w:tabs>
          <w:tab w:val="num" w:pos="5400"/>
        </w:tabs>
        <w:ind w:left="5400" w:hanging="360"/>
      </w:pPr>
      <w:rPr>
        <w:rFonts w:cs="Times New Roman"/>
      </w:rPr>
    </w:lvl>
    <w:lvl w:ilvl="8" w:tplc="0C09001B" w:tentative="1">
      <w:start w:val="1"/>
      <w:numFmt w:val="lowerRoman"/>
      <w:lvlText w:val="%9."/>
      <w:lvlJc w:val="right"/>
      <w:pPr>
        <w:tabs>
          <w:tab w:val="num" w:pos="6120"/>
        </w:tabs>
        <w:ind w:left="6120" w:hanging="180"/>
      </w:pPr>
      <w:rPr>
        <w:rFonts w:cs="Times New Roman"/>
      </w:rPr>
    </w:lvl>
  </w:abstractNum>
  <w:abstractNum w:abstractNumId="9">
    <w:nsid w:val="39676CE0"/>
    <w:multiLevelType w:val="hybridMultilevel"/>
    <w:tmpl w:val="FCC4A4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C6B2064"/>
    <w:multiLevelType w:val="hybridMultilevel"/>
    <w:tmpl w:val="83E08D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03161B6"/>
    <w:multiLevelType w:val="hybridMultilevel"/>
    <w:tmpl w:val="A22017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9C12896"/>
    <w:multiLevelType w:val="hybridMultilevel"/>
    <w:tmpl w:val="697295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CFE7269"/>
    <w:multiLevelType w:val="hybridMultilevel"/>
    <w:tmpl w:val="0CB266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D7A0391"/>
    <w:multiLevelType w:val="hybridMultilevel"/>
    <w:tmpl w:val="0AF6E4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1184C50"/>
    <w:multiLevelType w:val="hybridMultilevel"/>
    <w:tmpl w:val="BC5A75C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51365637"/>
    <w:multiLevelType w:val="hybridMultilevel"/>
    <w:tmpl w:val="AC34DB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58725A9E"/>
    <w:multiLevelType w:val="hybridMultilevel"/>
    <w:tmpl w:val="5A2C9F3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8">
    <w:nsid w:val="5B797439"/>
    <w:multiLevelType w:val="hybridMultilevel"/>
    <w:tmpl w:val="E46C899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612521C7"/>
    <w:multiLevelType w:val="hybridMultilevel"/>
    <w:tmpl w:val="888ABA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6364381D"/>
    <w:multiLevelType w:val="hybridMultilevel"/>
    <w:tmpl w:val="8AFE92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68F71302"/>
    <w:multiLevelType w:val="hybridMultilevel"/>
    <w:tmpl w:val="EDC07F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AB96994"/>
    <w:multiLevelType w:val="hybridMultilevel"/>
    <w:tmpl w:val="6BCA9F8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3">
    <w:nsid w:val="7F912ECD"/>
    <w:multiLevelType w:val="hybridMultilevel"/>
    <w:tmpl w:val="357E89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3"/>
  </w:num>
  <w:num w:numId="2">
    <w:abstractNumId w:val="2"/>
  </w:num>
  <w:num w:numId="3">
    <w:abstractNumId w:val="0"/>
  </w:num>
  <w:num w:numId="4">
    <w:abstractNumId w:val="18"/>
  </w:num>
  <w:num w:numId="5">
    <w:abstractNumId w:val="5"/>
  </w:num>
  <w:num w:numId="6">
    <w:abstractNumId w:val="3"/>
  </w:num>
  <w:num w:numId="7">
    <w:abstractNumId w:val="16"/>
  </w:num>
  <w:num w:numId="8">
    <w:abstractNumId w:val="11"/>
  </w:num>
  <w:num w:numId="9">
    <w:abstractNumId w:val="20"/>
  </w:num>
  <w:num w:numId="10">
    <w:abstractNumId w:val="21"/>
  </w:num>
  <w:num w:numId="11">
    <w:abstractNumId w:val="17"/>
  </w:num>
  <w:num w:numId="12">
    <w:abstractNumId w:val="8"/>
  </w:num>
  <w:num w:numId="13">
    <w:abstractNumId w:val="7"/>
  </w:num>
  <w:num w:numId="14">
    <w:abstractNumId w:val="14"/>
  </w:num>
  <w:num w:numId="15">
    <w:abstractNumId w:val="12"/>
  </w:num>
  <w:num w:numId="16">
    <w:abstractNumId w:val="9"/>
  </w:num>
  <w:num w:numId="17">
    <w:abstractNumId w:val="6"/>
  </w:num>
  <w:num w:numId="18">
    <w:abstractNumId w:val="4"/>
  </w:num>
  <w:num w:numId="19">
    <w:abstractNumId w:val="13"/>
  </w:num>
  <w:num w:numId="20">
    <w:abstractNumId w:val="22"/>
  </w:num>
  <w:num w:numId="21">
    <w:abstractNumId w:val="10"/>
  </w:num>
  <w:num w:numId="22">
    <w:abstractNumId w:val="1"/>
  </w:num>
  <w:num w:numId="23">
    <w:abstractNumId w:val="19"/>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DEF"/>
    <w:rsid w:val="000015E2"/>
    <w:rsid w:val="000159D2"/>
    <w:rsid w:val="00030C16"/>
    <w:rsid w:val="00030F8E"/>
    <w:rsid w:val="000333B5"/>
    <w:rsid w:val="00041C78"/>
    <w:rsid w:val="00054655"/>
    <w:rsid w:val="00056B9D"/>
    <w:rsid w:val="00060BD6"/>
    <w:rsid w:val="0007715A"/>
    <w:rsid w:val="00080D4C"/>
    <w:rsid w:val="000859CC"/>
    <w:rsid w:val="00086EC7"/>
    <w:rsid w:val="00096C7C"/>
    <w:rsid w:val="000974D1"/>
    <w:rsid w:val="000B3EEF"/>
    <w:rsid w:val="000C0023"/>
    <w:rsid w:val="000C2110"/>
    <w:rsid w:val="000C5202"/>
    <w:rsid w:val="000D7587"/>
    <w:rsid w:val="000E1F15"/>
    <w:rsid w:val="000F5A66"/>
    <w:rsid w:val="000F7B0D"/>
    <w:rsid w:val="0011097F"/>
    <w:rsid w:val="00112715"/>
    <w:rsid w:val="001144BB"/>
    <w:rsid w:val="00132FF8"/>
    <w:rsid w:val="00161FA7"/>
    <w:rsid w:val="00164D8B"/>
    <w:rsid w:val="00182856"/>
    <w:rsid w:val="001958BD"/>
    <w:rsid w:val="001A71DA"/>
    <w:rsid w:val="001B750E"/>
    <w:rsid w:val="001C138A"/>
    <w:rsid w:val="001C3010"/>
    <w:rsid w:val="001C6361"/>
    <w:rsid w:val="001D05E6"/>
    <w:rsid w:val="001D66CA"/>
    <w:rsid w:val="00206A97"/>
    <w:rsid w:val="00222A53"/>
    <w:rsid w:val="0024040C"/>
    <w:rsid w:val="00245D7E"/>
    <w:rsid w:val="00246347"/>
    <w:rsid w:val="00252896"/>
    <w:rsid w:val="00254F91"/>
    <w:rsid w:val="002557EE"/>
    <w:rsid w:val="00265C7D"/>
    <w:rsid w:val="00266DD0"/>
    <w:rsid w:val="002B6A3B"/>
    <w:rsid w:val="002B7067"/>
    <w:rsid w:val="002C0517"/>
    <w:rsid w:val="002C24D7"/>
    <w:rsid w:val="002C4DDC"/>
    <w:rsid w:val="002E2043"/>
    <w:rsid w:val="002F5419"/>
    <w:rsid w:val="0030765E"/>
    <w:rsid w:val="00327807"/>
    <w:rsid w:val="003507F6"/>
    <w:rsid w:val="00351351"/>
    <w:rsid w:val="0035282A"/>
    <w:rsid w:val="00366FEE"/>
    <w:rsid w:val="00375022"/>
    <w:rsid w:val="0038269E"/>
    <w:rsid w:val="003923F9"/>
    <w:rsid w:val="00396479"/>
    <w:rsid w:val="003A55DD"/>
    <w:rsid w:val="003A58DA"/>
    <w:rsid w:val="003A64E1"/>
    <w:rsid w:val="003B39AC"/>
    <w:rsid w:val="003C377F"/>
    <w:rsid w:val="003D4922"/>
    <w:rsid w:val="003D52A2"/>
    <w:rsid w:val="003D77B8"/>
    <w:rsid w:val="003E2755"/>
    <w:rsid w:val="003E65C3"/>
    <w:rsid w:val="003E7D41"/>
    <w:rsid w:val="004006D2"/>
    <w:rsid w:val="00403EC1"/>
    <w:rsid w:val="0040672A"/>
    <w:rsid w:val="00407D3D"/>
    <w:rsid w:val="00413D04"/>
    <w:rsid w:val="00416039"/>
    <w:rsid w:val="0042322E"/>
    <w:rsid w:val="00424855"/>
    <w:rsid w:val="00430B7A"/>
    <w:rsid w:val="004314DA"/>
    <w:rsid w:val="004424DD"/>
    <w:rsid w:val="00442916"/>
    <w:rsid w:val="00447183"/>
    <w:rsid w:val="004865A5"/>
    <w:rsid w:val="004A3D4C"/>
    <w:rsid w:val="004B1473"/>
    <w:rsid w:val="004B7CCE"/>
    <w:rsid w:val="004C1094"/>
    <w:rsid w:val="004C15FE"/>
    <w:rsid w:val="004C4215"/>
    <w:rsid w:val="004D5716"/>
    <w:rsid w:val="004E71D1"/>
    <w:rsid w:val="005054D6"/>
    <w:rsid w:val="005122D6"/>
    <w:rsid w:val="005123B9"/>
    <w:rsid w:val="0052399B"/>
    <w:rsid w:val="00565CA0"/>
    <w:rsid w:val="00566FB4"/>
    <w:rsid w:val="00582399"/>
    <w:rsid w:val="00595043"/>
    <w:rsid w:val="00596A39"/>
    <w:rsid w:val="00596A8C"/>
    <w:rsid w:val="005C091B"/>
    <w:rsid w:val="005D2EC6"/>
    <w:rsid w:val="005E10EA"/>
    <w:rsid w:val="005E6604"/>
    <w:rsid w:val="005F58A8"/>
    <w:rsid w:val="00603BB1"/>
    <w:rsid w:val="00616D31"/>
    <w:rsid w:val="00626C07"/>
    <w:rsid w:val="0065262D"/>
    <w:rsid w:val="00674D81"/>
    <w:rsid w:val="006766C5"/>
    <w:rsid w:val="006777C7"/>
    <w:rsid w:val="00684EBD"/>
    <w:rsid w:val="00692BD2"/>
    <w:rsid w:val="006A3F5A"/>
    <w:rsid w:val="006C56AE"/>
    <w:rsid w:val="006D02C1"/>
    <w:rsid w:val="006D0C0D"/>
    <w:rsid w:val="006D0EB1"/>
    <w:rsid w:val="006E1028"/>
    <w:rsid w:val="006E1C16"/>
    <w:rsid w:val="006E2273"/>
    <w:rsid w:val="006E28BB"/>
    <w:rsid w:val="007029F3"/>
    <w:rsid w:val="0070491E"/>
    <w:rsid w:val="007179F0"/>
    <w:rsid w:val="0072689E"/>
    <w:rsid w:val="007356A8"/>
    <w:rsid w:val="0073777A"/>
    <w:rsid w:val="00747A7B"/>
    <w:rsid w:val="0075485C"/>
    <w:rsid w:val="007752A5"/>
    <w:rsid w:val="00782689"/>
    <w:rsid w:val="007832E3"/>
    <w:rsid w:val="00786D34"/>
    <w:rsid w:val="00786EC0"/>
    <w:rsid w:val="00791A69"/>
    <w:rsid w:val="00792E26"/>
    <w:rsid w:val="007A7EB3"/>
    <w:rsid w:val="007B04CB"/>
    <w:rsid w:val="007B1B8F"/>
    <w:rsid w:val="007C7600"/>
    <w:rsid w:val="007D06F1"/>
    <w:rsid w:val="007E1A6F"/>
    <w:rsid w:val="00816E3B"/>
    <w:rsid w:val="00820599"/>
    <w:rsid w:val="00831CC1"/>
    <w:rsid w:val="008426C2"/>
    <w:rsid w:val="0085057F"/>
    <w:rsid w:val="008518CE"/>
    <w:rsid w:val="008611A4"/>
    <w:rsid w:val="00861696"/>
    <w:rsid w:val="00864F2B"/>
    <w:rsid w:val="00874DAE"/>
    <w:rsid w:val="0087787A"/>
    <w:rsid w:val="008A2939"/>
    <w:rsid w:val="008A74FE"/>
    <w:rsid w:val="008B4A7D"/>
    <w:rsid w:val="008B556E"/>
    <w:rsid w:val="008B6DD0"/>
    <w:rsid w:val="008D4AC3"/>
    <w:rsid w:val="008E125D"/>
    <w:rsid w:val="008E5776"/>
    <w:rsid w:val="008F1B7F"/>
    <w:rsid w:val="009032BB"/>
    <w:rsid w:val="0091176F"/>
    <w:rsid w:val="009127D8"/>
    <w:rsid w:val="00933671"/>
    <w:rsid w:val="0093597C"/>
    <w:rsid w:val="0093726D"/>
    <w:rsid w:val="00937BDD"/>
    <w:rsid w:val="00960E2E"/>
    <w:rsid w:val="00961EAA"/>
    <w:rsid w:val="009646FA"/>
    <w:rsid w:val="00966D6C"/>
    <w:rsid w:val="009735D9"/>
    <w:rsid w:val="00981A0C"/>
    <w:rsid w:val="0098560D"/>
    <w:rsid w:val="00985FDF"/>
    <w:rsid w:val="009A25B3"/>
    <w:rsid w:val="009B5922"/>
    <w:rsid w:val="009D0CFD"/>
    <w:rsid w:val="009E3C81"/>
    <w:rsid w:val="009F2A7C"/>
    <w:rsid w:val="009F43C5"/>
    <w:rsid w:val="009F457B"/>
    <w:rsid w:val="009F5378"/>
    <w:rsid w:val="00A2040D"/>
    <w:rsid w:val="00A22207"/>
    <w:rsid w:val="00A26672"/>
    <w:rsid w:val="00A3545E"/>
    <w:rsid w:val="00A51FA3"/>
    <w:rsid w:val="00A712C4"/>
    <w:rsid w:val="00A85999"/>
    <w:rsid w:val="00A86B27"/>
    <w:rsid w:val="00AA1BE3"/>
    <w:rsid w:val="00AB22A6"/>
    <w:rsid w:val="00AB7E08"/>
    <w:rsid w:val="00AE2675"/>
    <w:rsid w:val="00AE3A36"/>
    <w:rsid w:val="00B00B5B"/>
    <w:rsid w:val="00B02363"/>
    <w:rsid w:val="00B041E6"/>
    <w:rsid w:val="00B16B4B"/>
    <w:rsid w:val="00B34009"/>
    <w:rsid w:val="00B458FB"/>
    <w:rsid w:val="00B643C1"/>
    <w:rsid w:val="00B858DC"/>
    <w:rsid w:val="00B95D24"/>
    <w:rsid w:val="00BA1E12"/>
    <w:rsid w:val="00BA6213"/>
    <w:rsid w:val="00BA7920"/>
    <w:rsid w:val="00BD3726"/>
    <w:rsid w:val="00BF08AE"/>
    <w:rsid w:val="00BF3DCD"/>
    <w:rsid w:val="00BF4A4D"/>
    <w:rsid w:val="00C057E4"/>
    <w:rsid w:val="00C1210B"/>
    <w:rsid w:val="00C12FFD"/>
    <w:rsid w:val="00C256A5"/>
    <w:rsid w:val="00C26DB6"/>
    <w:rsid w:val="00C607B3"/>
    <w:rsid w:val="00C66408"/>
    <w:rsid w:val="00C66733"/>
    <w:rsid w:val="00CB1C87"/>
    <w:rsid w:val="00CB3388"/>
    <w:rsid w:val="00CB5A22"/>
    <w:rsid w:val="00CB7DFD"/>
    <w:rsid w:val="00CC7A6A"/>
    <w:rsid w:val="00CD2F8F"/>
    <w:rsid w:val="00CD3657"/>
    <w:rsid w:val="00CD79D4"/>
    <w:rsid w:val="00CE4078"/>
    <w:rsid w:val="00CE54AD"/>
    <w:rsid w:val="00CF1BF0"/>
    <w:rsid w:val="00CF301A"/>
    <w:rsid w:val="00D1228F"/>
    <w:rsid w:val="00D179A6"/>
    <w:rsid w:val="00D2088C"/>
    <w:rsid w:val="00D2140A"/>
    <w:rsid w:val="00D36C33"/>
    <w:rsid w:val="00D537CF"/>
    <w:rsid w:val="00D55586"/>
    <w:rsid w:val="00D60535"/>
    <w:rsid w:val="00D60F3C"/>
    <w:rsid w:val="00D67A79"/>
    <w:rsid w:val="00D731C0"/>
    <w:rsid w:val="00D74CB0"/>
    <w:rsid w:val="00D80BD8"/>
    <w:rsid w:val="00D8669D"/>
    <w:rsid w:val="00D91A8A"/>
    <w:rsid w:val="00DA648D"/>
    <w:rsid w:val="00DB455D"/>
    <w:rsid w:val="00DB62BB"/>
    <w:rsid w:val="00DC5621"/>
    <w:rsid w:val="00DE29C4"/>
    <w:rsid w:val="00DE5DF7"/>
    <w:rsid w:val="00DF0DEF"/>
    <w:rsid w:val="00DF64FF"/>
    <w:rsid w:val="00E04D11"/>
    <w:rsid w:val="00E05975"/>
    <w:rsid w:val="00E20F84"/>
    <w:rsid w:val="00E25EC7"/>
    <w:rsid w:val="00E3107F"/>
    <w:rsid w:val="00E36049"/>
    <w:rsid w:val="00E66CA9"/>
    <w:rsid w:val="00E70925"/>
    <w:rsid w:val="00E71C71"/>
    <w:rsid w:val="00E83572"/>
    <w:rsid w:val="00E962BA"/>
    <w:rsid w:val="00EA2207"/>
    <w:rsid w:val="00EA51FA"/>
    <w:rsid w:val="00EA70BF"/>
    <w:rsid w:val="00EB147E"/>
    <w:rsid w:val="00EC1D56"/>
    <w:rsid w:val="00F266F9"/>
    <w:rsid w:val="00F27B23"/>
    <w:rsid w:val="00F437E1"/>
    <w:rsid w:val="00F509C8"/>
    <w:rsid w:val="00F57721"/>
    <w:rsid w:val="00F73F48"/>
    <w:rsid w:val="00F9118C"/>
    <w:rsid w:val="00F962FB"/>
    <w:rsid w:val="00FA5F4C"/>
    <w:rsid w:val="00FB343C"/>
    <w:rsid w:val="00FD5280"/>
    <w:rsid w:val="00FF18A5"/>
    <w:rsid w:val="00FF58A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479"/>
    <w:pPr>
      <w:spacing w:after="200" w:line="276" w:lineRule="auto"/>
    </w:pPr>
    <w:rPr>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DF0DEF"/>
    <w:rPr>
      <w:lang w:eastAsia="zh-CN"/>
    </w:rPr>
  </w:style>
  <w:style w:type="paragraph" w:customStyle="1" w:styleId="ecxmsonormal">
    <w:name w:val="ecxmsonormal"/>
    <w:basedOn w:val="Normal"/>
    <w:uiPriority w:val="99"/>
    <w:rsid w:val="00DF0DEF"/>
    <w:pPr>
      <w:spacing w:before="100" w:beforeAutospacing="1" w:after="100" w:afterAutospacing="1" w:line="240" w:lineRule="auto"/>
    </w:pPr>
    <w:rPr>
      <w:rFonts w:ascii="Times New Roman" w:hAnsi="Times New Roman"/>
      <w:sz w:val="24"/>
      <w:szCs w:val="24"/>
    </w:rPr>
  </w:style>
  <w:style w:type="paragraph" w:styleId="Header">
    <w:name w:val="header"/>
    <w:basedOn w:val="Normal"/>
    <w:link w:val="HeaderChar"/>
    <w:uiPriority w:val="99"/>
    <w:semiHidden/>
    <w:rsid w:val="00786EC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786EC0"/>
    <w:rPr>
      <w:rFonts w:cs="Times New Roman"/>
    </w:rPr>
  </w:style>
  <w:style w:type="paragraph" w:styleId="Footer">
    <w:name w:val="footer"/>
    <w:basedOn w:val="Normal"/>
    <w:link w:val="FooterChar"/>
    <w:uiPriority w:val="99"/>
    <w:rsid w:val="00786EC0"/>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786EC0"/>
    <w:rPr>
      <w:rFonts w:cs="Times New Roman"/>
    </w:rPr>
  </w:style>
  <w:style w:type="character" w:styleId="Hyperlink">
    <w:name w:val="Hyperlink"/>
    <w:basedOn w:val="DefaultParagraphFont"/>
    <w:unhideWhenUsed/>
    <w:rsid w:val="008B4A7D"/>
    <w:rPr>
      <w:color w:val="0000FF"/>
      <w:u w:val="single"/>
    </w:rPr>
  </w:style>
  <w:style w:type="character" w:customStyle="1" w:styleId="apple-converted-space">
    <w:name w:val="apple-converted-space"/>
    <w:basedOn w:val="DefaultParagraphFont"/>
    <w:rsid w:val="00981A0C"/>
  </w:style>
  <w:style w:type="paragraph" w:styleId="NormalWeb">
    <w:name w:val="Normal (Web)"/>
    <w:basedOn w:val="Normal"/>
    <w:uiPriority w:val="99"/>
    <w:semiHidden/>
    <w:unhideWhenUsed/>
    <w:rsid w:val="00265C7D"/>
    <w:pPr>
      <w:spacing w:before="100" w:beforeAutospacing="1" w:after="100" w:afterAutospacing="1" w:line="240" w:lineRule="auto"/>
    </w:pPr>
    <w:rPr>
      <w:rFonts w:ascii="Times New Roman" w:eastAsia="Times New Roman" w:hAnsi="Times New Roman"/>
      <w:sz w:val="24"/>
      <w:szCs w:val="24"/>
      <w:lang w:eastAsia="en-AU"/>
    </w:rPr>
  </w:style>
  <w:style w:type="table" w:styleId="TableGrid">
    <w:name w:val="Table Grid"/>
    <w:basedOn w:val="TableNormal"/>
    <w:locked/>
    <w:rsid w:val="00AB2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1C71"/>
    <w:pPr>
      <w:ind w:left="720"/>
      <w:contextualSpacing/>
    </w:pPr>
  </w:style>
  <w:style w:type="paragraph" w:styleId="FootnoteText">
    <w:name w:val="footnote text"/>
    <w:basedOn w:val="Normal"/>
    <w:link w:val="FootnoteTextChar"/>
    <w:uiPriority w:val="99"/>
    <w:unhideWhenUsed/>
    <w:rsid w:val="00985FDF"/>
    <w:pPr>
      <w:spacing w:after="0" w:line="240" w:lineRule="auto"/>
    </w:pPr>
    <w:rPr>
      <w:sz w:val="20"/>
      <w:szCs w:val="20"/>
    </w:rPr>
  </w:style>
  <w:style w:type="character" w:customStyle="1" w:styleId="FootnoteTextChar">
    <w:name w:val="Footnote Text Char"/>
    <w:basedOn w:val="DefaultParagraphFont"/>
    <w:link w:val="FootnoteText"/>
    <w:uiPriority w:val="99"/>
    <w:rsid w:val="00985FDF"/>
    <w:rPr>
      <w:sz w:val="20"/>
      <w:szCs w:val="20"/>
      <w:lang w:eastAsia="zh-CN"/>
    </w:rPr>
  </w:style>
  <w:style w:type="character" w:styleId="FootnoteReference">
    <w:name w:val="footnote reference"/>
    <w:basedOn w:val="DefaultParagraphFont"/>
    <w:uiPriority w:val="99"/>
    <w:unhideWhenUsed/>
    <w:rsid w:val="00985FDF"/>
    <w:rPr>
      <w:vertAlign w:val="superscript"/>
    </w:rPr>
  </w:style>
  <w:style w:type="character" w:styleId="CommentReference">
    <w:name w:val="annotation reference"/>
    <w:basedOn w:val="DefaultParagraphFont"/>
    <w:uiPriority w:val="99"/>
    <w:semiHidden/>
    <w:unhideWhenUsed/>
    <w:rsid w:val="00BF08AE"/>
    <w:rPr>
      <w:sz w:val="16"/>
      <w:szCs w:val="16"/>
    </w:rPr>
  </w:style>
  <w:style w:type="paragraph" w:styleId="CommentText">
    <w:name w:val="annotation text"/>
    <w:basedOn w:val="Normal"/>
    <w:link w:val="CommentTextChar"/>
    <w:uiPriority w:val="99"/>
    <w:semiHidden/>
    <w:unhideWhenUsed/>
    <w:rsid w:val="00BF08AE"/>
    <w:pPr>
      <w:spacing w:line="240" w:lineRule="auto"/>
    </w:pPr>
    <w:rPr>
      <w:sz w:val="20"/>
      <w:szCs w:val="20"/>
    </w:rPr>
  </w:style>
  <w:style w:type="character" w:customStyle="1" w:styleId="CommentTextChar">
    <w:name w:val="Comment Text Char"/>
    <w:basedOn w:val="DefaultParagraphFont"/>
    <w:link w:val="CommentText"/>
    <w:uiPriority w:val="99"/>
    <w:semiHidden/>
    <w:rsid w:val="00BF08AE"/>
    <w:rPr>
      <w:sz w:val="20"/>
      <w:szCs w:val="20"/>
      <w:lang w:eastAsia="zh-CN"/>
    </w:rPr>
  </w:style>
  <w:style w:type="paragraph" w:styleId="CommentSubject">
    <w:name w:val="annotation subject"/>
    <w:basedOn w:val="CommentText"/>
    <w:next w:val="CommentText"/>
    <w:link w:val="CommentSubjectChar"/>
    <w:uiPriority w:val="99"/>
    <w:semiHidden/>
    <w:unhideWhenUsed/>
    <w:rsid w:val="00BF08AE"/>
    <w:rPr>
      <w:b/>
      <w:bCs/>
    </w:rPr>
  </w:style>
  <w:style w:type="character" w:customStyle="1" w:styleId="CommentSubjectChar">
    <w:name w:val="Comment Subject Char"/>
    <w:basedOn w:val="CommentTextChar"/>
    <w:link w:val="CommentSubject"/>
    <w:uiPriority w:val="99"/>
    <w:semiHidden/>
    <w:rsid w:val="00BF08AE"/>
    <w:rPr>
      <w:b/>
      <w:bCs/>
      <w:sz w:val="20"/>
      <w:szCs w:val="20"/>
      <w:lang w:eastAsia="zh-CN"/>
    </w:rPr>
  </w:style>
  <w:style w:type="paragraph" w:styleId="BalloonText">
    <w:name w:val="Balloon Text"/>
    <w:basedOn w:val="Normal"/>
    <w:link w:val="BalloonTextChar"/>
    <w:uiPriority w:val="99"/>
    <w:semiHidden/>
    <w:unhideWhenUsed/>
    <w:rsid w:val="00BF08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8AE"/>
    <w:rPr>
      <w:rFonts w:ascii="Tahoma" w:hAnsi="Tahoma" w:cs="Tahoma"/>
      <w:sz w:val="16"/>
      <w:szCs w:val="16"/>
      <w:lang w:eastAsia="zh-CN"/>
    </w:rPr>
  </w:style>
  <w:style w:type="character" w:styleId="Strong">
    <w:name w:val="Strong"/>
    <w:basedOn w:val="DefaultParagraphFont"/>
    <w:uiPriority w:val="22"/>
    <w:qFormat/>
    <w:locked/>
    <w:rsid w:val="00D179A6"/>
    <w:rPr>
      <w:b/>
      <w:bCs/>
    </w:rPr>
  </w:style>
  <w:style w:type="character" w:styleId="FollowedHyperlink">
    <w:name w:val="FollowedHyperlink"/>
    <w:basedOn w:val="DefaultParagraphFont"/>
    <w:uiPriority w:val="99"/>
    <w:semiHidden/>
    <w:unhideWhenUsed/>
    <w:rsid w:val="00792E2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479"/>
    <w:pPr>
      <w:spacing w:after="200" w:line="276" w:lineRule="auto"/>
    </w:pPr>
    <w:rPr>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DF0DEF"/>
    <w:rPr>
      <w:lang w:eastAsia="zh-CN"/>
    </w:rPr>
  </w:style>
  <w:style w:type="paragraph" w:customStyle="1" w:styleId="ecxmsonormal">
    <w:name w:val="ecxmsonormal"/>
    <w:basedOn w:val="Normal"/>
    <w:uiPriority w:val="99"/>
    <w:rsid w:val="00DF0DEF"/>
    <w:pPr>
      <w:spacing w:before="100" w:beforeAutospacing="1" w:after="100" w:afterAutospacing="1" w:line="240" w:lineRule="auto"/>
    </w:pPr>
    <w:rPr>
      <w:rFonts w:ascii="Times New Roman" w:hAnsi="Times New Roman"/>
      <w:sz w:val="24"/>
      <w:szCs w:val="24"/>
    </w:rPr>
  </w:style>
  <w:style w:type="paragraph" w:styleId="Header">
    <w:name w:val="header"/>
    <w:basedOn w:val="Normal"/>
    <w:link w:val="HeaderChar"/>
    <w:uiPriority w:val="99"/>
    <w:semiHidden/>
    <w:rsid w:val="00786EC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786EC0"/>
    <w:rPr>
      <w:rFonts w:cs="Times New Roman"/>
    </w:rPr>
  </w:style>
  <w:style w:type="paragraph" w:styleId="Footer">
    <w:name w:val="footer"/>
    <w:basedOn w:val="Normal"/>
    <w:link w:val="FooterChar"/>
    <w:uiPriority w:val="99"/>
    <w:rsid w:val="00786EC0"/>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786EC0"/>
    <w:rPr>
      <w:rFonts w:cs="Times New Roman"/>
    </w:rPr>
  </w:style>
  <w:style w:type="character" w:styleId="Hyperlink">
    <w:name w:val="Hyperlink"/>
    <w:basedOn w:val="DefaultParagraphFont"/>
    <w:unhideWhenUsed/>
    <w:rsid w:val="008B4A7D"/>
    <w:rPr>
      <w:color w:val="0000FF"/>
      <w:u w:val="single"/>
    </w:rPr>
  </w:style>
  <w:style w:type="character" w:customStyle="1" w:styleId="apple-converted-space">
    <w:name w:val="apple-converted-space"/>
    <w:basedOn w:val="DefaultParagraphFont"/>
    <w:rsid w:val="00981A0C"/>
  </w:style>
  <w:style w:type="paragraph" w:styleId="NormalWeb">
    <w:name w:val="Normal (Web)"/>
    <w:basedOn w:val="Normal"/>
    <w:uiPriority w:val="99"/>
    <w:semiHidden/>
    <w:unhideWhenUsed/>
    <w:rsid w:val="00265C7D"/>
    <w:pPr>
      <w:spacing w:before="100" w:beforeAutospacing="1" w:after="100" w:afterAutospacing="1" w:line="240" w:lineRule="auto"/>
    </w:pPr>
    <w:rPr>
      <w:rFonts w:ascii="Times New Roman" w:eastAsia="Times New Roman" w:hAnsi="Times New Roman"/>
      <w:sz w:val="24"/>
      <w:szCs w:val="24"/>
      <w:lang w:eastAsia="en-AU"/>
    </w:rPr>
  </w:style>
  <w:style w:type="table" w:styleId="TableGrid">
    <w:name w:val="Table Grid"/>
    <w:basedOn w:val="TableNormal"/>
    <w:locked/>
    <w:rsid w:val="00AB2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1C71"/>
    <w:pPr>
      <w:ind w:left="720"/>
      <w:contextualSpacing/>
    </w:pPr>
  </w:style>
  <w:style w:type="paragraph" w:styleId="FootnoteText">
    <w:name w:val="footnote text"/>
    <w:basedOn w:val="Normal"/>
    <w:link w:val="FootnoteTextChar"/>
    <w:uiPriority w:val="99"/>
    <w:unhideWhenUsed/>
    <w:rsid w:val="00985FDF"/>
    <w:pPr>
      <w:spacing w:after="0" w:line="240" w:lineRule="auto"/>
    </w:pPr>
    <w:rPr>
      <w:sz w:val="20"/>
      <w:szCs w:val="20"/>
    </w:rPr>
  </w:style>
  <w:style w:type="character" w:customStyle="1" w:styleId="FootnoteTextChar">
    <w:name w:val="Footnote Text Char"/>
    <w:basedOn w:val="DefaultParagraphFont"/>
    <w:link w:val="FootnoteText"/>
    <w:uiPriority w:val="99"/>
    <w:rsid w:val="00985FDF"/>
    <w:rPr>
      <w:sz w:val="20"/>
      <w:szCs w:val="20"/>
      <w:lang w:eastAsia="zh-CN"/>
    </w:rPr>
  </w:style>
  <w:style w:type="character" w:styleId="FootnoteReference">
    <w:name w:val="footnote reference"/>
    <w:basedOn w:val="DefaultParagraphFont"/>
    <w:uiPriority w:val="99"/>
    <w:unhideWhenUsed/>
    <w:rsid w:val="00985FDF"/>
    <w:rPr>
      <w:vertAlign w:val="superscript"/>
    </w:rPr>
  </w:style>
  <w:style w:type="character" w:styleId="CommentReference">
    <w:name w:val="annotation reference"/>
    <w:basedOn w:val="DefaultParagraphFont"/>
    <w:uiPriority w:val="99"/>
    <w:semiHidden/>
    <w:unhideWhenUsed/>
    <w:rsid w:val="00BF08AE"/>
    <w:rPr>
      <w:sz w:val="16"/>
      <w:szCs w:val="16"/>
    </w:rPr>
  </w:style>
  <w:style w:type="paragraph" w:styleId="CommentText">
    <w:name w:val="annotation text"/>
    <w:basedOn w:val="Normal"/>
    <w:link w:val="CommentTextChar"/>
    <w:uiPriority w:val="99"/>
    <w:semiHidden/>
    <w:unhideWhenUsed/>
    <w:rsid w:val="00BF08AE"/>
    <w:pPr>
      <w:spacing w:line="240" w:lineRule="auto"/>
    </w:pPr>
    <w:rPr>
      <w:sz w:val="20"/>
      <w:szCs w:val="20"/>
    </w:rPr>
  </w:style>
  <w:style w:type="character" w:customStyle="1" w:styleId="CommentTextChar">
    <w:name w:val="Comment Text Char"/>
    <w:basedOn w:val="DefaultParagraphFont"/>
    <w:link w:val="CommentText"/>
    <w:uiPriority w:val="99"/>
    <w:semiHidden/>
    <w:rsid w:val="00BF08AE"/>
    <w:rPr>
      <w:sz w:val="20"/>
      <w:szCs w:val="20"/>
      <w:lang w:eastAsia="zh-CN"/>
    </w:rPr>
  </w:style>
  <w:style w:type="paragraph" w:styleId="CommentSubject">
    <w:name w:val="annotation subject"/>
    <w:basedOn w:val="CommentText"/>
    <w:next w:val="CommentText"/>
    <w:link w:val="CommentSubjectChar"/>
    <w:uiPriority w:val="99"/>
    <w:semiHidden/>
    <w:unhideWhenUsed/>
    <w:rsid w:val="00BF08AE"/>
    <w:rPr>
      <w:b/>
      <w:bCs/>
    </w:rPr>
  </w:style>
  <w:style w:type="character" w:customStyle="1" w:styleId="CommentSubjectChar">
    <w:name w:val="Comment Subject Char"/>
    <w:basedOn w:val="CommentTextChar"/>
    <w:link w:val="CommentSubject"/>
    <w:uiPriority w:val="99"/>
    <w:semiHidden/>
    <w:rsid w:val="00BF08AE"/>
    <w:rPr>
      <w:b/>
      <w:bCs/>
      <w:sz w:val="20"/>
      <w:szCs w:val="20"/>
      <w:lang w:eastAsia="zh-CN"/>
    </w:rPr>
  </w:style>
  <w:style w:type="paragraph" w:styleId="BalloonText">
    <w:name w:val="Balloon Text"/>
    <w:basedOn w:val="Normal"/>
    <w:link w:val="BalloonTextChar"/>
    <w:uiPriority w:val="99"/>
    <w:semiHidden/>
    <w:unhideWhenUsed/>
    <w:rsid w:val="00BF08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8AE"/>
    <w:rPr>
      <w:rFonts w:ascii="Tahoma" w:hAnsi="Tahoma" w:cs="Tahoma"/>
      <w:sz w:val="16"/>
      <w:szCs w:val="16"/>
      <w:lang w:eastAsia="zh-CN"/>
    </w:rPr>
  </w:style>
  <w:style w:type="character" w:styleId="Strong">
    <w:name w:val="Strong"/>
    <w:basedOn w:val="DefaultParagraphFont"/>
    <w:uiPriority w:val="22"/>
    <w:qFormat/>
    <w:locked/>
    <w:rsid w:val="00D179A6"/>
    <w:rPr>
      <w:b/>
      <w:bCs/>
    </w:rPr>
  </w:style>
  <w:style w:type="character" w:styleId="FollowedHyperlink">
    <w:name w:val="FollowedHyperlink"/>
    <w:basedOn w:val="DefaultParagraphFont"/>
    <w:uiPriority w:val="99"/>
    <w:semiHidden/>
    <w:unhideWhenUsed/>
    <w:rsid w:val="00792E2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343158">
      <w:bodyDiv w:val="1"/>
      <w:marLeft w:val="0"/>
      <w:marRight w:val="0"/>
      <w:marTop w:val="0"/>
      <w:marBottom w:val="0"/>
      <w:divBdr>
        <w:top w:val="none" w:sz="0" w:space="0" w:color="auto"/>
        <w:left w:val="none" w:sz="0" w:space="0" w:color="auto"/>
        <w:bottom w:val="none" w:sz="0" w:space="0" w:color="auto"/>
        <w:right w:val="none" w:sz="0" w:space="0" w:color="auto"/>
      </w:divBdr>
    </w:div>
    <w:div w:id="480002025">
      <w:bodyDiv w:val="1"/>
      <w:marLeft w:val="0"/>
      <w:marRight w:val="0"/>
      <w:marTop w:val="0"/>
      <w:marBottom w:val="0"/>
      <w:divBdr>
        <w:top w:val="none" w:sz="0" w:space="0" w:color="auto"/>
        <w:left w:val="none" w:sz="0" w:space="0" w:color="auto"/>
        <w:bottom w:val="none" w:sz="0" w:space="0" w:color="auto"/>
        <w:right w:val="none" w:sz="0" w:space="0" w:color="auto"/>
      </w:divBdr>
      <w:divsChild>
        <w:div w:id="2015843450">
          <w:marLeft w:val="0"/>
          <w:marRight w:val="0"/>
          <w:marTop w:val="0"/>
          <w:marBottom w:val="0"/>
          <w:divBdr>
            <w:top w:val="none" w:sz="0" w:space="0" w:color="auto"/>
            <w:left w:val="none" w:sz="0" w:space="0" w:color="auto"/>
            <w:bottom w:val="none" w:sz="0" w:space="0" w:color="auto"/>
            <w:right w:val="none" w:sz="0" w:space="0" w:color="auto"/>
          </w:divBdr>
        </w:div>
        <w:div w:id="2102287629">
          <w:marLeft w:val="0"/>
          <w:marRight w:val="0"/>
          <w:marTop w:val="0"/>
          <w:marBottom w:val="0"/>
          <w:divBdr>
            <w:top w:val="none" w:sz="0" w:space="0" w:color="auto"/>
            <w:left w:val="none" w:sz="0" w:space="0" w:color="auto"/>
            <w:bottom w:val="none" w:sz="0" w:space="0" w:color="auto"/>
            <w:right w:val="none" w:sz="0" w:space="0" w:color="auto"/>
          </w:divBdr>
        </w:div>
        <w:div w:id="1822379287">
          <w:marLeft w:val="0"/>
          <w:marRight w:val="0"/>
          <w:marTop w:val="0"/>
          <w:marBottom w:val="0"/>
          <w:divBdr>
            <w:top w:val="none" w:sz="0" w:space="0" w:color="auto"/>
            <w:left w:val="none" w:sz="0" w:space="0" w:color="auto"/>
            <w:bottom w:val="none" w:sz="0" w:space="0" w:color="auto"/>
            <w:right w:val="none" w:sz="0" w:space="0" w:color="auto"/>
          </w:divBdr>
        </w:div>
      </w:divsChild>
    </w:div>
    <w:div w:id="1717583899">
      <w:bodyDiv w:val="1"/>
      <w:marLeft w:val="0"/>
      <w:marRight w:val="0"/>
      <w:marTop w:val="0"/>
      <w:marBottom w:val="0"/>
      <w:divBdr>
        <w:top w:val="none" w:sz="0" w:space="0" w:color="auto"/>
        <w:left w:val="none" w:sz="0" w:space="0" w:color="auto"/>
        <w:bottom w:val="none" w:sz="0" w:space="0" w:color="auto"/>
        <w:right w:val="none" w:sz="0" w:space="0" w:color="auto"/>
      </w:divBdr>
      <w:divsChild>
        <w:div w:id="2096320747">
          <w:marLeft w:val="0"/>
          <w:marRight w:val="0"/>
          <w:marTop w:val="0"/>
          <w:marBottom w:val="0"/>
          <w:divBdr>
            <w:top w:val="none" w:sz="0" w:space="0" w:color="auto"/>
            <w:left w:val="none" w:sz="0" w:space="0" w:color="auto"/>
            <w:bottom w:val="none" w:sz="0" w:space="0" w:color="auto"/>
            <w:right w:val="none" w:sz="0" w:space="0" w:color="auto"/>
          </w:divBdr>
        </w:div>
        <w:div w:id="1809130059">
          <w:marLeft w:val="0"/>
          <w:marRight w:val="0"/>
          <w:marTop w:val="0"/>
          <w:marBottom w:val="0"/>
          <w:divBdr>
            <w:top w:val="none" w:sz="0" w:space="0" w:color="auto"/>
            <w:left w:val="none" w:sz="0" w:space="0" w:color="auto"/>
            <w:bottom w:val="none" w:sz="0" w:space="0" w:color="auto"/>
            <w:right w:val="none" w:sz="0" w:space="0" w:color="auto"/>
          </w:divBdr>
        </w:div>
        <w:div w:id="812866919">
          <w:marLeft w:val="0"/>
          <w:marRight w:val="0"/>
          <w:marTop w:val="0"/>
          <w:marBottom w:val="0"/>
          <w:divBdr>
            <w:top w:val="none" w:sz="0" w:space="0" w:color="auto"/>
            <w:left w:val="none" w:sz="0" w:space="0" w:color="auto"/>
            <w:bottom w:val="none" w:sz="0" w:space="0" w:color="auto"/>
            <w:right w:val="none" w:sz="0" w:space="0" w:color="auto"/>
          </w:divBdr>
        </w:div>
      </w:divsChild>
    </w:div>
    <w:div w:id="1781221981">
      <w:bodyDiv w:val="1"/>
      <w:marLeft w:val="0"/>
      <w:marRight w:val="0"/>
      <w:marTop w:val="0"/>
      <w:marBottom w:val="0"/>
      <w:divBdr>
        <w:top w:val="none" w:sz="0" w:space="0" w:color="auto"/>
        <w:left w:val="none" w:sz="0" w:space="0" w:color="auto"/>
        <w:bottom w:val="none" w:sz="0" w:space="0" w:color="auto"/>
        <w:right w:val="none" w:sz="0" w:space="0" w:color="auto"/>
      </w:divBdr>
      <w:divsChild>
        <w:div w:id="1467432772">
          <w:marLeft w:val="0"/>
          <w:marRight w:val="0"/>
          <w:marTop w:val="0"/>
          <w:marBottom w:val="0"/>
          <w:divBdr>
            <w:top w:val="none" w:sz="0" w:space="0" w:color="auto"/>
            <w:left w:val="none" w:sz="0" w:space="0" w:color="auto"/>
            <w:bottom w:val="none" w:sz="0" w:space="0" w:color="auto"/>
            <w:right w:val="none" w:sz="0" w:space="0" w:color="auto"/>
          </w:divBdr>
        </w:div>
        <w:div w:id="1001011207">
          <w:marLeft w:val="0"/>
          <w:marRight w:val="0"/>
          <w:marTop w:val="0"/>
          <w:marBottom w:val="0"/>
          <w:divBdr>
            <w:top w:val="none" w:sz="0" w:space="0" w:color="auto"/>
            <w:left w:val="none" w:sz="0" w:space="0" w:color="auto"/>
            <w:bottom w:val="none" w:sz="0" w:space="0" w:color="auto"/>
            <w:right w:val="none" w:sz="0" w:space="0" w:color="auto"/>
          </w:divBdr>
        </w:div>
        <w:div w:id="2043434906">
          <w:marLeft w:val="0"/>
          <w:marRight w:val="0"/>
          <w:marTop w:val="0"/>
          <w:marBottom w:val="0"/>
          <w:divBdr>
            <w:top w:val="none" w:sz="0" w:space="0" w:color="auto"/>
            <w:left w:val="none" w:sz="0" w:space="0" w:color="auto"/>
            <w:bottom w:val="none" w:sz="0" w:space="0" w:color="auto"/>
            <w:right w:val="none" w:sz="0" w:space="0" w:color="auto"/>
          </w:divBdr>
        </w:div>
        <w:div w:id="1457332292">
          <w:marLeft w:val="0"/>
          <w:marRight w:val="0"/>
          <w:marTop w:val="0"/>
          <w:marBottom w:val="0"/>
          <w:divBdr>
            <w:top w:val="none" w:sz="0" w:space="0" w:color="auto"/>
            <w:left w:val="none" w:sz="0" w:space="0" w:color="auto"/>
            <w:bottom w:val="none" w:sz="0" w:space="0" w:color="auto"/>
            <w:right w:val="none" w:sz="0" w:space="0" w:color="auto"/>
          </w:divBdr>
        </w:div>
        <w:div w:id="1706634439">
          <w:marLeft w:val="0"/>
          <w:marRight w:val="0"/>
          <w:marTop w:val="0"/>
          <w:marBottom w:val="0"/>
          <w:divBdr>
            <w:top w:val="none" w:sz="0" w:space="0" w:color="auto"/>
            <w:left w:val="none" w:sz="0" w:space="0" w:color="auto"/>
            <w:bottom w:val="none" w:sz="0" w:space="0" w:color="auto"/>
            <w:right w:val="none" w:sz="0" w:space="0" w:color="auto"/>
          </w:divBdr>
        </w:div>
      </w:divsChild>
    </w:div>
    <w:div w:id="1910456920">
      <w:bodyDiv w:val="1"/>
      <w:marLeft w:val="0"/>
      <w:marRight w:val="0"/>
      <w:marTop w:val="0"/>
      <w:marBottom w:val="0"/>
      <w:divBdr>
        <w:top w:val="none" w:sz="0" w:space="0" w:color="auto"/>
        <w:left w:val="none" w:sz="0" w:space="0" w:color="auto"/>
        <w:bottom w:val="none" w:sz="0" w:space="0" w:color="auto"/>
        <w:right w:val="none" w:sz="0" w:space="0" w:color="auto"/>
      </w:divBdr>
      <w:divsChild>
        <w:div w:id="862087046">
          <w:marLeft w:val="0"/>
          <w:marRight w:val="0"/>
          <w:marTop w:val="0"/>
          <w:marBottom w:val="0"/>
          <w:divBdr>
            <w:top w:val="none" w:sz="0" w:space="0" w:color="auto"/>
            <w:left w:val="none" w:sz="0" w:space="0" w:color="auto"/>
            <w:bottom w:val="none" w:sz="0" w:space="0" w:color="auto"/>
            <w:right w:val="none" w:sz="0" w:space="0" w:color="auto"/>
          </w:divBdr>
        </w:div>
        <w:div w:id="519927647">
          <w:marLeft w:val="0"/>
          <w:marRight w:val="0"/>
          <w:marTop w:val="0"/>
          <w:marBottom w:val="0"/>
          <w:divBdr>
            <w:top w:val="none" w:sz="0" w:space="0" w:color="auto"/>
            <w:left w:val="none" w:sz="0" w:space="0" w:color="auto"/>
            <w:bottom w:val="none" w:sz="0" w:space="0" w:color="auto"/>
            <w:right w:val="none" w:sz="0" w:space="0" w:color="auto"/>
          </w:divBdr>
        </w:div>
        <w:div w:id="372310680">
          <w:marLeft w:val="0"/>
          <w:marRight w:val="0"/>
          <w:marTop w:val="0"/>
          <w:marBottom w:val="0"/>
          <w:divBdr>
            <w:top w:val="none" w:sz="0" w:space="0" w:color="auto"/>
            <w:left w:val="none" w:sz="0" w:space="0" w:color="auto"/>
            <w:bottom w:val="none" w:sz="0" w:space="0" w:color="auto"/>
            <w:right w:val="none" w:sz="0" w:space="0" w:color="auto"/>
          </w:divBdr>
        </w:div>
        <w:div w:id="146409933">
          <w:marLeft w:val="0"/>
          <w:marRight w:val="0"/>
          <w:marTop w:val="0"/>
          <w:marBottom w:val="0"/>
          <w:divBdr>
            <w:top w:val="none" w:sz="0" w:space="0" w:color="auto"/>
            <w:left w:val="none" w:sz="0" w:space="0" w:color="auto"/>
            <w:bottom w:val="none" w:sz="0" w:space="0" w:color="auto"/>
            <w:right w:val="none" w:sz="0" w:space="0" w:color="auto"/>
          </w:divBdr>
        </w:div>
        <w:div w:id="173151386">
          <w:marLeft w:val="0"/>
          <w:marRight w:val="0"/>
          <w:marTop w:val="0"/>
          <w:marBottom w:val="0"/>
          <w:divBdr>
            <w:top w:val="none" w:sz="0" w:space="0" w:color="auto"/>
            <w:left w:val="none" w:sz="0" w:space="0" w:color="auto"/>
            <w:bottom w:val="none" w:sz="0" w:space="0" w:color="auto"/>
            <w:right w:val="none" w:sz="0" w:space="0" w:color="auto"/>
          </w:divBdr>
        </w:div>
        <w:div w:id="1513107062">
          <w:marLeft w:val="0"/>
          <w:marRight w:val="0"/>
          <w:marTop w:val="0"/>
          <w:marBottom w:val="0"/>
          <w:divBdr>
            <w:top w:val="none" w:sz="0" w:space="0" w:color="auto"/>
            <w:left w:val="none" w:sz="0" w:space="0" w:color="auto"/>
            <w:bottom w:val="none" w:sz="0" w:space="0" w:color="auto"/>
            <w:right w:val="none" w:sz="0" w:space="0" w:color="auto"/>
          </w:divBdr>
        </w:div>
        <w:div w:id="1995789978">
          <w:marLeft w:val="0"/>
          <w:marRight w:val="0"/>
          <w:marTop w:val="0"/>
          <w:marBottom w:val="0"/>
          <w:divBdr>
            <w:top w:val="none" w:sz="0" w:space="0" w:color="auto"/>
            <w:left w:val="none" w:sz="0" w:space="0" w:color="auto"/>
            <w:bottom w:val="none" w:sz="0" w:space="0" w:color="auto"/>
            <w:right w:val="none" w:sz="0" w:space="0" w:color="auto"/>
          </w:divBdr>
        </w:div>
        <w:div w:id="1627083519">
          <w:marLeft w:val="0"/>
          <w:marRight w:val="0"/>
          <w:marTop w:val="0"/>
          <w:marBottom w:val="0"/>
          <w:divBdr>
            <w:top w:val="none" w:sz="0" w:space="0" w:color="auto"/>
            <w:left w:val="none" w:sz="0" w:space="0" w:color="auto"/>
            <w:bottom w:val="none" w:sz="0" w:space="0" w:color="auto"/>
            <w:right w:val="none" w:sz="0" w:space="0" w:color="auto"/>
          </w:divBdr>
        </w:div>
        <w:div w:id="548613953">
          <w:marLeft w:val="0"/>
          <w:marRight w:val="0"/>
          <w:marTop w:val="0"/>
          <w:marBottom w:val="0"/>
          <w:divBdr>
            <w:top w:val="none" w:sz="0" w:space="0" w:color="auto"/>
            <w:left w:val="none" w:sz="0" w:space="0" w:color="auto"/>
            <w:bottom w:val="none" w:sz="0" w:space="0" w:color="auto"/>
            <w:right w:val="none" w:sz="0" w:space="0" w:color="auto"/>
          </w:divBdr>
        </w:div>
        <w:div w:id="1431928089">
          <w:marLeft w:val="0"/>
          <w:marRight w:val="0"/>
          <w:marTop w:val="0"/>
          <w:marBottom w:val="0"/>
          <w:divBdr>
            <w:top w:val="none" w:sz="0" w:space="0" w:color="auto"/>
            <w:left w:val="none" w:sz="0" w:space="0" w:color="auto"/>
            <w:bottom w:val="none" w:sz="0" w:space="0" w:color="auto"/>
            <w:right w:val="none" w:sz="0" w:space="0" w:color="auto"/>
          </w:divBdr>
        </w:div>
        <w:div w:id="16425418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ysubmissions@rba.gov.au"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AB635-3672-4ADF-8035-CE2BB595D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FA6573F4.dotm</Template>
  <TotalTime>1</TotalTime>
  <Pages>9</Pages>
  <Words>3032</Words>
  <Characters>17075</Characters>
  <Application>Microsoft Office Word</Application>
  <DocSecurity>4</DocSecurity>
  <Lines>355</Lines>
  <Paragraphs>95</Paragraphs>
  <ScaleCrop>false</ScaleCrop>
  <HeadingPairs>
    <vt:vector size="2" baseType="variant">
      <vt:variant>
        <vt:lpstr>Title</vt:lpstr>
      </vt:variant>
      <vt:variant>
        <vt:i4>1</vt:i4>
      </vt:variant>
    </vt:vector>
  </HeadingPairs>
  <TitlesOfParts>
    <vt:vector size="1" baseType="lpstr">
      <vt:lpstr>KATHERINE GATES</vt:lpstr>
    </vt:vector>
  </TitlesOfParts>
  <Company>Hewlett-Packard</Company>
  <LinksUpToDate>false</LinksUpToDate>
  <CharactersWithSpaces>20012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KATHERINE GATES</dc:title>
  <dc:creator>Katherine Gates</dc:creator>
  <cp:lastModifiedBy>JIMENEZ, Ivan</cp:lastModifiedBy>
  <cp:revision>2</cp:revision>
  <cp:lastPrinted>2015-04-24T02:31:00Z</cp:lastPrinted>
  <dcterms:created xsi:type="dcterms:W3CDTF">2015-05-06T05:13:00Z</dcterms:created>
  <dcterms:modified xsi:type="dcterms:W3CDTF">2015-05-06T05:13:00Z</dcterms:modified>
</cp:coreProperties>
</file>