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479" w:rsidRDefault="00397479" w:rsidP="005813DE">
      <w:pPr>
        <w:spacing w:before="120"/>
      </w:pPr>
      <w:bookmarkStart w:id="0" w:name="_GoBack"/>
      <w:bookmarkEnd w:id="0"/>
    </w:p>
    <w:p w:rsidR="00397479" w:rsidRDefault="00397479" w:rsidP="005813DE">
      <w:pPr>
        <w:spacing w:before="120"/>
      </w:pPr>
    </w:p>
    <w:p w:rsidR="00397479" w:rsidRDefault="00397479" w:rsidP="005813DE">
      <w:pPr>
        <w:spacing w:before="120"/>
      </w:pPr>
    </w:p>
    <w:p w:rsidR="002D21DF" w:rsidRDefault="00852435" w:rsidP="0000669E">
      <w:r>
        <w:t>24 April 2015</w:t>
      </w:r>
    </w:p>
    <w:p w:rsidR="002D21DF" w:rsidRDefault="002D21DF" w:rsidP="0000669E"/>
    <w:p w:rsidR="001F5648" w:rsidRDefault="001F5648" w:rsidP="00065A3D">
      <w:pPr>
        <w:pStyle w:val="ABAAddressText"/>
      </w:pPr>
      <w:r>
        <w:t>Dr Tony Richards</w:t>
      </w:r>
    </w:p>
    <w:p w:rsidR="00946BA8" w:rsidRDefault="00852435" w:rsidP="00065A3D">
      <w:pPr>
        <w:pStyle w:val="ABAAddressText"/>
      </w:pPr>
      <w:r>
        <w:t>Head of Payments Policy Department</w:t>
      </w:r>
    </w:p>
    <w:p w:rsidR="00852435" w:rsidRDefault="00852435" w:rsidP="00065A3D">
      <w:pPr>
        <w:pStyle w:val="ABAAddressText"/>
      </w:pPr>
      <w:r>
        <w:t>Reserve Bank of Australia</w:t>
      </w:r>
    </w:p>
    <w:p w:rsidR="00852435" w:rsidRDefault="00852435" w:rsidP="00065A3D">
      <w:pPr>
        <w:pStyle w:val="ABAAddressText"/>
      </w:pPr>
      <w:r>
        <w:t>GPO Box 3947</w:t>
      </w:r>
    </w:p>
    <w:p w:rsidR="00852435" w:rsidRDefault="00852435" w:rsidP="00065A3D">
      <w:pPr>
        <w:pStyle w:val="ABAAddressText"/>
      </w:pPr>
      <w:r>
        <w:t>Sydney NSW 2001</w:t>
      </w:r>
    </w:p>
    <w:p w:rsidR="00852435" w:rsidRDefault="00852435" w:rsidP="00065A3D">
      <w:pPr>
        <w:pStyle w:val="ABAAddressText"/>
      </w:pPr>
      <w:r>
        <w:t xml:space="preserve">Email: </w:t>
      </w:r>
      <w:hyperlink r:id="rId9" w:history="1">
        <w:r w:rsidRPr="003C2F9A">
          <w:rPr>
            <w:rStyle w:val="Hyperlink"/>
          </w:rPr>
          <w:t>pysubmissions@rba.gov.au</w:t>
        </w:r>
      </w:hyperlink>
      <w:r>
        <w:tab/>
      </w:r>
    </w:p>
    <w:p w:rsidR="00421E47" w:rsidRPr="005813DE" w:rsidRDefault="00421E47" w:rsidP="005813DE">
      <w:pPr>
        <w:spacing w:before="120"/>
      </w:pPr>
    </w:p>
    <w:p w:rsidR="00E965B7" w:rsidRPr="0000669E" w:rsidRDefault="00946BA8" w:rsidP="001514C6">
      <w:pPr>
        <w:rPr>
          <w:b/>
        </w:rPr>
      </w:pPr>
      <w:r w:rsidRPr="0000669E">
        <w:t xml:space="preserve">Dear </w:t>
      </w:r>
      <w:r w:rsidR="00A65E0F">
        <w:t>Tony</w:t>
      </w:r>
      <w:r w:rsidRPr="0000669E">
        <w:t>,</w:t>
      </w:r>
    </w:p>
    <w:p w:rsidR="002D21DF" w:rsidRPr="001514C6" w:rsidRDefault="00852435" w:rsidP="001514C6">
      <w:pPr>
        <w:pStyle w:val="ABALetterheadHeading"/>
      </w:pPr>
      <w:r>
        <w:t>Review of Card Payments Regulation</w:t>
      </w:r>
      <w:r w:rsidR="00676140">
        <w:t>, Issues Paper, March 2015</w:t>
      </w:r>
    </w:p>
    <w:p w:rsidR="001F5648" w:rsidRPr="00E9617E" w:rsidRDefault="001F5648" w:rsidP="001F5648">
      <w:r w:rsidRPr="00E9617E">
        <w:t>The Australian Bankers’ Association (</w:t>
      </w:r>
      <w:r w:rsidRPr="00E9617E">
        <w:rPr>
          <w:b/>
        </w:rPr>
        <w:t>ABA</w:t>
      </w:r>
      <w:r w:rsidRPr="00E9617E">
        <w:t>) welcomes the opportunity to contribute to the Reserve Bank of Australia (</w:t>
      </w:r>
      <w:r w:rsidRPr="00E9617E">
        <w:rPr>
          <w:b/>
        </w:rPr>
        <w:t>RBA</w:t>
      </w:r>
      <w:r w:rsidRPr="00E9617E">
        <w:t xml:space="preserve">) </w:t>
      </w:r>
      <w:r w:rsidR="00A65E0F">
        <w:t>“</w:t>
      </w:r>
      <w:r w:rsidRPr="00E9617E">
        <w:t>Review of Card Payments Regulation</w:t>
      </w:r>
      <w:r w:rsidR="00A65E0F">
        <w:t>”</w:t>
      </w:r>
      <w:r w:rsidRPr="00E9617E">
        <w:t xml:space="preserve"> (</w:t>
      </w:r>
      <w:r w:rsidRPr="00E9617E">
        <w:rPr>
          <w:b/>
        </w:rPr>
        <w:t>I</w:t>
      </w:r>
      <w:r>
        <w:rPr>
          <w:b/>
        </w:rPr>
        <w:t>ssues P</w:t>
      </w:r>
      <w:r w:rsidRPr="00E9617E">
        <w:rPr>
          <w:b/>
        </w:rPr>
        <w:t>aper</w:t>
      </w:r>
      <w:r w:rsidRPr="00E9617E">
        <w:t>).</w:t>
      </w:r>
    </w:p>
    <w:p w:rsidR="001F5648" w:rsidRPr="00E9617E" w:rsidRDefault="00A65E0F" w:rsidP="001F5648">
      <w:pPr>
        <w:rPr>
          <w:strike/>
        </w:rPr>
      </w:pPr>
      <w:r>
        <w:t xml:space="preserve">The </w:t>
      </w:r>
      <w:r w:rsidR="001F5648" w:rsidRPr="00E9617E">
        <w:t xml:space="preserve">ABA welcomes the review and agrees with the sentiment expressed by the RBA that the review is an opportunity to think very carefully about the issues, to assess the </w:t>
      </w:r>
      <w:r w:rsidR="001F5648">
        <w:t xml:space="preserve">evidence and </w:t>
      </w:r>
      <w:r w:rsidR="001F5648" w:rsidRPr="00E9617E">
        <w:t>experience since previous reforms were implemented in 2003, and consider i</w:t>
      </w:r>
      <w:r>
        <w:t>f</w:t>
      </w:r>
      <w:r w:rsidR="001F5648" w:rsidRPr="00E9617E">
        <w:t xml:space="preserve"> there </w:t>
      </w:r>
      <w:r w:rsidR="001F5648">
        <w:t>is an actual</w:t>
      </w:r>
      <w:r w:rsidR="001F5648" w:rsidRPr="00E9617E">
        <w:t xml:space="preserve"> case to make incremental or more significant changes to the existing </w:t>
      </w:r>
      <w:r w:rsidR="001F5648">
        <w:t xml:space="preserve">policy </w:t>
      </w:r>
      <w:r w:rsidR="001F5648" w:rsidRPr="00E9617E">
        <w:t>framework.</w:t>
      </w:r>
    </w:p>
    <w:p w:rsidR="001F5648" w:rsidRPr="002644BD" w:rsidRDefault="001F5648" w:rsidP="001F5648">
      <w:pPr>
        <w:rPr>
          <w:bCs/>
          <w:lang w:eastAsia="en-AU"/>
        </w:rPr>
      </w:pPr>
      <w:r w:rsidRPr="00487465">
        <w:t>The ABA would also like to express our support for the submission of The Australian Payments Clearing Association (</w:t>
      </w:r>
      <w:r w:rsidRPr="00487465">
        <w:rPr>
          <w:b/>
        </w:rPr>
        <w:t>APCA</w:t>
      </w:r>
      <w:r>
        <w:t>)</w:t>
      </w:r>
      <w:r w:rsidRPr="00487465">
        <w:t>, as we are broadly aligned as an industry with key messages expressed in their feedback.</w:t>
      </w:r>
    </w:p>
    <w:p w:rsidR="001F5648" w:rsidRPr="00E9617E" w:rsidRDefault="001F5648" w:rsidP="001F5648">
      <w:pPr>
        <w:rPr>
          <w:rFonts w:cs="Arial"/>
        </w:rPr>
      </w:pPr>
      <w:r w:rsidRPr="00E9617E">
        <w:t xml:space="preserve">The Payments System Board </w:t>
      </w:r>
      <w:r>
        <w:t>(</w:t>
      </w:r>
      <w:r w:rsidRPr="00456D0E">
        <w:rPr>
          <w:b/>
        </w:rPr>
        <w:t>PSB</w:t>
      </w:r>
      <w:r>
        <w:t xml:space="preserve">) </w:t>
      </w:r>
      <w:r w:rsidRPr="00E9617E">
        <w:t xml:space="preserve">was established as a result of the Wallis Report to promote efficiency, competition and stability in the payments system. </w:t>
      </w:r>
      <w:r w:rsidRPr="00E9617E">
        <w:rPr>
          <w:rFonts w:cs="Arial"/>
        </w:rPr>
        <w:t xml:space="preserve">There have been significant changes in the payments system since the RBA was given its powers to regulate in 1998. There are considerably more players, greater transparency around interchange fees, </w:t>
      </w:r>
      <w:r w:rsidR="00A65E0F">
        <w:rPr>
          <w:rFonts w:cs="Arial"/>
        </w:rPr>
        <w:t xml:space="preserve">and </w:t>
      </w:r>
      <w:r w:rsidRPr="00E9617E">
        <w:rPr>
          <w:rFonts w:cs="Arial"/>
        </w:rPr>
        <w:t>clearer signals between costs and prices</w:t>
      </w:r>
      <w:r>
        <w:rPr>
          <w:rFonts w:cs="Arial"/>
        </w:rPr>
        <w:t xml:space="preserve">. An ever expanding </w:t>
      </w:r>
      <w:r w:rsidRPr="00E9617E">
        <w:rPr>
          <w:rFonts w:cs="Arial"/>
        </w:rPr>
        <w:t xml:space="preserve">range of payment instruments and mechanisms </w:t>
      </w:r>
      <w:r>
        <w:rPr>
          <w:rFonts w:cs="Arial"/>
        </w:rPr>
        <w:t xml:space="preserve">are </w:t>
      </w:r>
      <w:r w:rsidRPr="00E9617E">
        <w:rPr>
          <w:rFonts w:cs="Arial"/>
        </w:rPr>
        <w:t xml:space="preserve">now </w:t>
      </w:r>
      <w:r>
        <w:rPr>
          <w:rFonts w:cs="Arial"/>
        </w:rPr>
        <w:t>available to consumers</w:t>
      </w:r>
      <w:r w:rsidR="009B5AA2">
        <w:rPr>
          <w:rFonts w:cs="Arial"/>
        </w:rPr>
        <w:t xml:space="preserve"> and merchants</w:t>
      </w:r>
      <w:r w:rsidR="00E12102">
        <w:rPr>
          <w:rFonts w:cs="Arial"/>
        </w:rPr>
        <w:t>,</w:t>
      </w:r>
      <w:r>
        <w:rPr>
          <w:rFonts w:cs="Arial"/>
        </w:rPr>
        <w:t xml:space="preserve"> supported by an effective system of</w:t>
      </w:r>
      <w:r w:rsidRPr="00E9617E">
        <w:rPr>
          <w:rFonts w:cs="Arial"/>
        </w:rPr>
        <w:t xml:space="preserve"> industry self-regulation</w:t>
      </w:r>
      <w:r>
        <w:rPr>
          <w:rFonts w:cs="Arial"/>
        </w:rPr>
        <w:t xml:space="preserve"> and cooperation</w:t>
      </w:r>
      <w:r w:rsidRPr="00E9617E">
        <w:rPr>
          <w:rFonts w:cs="Arial"/>
        </w:rPr>
        <w:t xml:space="preserve">. </w:t>
      </w:r>
      <w:r w:rsidRPr="008A026A">
        <w:rPr>
          <w:rFonts w:cs="Calibri"/>
          <w:lang w:eastAsia="en-AU"/>
        </w:rPr>
        <w:t xml:space="preserve">To this end, </w:t>
      </w:r>
      <w:r>
        <w:rPr>
          <w:rFonts w:cs="Calibri"/>
          <w:lang w:eastAsia="en-AU"/>
        </w:rPr>
        <w:t xml:space="preserve">the ABA </w:t>
      </w:r>
      <w:r w:rsidRPr="008A026A">
        <w:rPr>
          <w:rFonts w:cs="Calibri"/>
          <w:lang w:eastAsia="en-AU"/>
        </w:rPr>
        <w:t>view is that the focus of th</w:t>
      </w:r>
      <w:r>
        <w:rPr>
          <w:rFonts w:cs="Calibri"/>
          <w:lang w:eastAsia="en-AU"/>
        </w:rPr>
        <w:t>is</w:t>
      </w:r>
      <w:r w:rsidRPr="008A026A">
        <w:rPr>
          <w:rFonts w:cs="Calibri"/>
          <w:lang w:eastAsia="en-AU"/>
        </w:rPr>
        <w:t xml:space="preserve"> </w:t>
      </w:r>
      <w:r>
        <w:rPr>
          <w:rFonts w:cs="Calibri"/>
          <w:lang w:eastAsia="en-AU"/>
        </w:rPr>
        <w:t>r</w:t>
      </w:r>
      <w:r w:rsidRPr="008A026A">
        <w:rPr>
          <w:rFonts w:cs="Calibri"/>
          <w:lang w:eastAsia="en-AU"/>
        </w:rPr>
        <w:t xml:space="preserve">eview should be on how competition and efficiency can be further enhanced and system integrity be preserved as </w:t>
      </w:r>
      <w:r>
        <w:rPr>
          <w:rFonts w:cs="Calibri"/>
          <w:lang w:eastAsia="en-AU"/>
        </w:rPr>
        <w:t xml:space="preserve">payment </w:t>
      </w:r>
      <w:r w:rsidRPr="008A026A">
        <w:rPr>
          <w:rFonts w:cs="Calibri"/>
          <w:lang w:eastAsia="en-AU"/>
        </w:rPr>
        <w:t>technologies evolve.</w:t>
      </w:r>
    </w:p>
    <w:p w:rsidR="001F5648" w:rsidRPr="00E9617E" w:rsidRDefault="001F5648" w:rsidP="001F5648">
      <w:r>
        <w:t>T</w:t>
      </w:r>
      <w:r w:rsidRPr="00E9617E">
        <w:t xml:space="preserve">he </w:t>
      </w:r>
      <w:r>
        <w:t>Issues P</w:t>
      </w:r>
      <w:r w:rsidRPr="00E9617E">
        <w:t xml:space="preserve">aper as it stands does not identify any significant market failure which would </w:t>
      </w:r>
      <w:r>
        <w:t xml:space="preserve">now </w:t>
      </w:r>
      <w:r w:rsidRPr="00E9617E">
        <w:t xml:space="preserve">require </w:t>
      </w:r>
      <w:r>
        <w:t xml:space="preserve">a </w:t>
      </w:r>
      <w:r w:rsidRPr="00E9617E">
        <w:t>costly regulatory intervention</w:t>
      </w:r>
      <w:r w:rsidRPr="00456D0E">
        <w:t xml:space="preserve"> </w:t>
      </w:r>
      <w:r>
        <w:t>to further contribute</w:t>
      </w:r>
      <w:r w:rsidRPr="00E9617E">
        <w:t xml:space="preserve"> to </w:t>
      </w:r>
      <w:r>
        <w:t xml:space="preserve">an already </w:t>
      </w:r>
      <w:r w:rsidRPr="00E9617E">
        <w:t xml:space="preserve">efficient and competitive payments system. </w:t>
      </w:r>
      <w:r w:rsidR="00A65E0F">
        <w:t xml:space="preserve">The </w:t>
      </w:r>
      <w:r w:rsidRPr="00E9617E">
        <w:t xml:space="preserve">RBA should </w:t>
      </w:r>
      <w:r>
        <w:t xml:space="preserve">instead </w:t>
      </w:r>
      <w:r w:rsidRPr="00E9617E">
        <w:t>seek to have the participants of this mature system resolve any perception of market failure</w:t>
      </w:r>
      <w:r>
        <w:t xml:space="preserve"> through the interplay of competitive pressures</w:t>
      </w:r>
      <w:r w:rsidR="00DB79E4">
        <w:t>. Competition</w:t>
      </w:r>
      <w:r w:rsidR="009B5AA2">
        <w:t xml:space="preserve"> has already resulted in a number of innovations (i.e. NFC,</w:t>
      </w:r>
      <w:r w:rsidR="00DA3CA4">
        <w:t xml:space="preserve"> PIN and</w:t>
      </w:r>
      <w:r w:rsidR="009B5AA2">
        <w:t xml:space="preserve"> self-checkout</w:t>
      </w:r>
      <w:r w:rsidR="00DB79E4">
        <w:t xml:space="preserve"> innovations</w:t>
      </w:r>
      <w:r w:rsidR="009B5AA2">
        <w:t>) yielding productivity gains for merchants</w:t>
      </w:r>
      <w:r w:rsidRPr="00E9617E">
        <w:t xml:space="preserve">. The RBA also needs to be mindful of the </w:t>
      </w:r>
      <w:r>
        <w:t xml:space="preserve">primary </w:t>
      </w:r>
      <w:r w:rsidRPr="00E9617E">
        <w:t>need to maintain</w:t>
      </w:r>
      <w:r>
        <w:t xml:space="preserve"> the </w:t>
      </w:r>
      <w:r w:rsidRPr="00E9617E">
        <w:t>security</w:t>
      </w:r>
      <w:r w:rsidR="0003007A">
        <w:t xml:space="preserve"> and stability</w:t>
      </w:r>
      <w:r w:rsidRPr="00E9617E">
        <w:t xml:space="preserve"> of</w:t>
      </w:r>
      <w:r w:rsidR="00E12102">
        <w:t xml:space="preserve"> </w:t>
      </w:r>
      <w:r w:rsidRPr="00E9617E">
        <w:t>card payment networks.</w:t>
      </w:r>
    </w:p>
    <w:p w:rsidR="00C57B46" w:rsidRDefault="00C57B46">
      <w:pPr>
        <w:spacing w:before="0" w:after="0" w:line="240" w:lineRule="auto"/>
        <w:jc w:val="left"/>
      </w:pPr>
      <w:r>
        <w:br w:type="page"/>
      </w:r>
    </w:p>
    <w:p w:rsidR="001F5648" w:rsidRPr="00E9617E" w:rsidRDefault="00A65E0F" w:rsidP="001F5648">
      <w:r>
        <w:lastRenderedPageBreak/>
        <w:t xml:space="preserve">The </w:t>
      </w:r>
      <w:r w:rsidR="001F5648" w:rsidRPr="00E9617E">
        <w:t xml:space="preserve">ABA is concerned that the </w:t>
      </w:r>
      <w:r>
        <w:t>Issues Paper</w:t>
      </w:r>
      <w:r w:rsidR="001F5648" w:rsidRPr="00E9617E">
        <w:t xml:space="preserve"> has </w:t>
      </w:r>
      <w:r w:rsidR="001F5648">
        <w:t>insufficient</w:t>
      </w:r>
      <w:r w:rsidR="001F5648" w:rsidRPr="00E9617E">
        <w:t xml:space="preserve"> focus on overall economic welfare</w:t>
      </w:r>
      <w:r>
        <w:t xml:space="preserve"> and</w:t>
      </w:r>
      <w:r w:rsidR="001F5648" w:rsidRPr="00E9617E">
        <w:t xml:space="preserve"> </w:t>
      </w:r>
      <w:r w:rsidR="001F5648">
        <w:t xml:space="preserve">is perhaps </w:t>
      </w:r>
      <w:r w:rsidR="001F5648" w:rsidRPr="00E9617E">
        <w:t>too focused on one segment of the system i.e.</w:t>
      </w:r>
      <w:r w:rsidR="001F5648">
        <w:t xml:space="preserve"> </w:t>
      </w:r>
      <w:r w:rsidR="001F5648" w:rsidRPr="00E9617E">
        <w:t xml:space="preserve">merchant </w:t>
      </w:r>
      <w:r w:rsidR="009B5AA2">
        <w:t>pricing</w:t>
      </w:r>
      <w:r w:rsidR="001F5648">
        <w:t>.</w:t>
      </w:r>
      <w:r w:rsidR="001F5648" w:rsidRPr="00E9617E">
        <w:t xml:space="preserve"> </w:t>
      </w:r>
      <w:r w:rsidR="001F5648">
        <w:t xml:space="preserve">Even then, </w:t>
      </w:r>
      <w:r w:rsidR="001F5648" w:rsidRPr="00E9617E">
        <w:t xml:space="preserve">it is not clear that </w:t>
      </w:r>
      <w:r>
        <w:t xml:space="preserve">the </w:t>
      </w:r>
      <w:r w:rsidR="001F5648" w:rsidRPr="00E9617E">
        <w:t xml:space="preserve">RBA have </w:t>
      </w:r>
      <w:r w:rsidR="001F5648">
        <w:t xml:space="preserve">evidenced the need </w:t>
      </w:r>
      <w:r w:rsidR="001F5648" w:rsidRPr="00E9617E">
        <w:t xml:space="preserve">for intervention. While </w:t>
      </w:r>
      <w:r w:rsidR="00C57B46">
        <w:t xml:space="preserve">the </w:t>
      </w:r>
      <w:r w:rsidR="001F5648" w:rsidRPr="00E9617E">
        <w:t xml:space="preserve">ABA </w:t>
      </w:r>
      <w:r w:rsidR="001F5648">
        <w:t>welcomes and supports</w:t>
      </w:r>
      <w:r w:rsidR="001F5648" w:rsidRPr="00E9617E">
        <w:t xml:space="preserve"> this </w:t>
      </w:r>
      <w:r w:rsidR="001F5648">
        <w:t xml:space="preserve">important </w:t>
      </w:r>
      <w:r w:rsidR="001F5648" w:rsidRPr="00E9617E">
        <w:t>review, ultimately the need for any regulatory intervention must be clearly commensurate with the problem being addressed.</w:t>
      </w:r>
    </w:p>
    <w:p w:rsidR="001F5648" w:rsidRPr="00E9617E" w:rsidRDefault="001F5648" w:rsidP="001F5648">
      <w:r w:rsidRPr="00E9617E">
        <w:t xml:space="preserve">The impact of this review must also </w:t>
      </w:r>
      <w:r w:rsidR="00C57B46">
        <w:t xml:space="preserve">be </w:t>
      </w:r>
      <w:r w:rsidRPr="00E9617E">
        <w:t xml:space="preserve">considered in the light of the banking industry’s significant </w:t>
      </w:r>
      <w:r>
        <w:t xml:space="preserve">financial </w:t>
      </w:r>
      <w:r w:rsidRPr="00E9617E">
        <w:t xml:space="preserve">commitment to </w:t>
      </w:r>
      <w:r w:rsidR="00A65E0F">
        <w:t xml:space="preserve">the </w:t>
      </w:r>
      <w:r w:rsidRPr="00E9617E">
        <w:rPr>
          <w:rFonts w:cs="Arial"/>
        </w:rPr>
        <w:t>New Payments Platform (</w:t>
      </w:r>
      <w:r w:rsidRPr="00E9617E">
        <w:rPr>
          <w:rFonts w:cs="Arial"/>
          <w:b/>
        </w:rPr>
        <w:t>NPP</w:t>
      </w:r>
      <w:r w:rsidRPr="00E9617E">
        <w:rPr>
          <w:rFonts w:cs="Arial"/>
        </w:rPr>
        <w:t>)</w:t>
      </w:r>
      <w:r w:rsidR="00C57B46">
        <w:rPr>
          <w:rFonts w:cs="Arial"/>
        </w:rPr>
        <w:t>.</w:t>
      </w:r>
      <w:r w:rsidR="00991767">
        <w:t xml:space="preserve"> </w:t>
      </w:r>
      <w:r w:rsidRPr="00E9617E">
        <w:rPr>
          <w:rFonts w:cs="Arial"/>
        </w:rPr>
        <w:t xml:space="preserve">The NPP is being developed collaboratively by authorised deposit-taking institutions. It is the industry response to the </w:t>
      </w:r>
      <w:r>
        <w:rPr>
          <w:rFonts w:cs="Arial"/>
        </w:rPr>
        <w:t>RBA’s</w:t>
      </w:r>
      <w:r w:rsidRPr="00E9617E">
        <w:rPr>
          <w:rFonts w:cs="Arial"/>
        </w:rPr>
        <w:t xml:space="preserve"> strategic objectives on payments innovation.</w:t>
      </w:r>
      <w:r w:rsidR="00DB79E4">
        <w:t xml:space="preserve"> </w:t>
      </w:r>
      <w:r w:rsidRPr="00E9617E">
        <w:t>The NPPs multi-layered infrastructure has been designed to promote competition and drive innovation in payment services. It ensures the NPP will be equipped to meet the evolving needs of Australians in the digital age and beyond.</w:t>
      </w:r>
    </w:p>
    <w:p w:rsidR="001F5648" w:rsidRPr="00E9617E" w:rsidRDefault="001F5648" w:rsidP="001F5648">
      <w:r>
        <w:t>Overall, reforms should not</w:t>
      </w:r>
      <w:r w:rsidRPr="00E9617E">
        <w:t xml:space="preserve"> impede the migration to new more efficient (card and other) payment channels.</w:t>
      </w:r>
      <w:r w:rsidR="00991767">
        <w:t xml:space="preserve"> </w:t>
      </w:r>
      <w:r w:rsidRPr="00E9617E">
        <w:t xml:space="preserve">Unnecessary </w:t>
      </w:r>
      <w:r>
        <w:t xml:space="preserve">additional </w:t>
      </w:r>
      <w:r w:rsidRPr="00E9617E">
        <w:t>regulation and associated costs can act as an impediment</w:t>
      </w:r>
      <w:r>
        <w:t xml:space="preserve"> to the adoption of new technologies. Alongside </w:t>
      </w:r>
      <w:r w:rsidR="00DB79E4">
        <w:t xml:space="preserve">continuing to </w:t>
      </w:r>
      <w:r>
        <w:t>facilitat</w:t>
      </w:r>
      <w:r w:rsidR="00DB79E4">
        <w:t>e</w:t>
      </w:r>
      <w:r>
        <w:t xml:space="preserve"> competition and innovation, the </w:t>
      </w:r>
      <w:r w:rsidRPr="00E9617E">
        <w:t>RBA should also be promoting the decline of less efficient payment methods such as cheques and cash</w:t>
      </w:r>
      <w:r>
        <w:t>.</w:t>
      </w:r>
    </w:p>
    <w:p w:rsidR="001F5648" w:rsidRPr="00E9617E" w:rsidRDefault="00DA3CA4" w:rsidP="001F5648">
      <w:r>
        <w:t>The ABA believes t</w:t>
      </w:r>
      <w:r w:rsidR="001F5648" w:rsidRPr="00E9617E">
        <w:t xml:space="preserve">he RBA </w:t>
      </w:r>
      <w:r>
        <w:t xml:space="preserve">has not yet </w:t>
      </w:r>
      <w:r w:rsidR="001F5648">
        <w:t>establish</w:t>
      </w:r>
      <w:r>
        <w:t>ed</w:t>
      </w:r>
      <w:r w:rsidR="001F5648">
        <w:t xml:space="preserve"> the case </w:t>
      </w:r>
      <w:r w:rsidR="001F5648" w:rsidRPr="00E9617E">
        <w:t xml:space="preserve">for </w:t>
      </w:r>
      <w:r w:rsidR="001F5648">
        <w:t xml:space="preserve">additional </w:t>
      </w:r>
      <w:r w:rsidR="001F5648" w:rsidRPr="00E9617E">
        <w:t>regulation</w:t>
      </w:r>
      <w:r w:rsidR="00E12102">
        <w:t>,</w:t>
      </w:r>
      <w:r w:rsidR="001F5648">
        <w:t xml:space="preserve"> </w:t>
      </w:r>
      <w:r w:rsidR="00E12102">
        <w:t>i</w:t>
      </w:r>
      <w:r w:rsidR="001F5648">
        <w:t xml:space="preserve">t should be considered only as </w:t>
      </w:r>
      <w:r w:rsidR="001F5648" w:rsidRPr="00E9617E">
        <w:t xml:space="preserve">a last resort option to address </w:t>
      </w:r>
      <w:r w:rsidR="001F5648">
        <w:t>a real and identified</w:t>
      </w:r>
      <w:r w:rsidR="001F5648" w:rsidRPr="00E9617E">
        <w:t xml:space="preserve"> market failure than cannot </w:t>
      </w:r>
      <w:r w:rsidR="001F5648">
        <w:t xml:space="preserve">otherwise </w:t>
      </w:r>
      <w:r w:rsidR="001F5648" w:rsidRPr="00E9617E">
        <w:t>be addressed by industry initiatives</w:t>
      </w:r>
      <w:r w:rsidR="00A65E0F">
        <w:t>.</w:t>
      </w:r>
      <w:r w:rsidR="001F5648" w:rsidRPr="00E9617E">
        <w:t xml:space="preserve"> </w:t>
      </w:r>
      <w:r w:rsidR="00A65E0F">
        <w:t xml:space="preserve">The </w:t>
      </w:r>
      <w:r w:rsidR="001F5648" w:rsidRPr="00E9617E">
        <w:t>RBA should resist the temptation to intrude into otherwise bi-lateral contractual relationships between a scheme and its members</w:t>
      </w:r>
      <w:r w:rsidR="001F5648">
        <w:t>.</w:t>
      </w:r>
    </w:p>
    <w:p w:rsidR="001F5648" w:rsidRPr="00E278CF" w:rsidRDefault="00A65E0F" w:rsidP="001F5648">
      <w:r>
        <w:t xml:space="preserve">The </w:t>
      </w:r>
      <w:r w:rsidR="001F5648" w:rsidRPr="00E278CF">
        <w:t>ABA would like to offer some observations on key issues raised in the Issues Paper.</w:t>
      </w:r>
    </w:p>
    <w:p w:rsidR="001F5648" w:rsidRDefault="001F5648" w:rsidP="001F5648">
      <w:pPr>
        <w:pStyle w:val="ABAHeading2-PlainText"/>
      </w:pPr>
      <w:r>
        <w:t>Interchange Fees</w:t>
      </w:r>
    </w:p>
    <w:p w:rsidR="001F5648" w:rsidRPr="00EA23B7" w:rsidRDefault="001F5648" w:rsidP="001F5648">
      <w:pPr>
        <w:rPr>
          <w:lang w:eastAsia="en-AU"/>
        </w:rPr>
      </w:pPr>
      <w:r w:rsidRPr="00991767">
        <w:rPr>
          <w:rStyle w:val="Strong"/>
          <w:b w:val="0"/>
        </w:rPr>
        <w:t>In regards to broadening interchange fee caps to include other payments between schemes and issuers, the</w:t>
      </w:r>
      <w:r w:rsidRPr="00EA23B7">
        <w:rPr>
          <w:rStyle w:val="Strong"/>
        </w:rPr>
        <w:t xml:space="preserve"> </w:t>
      </w:r>
      <w:r w:rsidRPr="00EA23B7">
        <w:rPr>
          <w:iCs/>
        </w:rPr>
        <w:t xml:space="preserve">ABA does not support that all payments between schemes and issuers should be included in the interchange fee calculation. </w:t>
      </w:r>
    </w:p>
    <w:p w:rsidR="001F5648" w:rsidRPr="00CF7D10" w:rsidRDefault="001F5648" w:rsidP="001F5648">
      <w:pPr>
        <w:rPr>
          <w:bCs/>
          <w:lang w:eastAsia="en-AU"/>
        </w:rPr>
      </w:pPr>
      <w:r>
        <w:rPr>
          <w:bCs/>
          <w:lang w:eastAsia="en-AU"/>
        </w:rPr>
        <w:t xml:space="preserve">The </w:t>
      </w:r>
      <w:r w:rsidRPr="0084557C">
        <w:rPr>
          <w:bCs/>
          <w:lang w:eastAsia="en-AU"/>
        </w:rPr>
        <w:t>ABA agrees</w:t>
      </w:r>
      <w:r>
        <w:rPr>
          <w:bCs/>
          <w:lang w:eastAsia="en-AU"/>
        </w:rPr>
        <w:t xml:space="preserve"> with the RBA in that</w:t>
      </w:r>
      <w:r w:rsidRPr="0084557C">
        <w:rPr>
          <w:bCs/>
          <w:lang w:eastAsia="en-AU"/>
        </w:rPr>
        <w:t xml:space="preserve"> that </w:t>
      </w:r>
      <w:r w:rsidRPr="0084557C">
        <w:rPr>
          <w:lang w:eastAsia="en-AU"/>
        </w:rPr>
        <w:t xml:space="preserve">there is a degree of ambiguity in how prepaid cards are dealt with under the interchange benchmarks. </w:t>
      </w:r>
      <w:r w:rsidR="00A65E0F">
        <w:rPr>
          <w:lang w:eastAsia="en-AU"/>
        </w:rPr>
        <w:t xml:space="preserve">The </w:t>
      </w:r>
      <w:r w:rsidRPr="0084557C">
        <w:rPr>
          <w:lang w:eastAsia="en-AU"/>
        </w:rPr>
        <w:t xml:space="preserve">ABA </w:t>
      </w:r>
      <w:r w:rsidRPr="0084557C">
        <w:rPr>
          <w:iCs/>
        </w:rPr>
        <w:t xml:space="preserve">supports the proposition that </w:t>
      </w:r>
      <w:r>
        <w:rPr>
          <w:iCs/>
        </w:rPr>
        <w:t xml:space="preserve">the treatment of </w:t>
      </w:r>
      <w:r w:rsidRPr="0084557C">
        <w:rPr>
          <w:iCs/>
        </w:rPr>
        <w:t xml:space="preserve">prepaid cards should be </w:t>
      </w:r>
      <w:r>
        <w:rPr>
          <w:iCs/>
        </w:rPr>
        <w:t>aligned</w:t>
      </w:r>
      <w:r w:rsidRPr="0084557C">
        <w:rPr>
          <w:iCs/>
        </w:rPr>
        <w:t xml:space="preserve"> to </w:t>
      </w:r>
      <w:r>
        <w:rPr>
          <w:iCs/>
        </w:rPr>
        <w:t xml:space="preserve">those </w:t>
      </w:r>
      <w:r w:rsidRPr="0084557C">
        <w:rPr>
          <w:iCs/>
        </w:rPr>
        <w:t xml:space="preserve">instruments of similar economic substance i.e. </w:t>
      </w:r>
      <w:r w:rsidR="00A65E0F">
        <w:rPr>
          <w:iCs/>
        </w:rPr>
        <w:t>d</w:t>
      </w:r>
      <w:r w:rsidRPr="0084557C">
        <w:rPr>
          <w:iCs/>
        </w:rPr>
        <w:t xml:space="preserve">ebit </w:t>
      </w:r>
      <w:r w:rsidR="00A65E0F">
        <w:rPr>
          <w:iCs/>
        </w:rPr>
        <w:t>c</w:t>
      </w:r>
      <w:r w:rsidRPr="0084557C">
        <w:rPr>
          <w:iCs/>
        </w:rPr>
        <w:t>ards</w:t>
      </w:r>
      <w:r w:rsidRPr="00E9617E">
        <w:rPr>
          <w:iCs/>
        </w:rPr>
        <w:t>.</w:t>
      </w:r>
      <w:r w:rsidR="00DA3CA4">
        <w:rPr>
          <w:iCs/>
        </w:rPr>
        <w:t xml:space="preserve"> </w:t>
      </w:r>
      <w:r w:rsidR="00B17910">
        <w:rPr>
          <w:iCs/>
        </w:rPr>
        <w:t xml:space="preserve">The </w:t>
      </w:r>
      <w:r w:rsidR="00DA3CA4">
        <w:rPr>
          <w:iCs/>
        </w:rPr>
        <w:t xml:space="preserve">ABA </w:t>
      </w:r>
      <w:r w:rsidR="00FB691B">
        <w:rPr>
          <w:iCs/>
        </w:rPr>
        <w:t xml:space="preserve">also </w:t>
      </w:r>
      <w:r w:rsidR="00DA3CA4">
        <w:rPr>
          <w:iCs/>
        </w:rPr>
        <w:t xml:space="preserve">notes that the business model behind prepaid card can differ to that of debit </w:t>
      </w:r>
      <w:r w:rsidR="00B17910">
        <w:rPr>
          <w:iCs/>
        </w:rPr>
        <w:t>cards;</w:t>
      </w:r>
      <w:r w:rsidR="00DA3CA4">
        <w:rPr>
          <w:iCs/>
        </w:rPr>
        <w:t xml:space="preserve"> therefore further discussion will be needed to ensure any reform does not hinder innovation and growth in </w:t>
      </w:r>
      <w:r w:rsidR="0003007A">
        <w:rPr>
          <w:iCs/>
        </w:rPr>
        <w:t xml:space="preserve">any particular </w:t>
      </w:r>
      <w:r w:rsidR="00DA3CA4">
        <w:rPr>
          <w:iCs/>
        </w:rPr>
        <w:t>card sector.</w:t>
      </w:r>
    </w:p>
    <w:p w:rsidR="00C57B46" w:rsidRDefault="001F5648" w:rsidP="001F5648">
      <w:pPr>
        <w:rPr>
          <w:lang w:eastAsia="en-AU"/>
        </w:rPr>
      </w:pPr>
      <w:r w:rsidRPr="00E9617E">
        <w:rPr>
          <w:b/>
          <w:bCs/>
          <w:lang w:eastAsia="en-AU"/>
        </w:rPr>
        <w:t>Lowering interchange caps</w:t>
      </w:r>
    </w:p>
    <w:p w:rsidR="001F5648" w:rsidRDefault="001F5648" w:rsidP="001F5648">
      <w:pPr>
        <w:rPr>
          <w:b/>
          <w:bCs/>
          <w:lang w:eastAsia="en-AU"/>
        </w:rPr>
      </w:pPr>
      <w:r w:rsidRPr="00E9617E">
        <w:rPr>
          <w:lang w:eastAsia="en-AU"/>
        </w:rPr>
        <w:t>The FSI Final Report suggests that payments system efficiency could be enhanced by lowering interchange fee caps, with the benefits including lower product prices for all consumers as a result of lower merchant service fees, and less cross-subsidisation in the payments system.</w:t>
      </w:r>
      <w:r>
        <w:rPr>
          <w:lang w:eastAsia="en-AU"/>
        </w:rPr>
        <w:t xml:space="preserve"> </w:t>
      </w:r>
      <w:r>
        <w:t xml:space="preserve">The ABA does not support the further lowering or removal of interchange fees. It is suggested in the FSI </w:t>
      </w:r>
      <w:r w:rsidR="00C57B46">
        <w:t>Final R</w:t>
      </w:r>
      <w:r>
        <w:t>eport that lower merchant service fees will flow through in the form of lower product prices; this is not a guaranteed outcome and not an adequate basis for regulatory intervention. The RBA Issues Paper therefore provides no rationale for a further reduction</w:t>
      </w:r>
      <w:r w:rsidRPr="00DF41CC">
        <w:rPr>
          <w:lang w:eastAsia="en-AU"/>
        </w:rPr>
        <w:t xml:space="preserve"> </w:t>
      </w:r>
      <w:r w:rsidR="00C57B46">
        <w:rPr>
          <w:lang w:eastAsia="en-AU"/>
        </w:rPr>
        <w:t xml:space="preserve">in </w:t>
      </w:r>
      <w:r w:rsidRPr="00E9617E">
        <w:rPr>
          <w:lang w:eastAsia="en-AU"/>
        </w:rPr>
        <w:t>interchange fee caps</w:t>
      </w:r>
      <w:r>
        <w:t>, equally there is no evidence of a market failure warranting such an intervention.</w:t>
      </w:r>
      <w:r w:rsidR="00991767">
        <w:t xml:space="preserve"> </w:t>
      </w:r>
      <w:r>
        <w:t>The Issues Paper notes</w:t>
      </w:r>
      <w:r>
        <w:rPr>
          <w:rStyle w:val="FootnoteReference"/>
        </w:rPr>
        <w:footnoteReference w:id="1"/>
      </w:r>
      <w:r>
        <w:t xml:space="preserve"> that Australian interchange rates are already low by international standards; further reductions </w:t>
      </w:r>
      <w:r w:rsidR="00FB691B">
        <w:t>may have unintended consequences for adjacent industries or for product types that rely on interchange</w:t>
      </w:r>
      <w:r w:rsidR="00DB79E4">
        <w:t xml:space="preserve"> fees</w:t>
      </w:r>
      <w:r w:rsidR="00FB691B">
        <w:t xml:space="preserve"> to be economically viable (e.g. </w:t>
      </w:r>
      <w:r w:rsidR="00DB79E4">
        <w:lastRenderedPageBreak/>
        <w:t>c</w:t>
      </w:r>
      <w:r w:rsidR="00FB691B">
        <w:t xml:space="preserve">ommercial </w:t>
      </w:r>
      <w:r w:rsidR="00DB79E4">
        <w:t>c</w:t>
      </w:r>
      <w:r w:rsidR="00FB691B">
        <w:t xml:space="preserve">ards). It is the ABA’s view that such changes </w:t>
      </w:r>
      <w:r>
        <w:t xml:space="preserve">will not result </w:t>
      </w:r>
      <w:r w:rsidR="00A801E4">
        <w:t>in</w:t>
      </w:r>
      <w:r>
        <w:t xml:space="preserve"> </w:t>
      </w:r>
      <w:r w:rsidRPr="00E9617E">
        <w:t>a more efficient</w:t>
      </w:r>
      <w:r>
        <w:t>, secure</w:t>
      </w:r>
      <w:r w:rsidRPr="00E9617E">
        <w:t xml:space="preserve"> and competitive payments system</w:t>
      </w:r>
      <w:r>
        <w:t>.</w:t>
      </w:r>
    </w:p>
    <w:p w:rsidR="001F5648" w:rsidRPr="00FB691B" w:rsidRDefault="00FB691B" w:rsidP="001F5648">
      <w:pPr>
        <w:rPr>
          <w:bCs/>
          <w:lang w:eastAsia="en-AU"/>
        </w:rPr>
      </w:pPr>
      <w:r>
        <w:rPr>
          <w:bCs/>
          <w:lang w:eastAsia="en-AU"/>
        </w:rPr>
        <w:t>In regards to the proposal to r</w:t>
      </w:r>
      <w:r w:rsidRPr="00DF41CC">
        <w:rPr>
          <w:bCs/>
          <w:lang w:eastAsia="en-AU"/>
        </w:rPr>
        <w:t>eplac</w:t>
      </w:r>
      <w:r>
        <w:rPr>
          <w:bCs/>
          <w:lang w:eastAsia="en-AU"/>
        </w:rPr>
        <w:t>e</w:t>
      </w:r>
      <w:r w:rsidRPr="00DF41CC">
        <w:rPr>
          <w:bCs/>
          <w:lang w:eastAsia="en-AU"/>
        </w:rPr>
        <w:t xml:space="preserve"> weighted-average interchange caps with hard caps.</w:t>
      </w:r>
      <w:r w:rsidRPr="00E9617E">
        <w:rPr>
          <w:lang w:eastAsia="en-AU"/>
        </w:rPr>
        <w:t xml:space="preserve"> </w:t>
      </w:r>
      <w:r>
        <w:t>The ABA believes that any ‘hard cap’ would need to be designed in a way that promoted effective competition between 3 and 4 party schemes. The ABA would welcome further discussion on this proposal.</w:t>
      </w:r>
      <w:r>
        <w:rPr>
          <w:bCs/>
          <w:lang w:eastAsia="en-AU"/>
        </w:rPr>
        <w:t xml:space="preserve"> </w:t>
      </w:r>
      <w:r w:rsidR="001F5648">
        <w:rPr>
          <w:lang w:eastAsia="en-AU"/>
        </w:rPr>
        <w:t xml:space="preserve">The Issues Paper does not sufficiently </w:t>
      </w:r>
      <w:r w:rsidR="001F5648">
        <w:t xml:space="preserve">justify why such a change needs to </w:t>
      </w:r>
      <w:r w:rsidR="00026675">
        <w:t xml:space="preserve">be </w:t>
      </w:r>
      <w:r w:rsidR="001F5648">
        <w:t xml:space="preserve">made. One option for further discussion could be for a cap around the retention of the </w:t>
      </w:r>
      <w:r w:rsidR="001F5648" w:rsidRPr="00E9617E">
        <w:rPr>
          <w:lang w:eastAsia="en-AU"/>
        </w:rPr>
        <w:t>weighted-average caps</w:t>
      </w:r>
      <w:r w:rsidR="001F5648">
        <w:t xml:space="preserve"> at current levels. The ABA would also encourage the RBA to look beyond the new European Union (</w:t>
      </w:r>
      <w:r w:rsidR="001F5648" w:rsidRPr="00AD045C">
        <w:rPr>
          <w:b/>
        </w:rPr>
        <w:t>EU</w:t>
      </w:r>
      <w:r w:rsidR="001F5648">
        <w:t>) payments regulation;</w:t>
      </w:r>
      <w:r w:rsidR="001F5648">
        <w:rPr>
          <w:rStyle w:val="Emphasis"/>
        </w:rPr>
        <w:t xml:space="preserve"> </w:t>
      </w:r>
      <w:r w:rsidR="001F5648" w:rsidRPr="00DB79E4">
        <w:rPr>
          <w:rStyle w:val="Emphasis"/>
          <w:i w:val="0"/>
        </w:rPr>
        <w:t>the Canadian approach to interchange fees (widely welcomed by Canadian merchants</w:t>
      </w:r>
      <w:r w:rsidR="001F5648" w:rsidRPr="00DB79E4">
        <w:rPr>
          <w:rStyle w:val="FootnoteReference"/>
          <w:i/>
          <w:iCs/>
        </w:rPr>
        <w:footnoteReference w:id="2"/>
      </w:r>
      <w:r w:rsidR="001F5648" w:rsidRPr="00DB79E4">
        <w:rPr>
          <w:rStyle w:val="Emphasis"/>
          <w:i w:val="0"/>
        </w:rPr>
        <w:t xml:space="preserve">) may be more appropriate benchmark for Australia given the similarities between the banking sectors </w:t>
      </w:r>
      <w:r w:rsidR="0003007A">
        <w:rPr>
          <w:rStyle w:val="Emphasis"/>
          <w:i w:val="0"/>
        </w:rPr>
        <w:t>of</w:t>
      </w:r>
      <w:r w:rsidR="0003007A" w:rsidRPr="00DB79E4">
        <w:rPr>
          <w:rStyle w:val="Emphasis"/>
          <w:i w:val="0"/>
        </w:rPr>
        <w:t xml:space="preserve"> </w:t>
      </w:r>
      <w:r w:rsidR="001F5648" w:rsidRPr="00DB79E4">
        <w:rPr>
          <w:rStyle w:val="Emphasis"/>
          <w:i w:val="0"/>
        </w:rPr>
        <w:t>the Australian and Canadian jurisdictions.</w:t>
      </w:r>
    </w:p>
    <w:p w:rsidR="001F5648" w:rsidRDefault="001F5648" w:rsidP="001F5648">
      <w:r w:rsidRPr="00487465">
        <w:t>The ABA does not support</w:t>
      </w:r>
      <w:r>
        <w:t xml:space="preserve"> imposing</w:t>
      </w:r>
      <w:r w:rsidRPr="00487465">
        <w:rPr>
          <w:bCs/>
          <w:lang w:eastAsia="en-AU"/>
        </w:rPr>
        <w:t xml:space="preserve"> caps as the lesser of a fixed amount and a fixed percentage of transaction values</w:t>
      </w:r>
      <w:r w:rsidR="00FB691B">
        <w:rPr>
          <w:lang w:eastAsia="en-AU"/>
        </w:rPr>
        <w:t>,</w:t>
      </w:r>
      <w:r w:rsidRPr="00487465">
        <w:rPr>
          <w:lang w:eastAsia="en-AU"/>
        </w:rPr>
        <w:t xml:space="preserve"> </w:t>
      </w:r>
      <w:r w:rsidR="00FB691B">
        <w:rPr>
          <w:bCs/>
          <w:lang w:eastAsia="en-AU"/>
        </w:rPr>
        <w:t xml:space="preserve">particularly for credit transactions, as in this case costs typically are proportional to transaction size and as such this change may have unintended consequences that reduce the efficiency of the payment system. </w:t>
      </w:r>
      <w:r w:rsidR="00A801E4">
        <w:rPr>
          <w:lang w:eastAsia="en-AU"/>
        </w:rPr>
        <w:t xml:space="preserve">The </w:t>
      </w:r>
      <w:r>
        <w:rPr>
          <w:lang w:eastAsia="en-AU"/>
        </w:rPr>
        <w:t>ABA notes that certain schemes already apply this approach in selected cases, however the approach is</w:t>
      </w:r>
      <w:r w:rsidRPr="00487465">
        <w:rPr>
          <w:lang w:eastAsia="en-AU"/>
        </w:rPr>
        <w:t xml:space="preserve"> complex </w:t>
      </w:r>
      <w:r>
        <w:rPr>
          <w:lang w:eastAsia="en-AU"/>
        </w:rPr>
        <w:t xml:space="preserve">and </w:t>
      </w:r>
      <w:r w:rsidR="003250C9">
        <w:rPr>
          <w:lang w:eastAsia="en-AU"/>
        </w:rPr>
        <w:t xml:space="preserve">very </w:t>
      </w:r>
      <w:r>
        <w:rPr>
          <w:lang w:eastAsia="en-AU"/>
        </w:rPr>
        <w:t xml:space="preserve">costly </w:t>
      </w:r>
      <w:r w:rsidRPr="00487465">
        <w:rPr>
          <w:lang w:eastAsia="en-AU"/>
        </w:rPr>
        <w:t>to implement</w:t>
      </w:r>
      <w:r>
        <w:rPr>
          <w:lang w:eastAsia="en-AU"/>
        </w:rPr>
        <w:t>.</w:t>
      </w:r>
    </w:p>
    <w:p w:rsidR="001F5648" w:rsidRPr="00E9617E" w:rsidRDefault="001F5648" w:rsidP="001F5648">
      <w:pPr>
        <w:rPr>
          <w:bCs/>
          <w:lang w:eastAsia="en-AU"/>
        </w:rPr>
      </w:pPr>
      <w:r>
        <w:rPr>
          <w:iCs/>
        </w:rPr>
        <w:t xml:space="preserve">The </w:t>
      </w:r>
      <w:r w:rsidRPr="00E9617E">
        <w:rPr>
          <w:iCs/>
        </w:rPr>
        <w:t xml:space="preserve">ABA </w:t>
      </w:r>
      <w:r>
        <w:rPr>
          <w:iCs/>
        </w:rPr>
        <w:t>is also opposed to the view that</w:t>
      </w:r>
      <w:r w:rsidRPr="00E9617E">
        <w:rPr>
          <w:iCs/>
        </w:rPr>
        <w:t xml:space="preserve"> </w:t>
      </w:r>
      <w:r w:rsidRPr="00E9617E">
        <w:rPr>
          <w:bCs/>
          <w:lang w:eastAsia="en-AU"/>
        </w:rPr>
        <w:t xml:space="preserve">‘buying groups’ </w:t>
      </w:r>
      <w:r>
        <w:rPr>
          <w:bCs/>
          <w:lang w:eastAsia="en-AU"/>
        </w:rPr>
        <w:t>is an</w:t>
      </w:r>
      <w:r w:rsidRPr="00E9617E">
        <w:rPr>
          <w:bCs/>
          <w:lang w:eastAsia="en-AU"/>
        </w:rPr>
        <w:t xml:space="preserve"> effective and efficient regulatory response.</w:t>
      </w:r>
      <w:r w:rsidRPr="00E9617E">
        <w:rPr>
          <w:iCs/>
        </w:rPr>
        <w:t xml:space="preserve"> Conceptually</w:t>
      </w:r>
      <w:r>
        <w:rPr>
          <w:iCs/>
        </w:rPr>
        <w:t>, aspects of</w:t>
      </w:r>
      <w:r w:rsidRPr="00E9617E">
        <w:rPr>
          <w:iCs/>
        </w:rPr>
        <w:t xml:space="preserve"> the idea ha</w:t>
      </w:r>
      <w:r w:rsidR="00A801E4">
        <w:rPr>
          <w:iCs/>
        </w:rPr>
        <w:t>ve</w:t>
      </w:r>
      <w:r w:rsidRPr="00E9617E">
        <w:rPr>
          <w:iCs/>
        </w:rPr>
        <w:t xml:space="preserve"> value, however in practice </w:t>
      </w:r>
      <w:r>
        <w:rPr>
          <w:iCs/>
        </w:rPr>
        <w:t xml:space="preserve">this change </w:t>
      </w:r>
      <w:r w:rsidRPr="00E9617E">
        <w:rPr>
          <w:iCs/>
        </w:rPr>
        <w:t xml:space="preserve">would introduce significant </w:t>
      </w:r>
      <w:r>
        <w:rPr>
          <w:iCs/>
        </w:rPr>
        <w:t xml:space="preserve">cost and </w:t>
      </w:r>
      <w:r w:rsidRPr="00E9617E">
        <w:rPr>
          <w:iCs/>
        </w:rPr>
        <w:t>complexity (</w:t>
      </w:r>
      <w:r>
        <w:rPr>
          <w:iCs/>
        </w:rPr>
        <w:t xml:space="preserve">e.g. in relation to </w:t>
      </w:r>
      <w:r w:rsidRPr="00E9617E">
        <w:rPr>
          <w:iCs/>
        </w:rPr>
        <w:t>managing buying group members,</w:t>
      </w:r>
      <w:r>
        <w:rPr>
          <w:iCs/>
        </w:rPr>
        <w:t xml:space="preserve"> </w:t>
      </w:r>
      <w:r w:rsidRPr="00E9617E">
        <w:rPr>
          <w:iCs/>
        </w:rPr>
        <w:t>multiple group</w:t>
      </w:r>
      <w:r>
        <w:rPr>
          <w:iCs/>
        </w:rPr>
        <w:t xml:space="preserve"> membership etc.</w:t>
      </w:r>
      <w:r w:rsidRPr="00E9617E">
        <w:rPr>
          <w:iCs/>
        </w:rPr>
        <w:t>)</w:t>
      </w:r>
      <w:r>
        <w:rPr>
          <w:iCs/>
        </w:rPr>
        <w:t>.</w:t>
      </w:r>
      <w:r w:rsidRPr="00457C4E">
        <w:t xml:space="preserve"> </w:t>
      </w:r>
      <w:r w:rsidR="00A801E4">
        <w:t xml:space="preserve">The </w:t>
      </w:r>
      <w:r>
        <w:t>ABA notes that such an initiative would not be required under an interchange fee regime based on a cap around current weighted average interchange fees.</w:t>
      </w:r>
    </w:p>
    <w:p w:rsidR="001F5648" w:rsidRPr="00920033" w:rsidRDefault="001F5648" w:rsidP="001F5648">
      <w:pPr>
        <w:pStyle w:val="ABAHeading2-PlainText"/>
        <w:rPr>
          <w:lang w:eastAsia="en-AU"/>
        </w:rPr>
      </w:pPr>
      <w:r w:rsidRPr="00920033">
        <w:t>Surcharging</w:t>
      </w:r>
    </w:p>
    <w:p w:rsidR="001F5648" w:rsidRPr="00920033" w:rsidRDefault="001F5648" w:rsidP="001F5648">
      <w:r>
        <w:t xml:space="preserve">Consistent with the ABA </w:t>
      </w:r>
      <w:r w:rsidR="00026675">
        <w:t>s</w:t>
      </w:r>
      <w:r>
        <w:t>ubmission</w:t>
      </w:r>
      <w:r>
        <w:rPr>
          <w:rStyle w:val="FootnoteReference"/>
          <w:rFonts w:cs="TTE1648578t00"/>
        </w:rPr>
        <w:footnoteReference w:id="3"/>
      </w:r>
      <w:r>
        <w:t xml:space="preserve"> to the 2007/08 Payments System Review, t</w:t>
      </w:r>
      <w:r w:rsidRPr="00920033">
        <w:t>he ability for merchants to surcharge undermines the rationale for interchange regulation which aims to configure retail payment prices according to underlying resource cost. However</w:t>
      </w:r>
      <w:r w:rsidR="00026675">
        <w:t>,</w:t>
      </w:r>
      <w:r>
        <w:t xml:space="preserve"> instances of e</w:t>
      </w:r>
      <w:r w:rsidRPr="00920033">
        <w:t>xce</w:t>
      </w:r>
      <w:r>
        <w:t>ssive surcharging are a concern as this can adversely impact</w:t>
      </w:r>
      <w:r w:rsidRPr="00920033">
        <w:t xml:space="preserve"> on payments system efficiency.</w:t>
      </w:r>
    </w:p>
    <w:p w:rsidR="001F5648" w:rsidRDefault="001F5648" w:rsidP="001F5648">
      <w:r w:rsidRPr="00920033">
        <w:t>The ABA notes and agrees with APCA’s existing policy position that market and self-regulatory based solutions or existing legislation should be explored before consideration of any new price capping response to address excessive surcharging.</w:t>
      </w:r>
      <w:r w:rsidR="00991767">
        <w:t xml:space="preserve"> </w:t>
      </w:r>
      <w:r w:rsidRPr="00920033">
        <w:t>This includes the application of existing consumer protection provisions on pricing.</w:t>
      </w:r>
    </w:p>
    <w:p w:rsidR="001F5648" w:rsidRPr="0084557C" w:rsidRDefault="001F5648" w:rsidP="001F5648">
      <w:r>
        <w:t>E</w:t>
      </w:r>
      <w:r w:rsidRPr="0084557C">
        <w:t>xcessive surcharging which is a potential indicator of the misuse of market power, rather than an underlying payments regulation issue</w:t>
      </w:r>
      <w:r>
        <w:t>,</w:t>
      </w:r>
      <w:r w:rsidRPr="0084557C">
        <w:t xml:space="preserve"> should be referred to ACCC.</w:t>
      </w:r>
      <w:r w:rsidR="00991767">
        <w:t xml:space="preserve"> </w:t>
      </w:r>
      <w:r>
        <w:t>In regard to the seeking of views on targeted changes to reduce particular cases of excessive surcharging; a</w:t>
      </w:r>
      <w:r w:rsidRPr="0084557C">
        <w:t xml:space="preserve"> simple cap or upper limit might be a useful compromise</w:t>
      </w:r>
      <w:r w:rsidR="0003007A">
        <w:t xml:space="preserve"> for consideration.</w:t>
      </w:r>
      <w:r w:rsidRPr="0084557C">
        <w:t xml:space="preserve"> </w:t>
      </w:r>
    </w:p>
    <w:p w:rsidR="001F5648" w:rsidRPr="0084557C" w:rsidRDefault="00A801E4" w:rsidP="001F5648">
      <w:r>
        <w:rPr>
          <w:iCs/>
        </w:rPr>
        <w:t xml:space="preserve">The </w:t>
      </w:r>
      <w:r w:rsidR="001F5648" w:rsidRPr="0084557C">
        <w:rPr>
          <w:iCs/>
        </w:rPr>
        <w:t>ABA</w:t>
      </w:r>
      <w:r w:rsidR="001F5648">
        <w:rPr>
          <w:iCs/>
        </w:rPr>
        <w:t xml:space="preserve"> also agrees with APCA that the FSI recommendation for three-tiered surcharging not be pursued. ABA members have indicated that the t</w:t>
      </w:r>
      <w:r w:rsidR="001F5648" w:rsidRPr="0084557C">
        <w:rPr>
          <w:iCs/>
        </w:rPr>
        <w:t xml:space="preserve">echnology </w:t>
      </w:r>
      <w:r w:rsidR="001F5648">
        <w:rPr>
          <w:iCs/>
        </w:rPr>
        <w:t xml:space="preserve">changes required </w:t>
      </w:r>
      <w:r w:rsidR="001F5648" w:rsidRPr="0084557C">
        <w:rPr>
          <w:iCs/>
        </w:rPr>
        <w:t>to underpin differential surcharging would be significant</w:t>
      </w:r>
      <w:r w:rsidR="00FB691B">
        <w:rPr>
          <w:iCs/>
        </w:rPr>
        <w:t xml:space="preserve">, </w:t>
      </w:r>
      <w:r w:rsidR="00FB691B">
        <w:t xml:space="preserve">and would divert finite resources from other </w:t>
      </w:r>
      <w:r w:rsidR="003250C9">
        <w:t xml:space="preserve">important </w:t>
      </w:r>
      <w:r w:rsidR="00FB691B">
        <w:t>payment related initiatives like the NPP</w:t>
      </w:r>
      <w:r w:rsidR="00FB691B">
        <w:rPr>
          <w:iCs/>
        </w:rPr>
        <w:t>.</w:t>
      </w:r>
    </w:p>
    <w:p w:rsidR="001F5648" w:rsidRPr="0084557C" w:rsidRDefault="001F5648" w:rsidP="001F5648">
      <w:r>
        <w:t xml:space="preserve">The ABA notes that the above ABA position on surcharging is not a universally held view across our membership. The ABA would encourage the RBA to </w:t>
      </w:r>
      <w:r w:rsidRPr="00E9617E">
        <w:t>meet with intereste</w:t>
      </w:r>
      <w:r>
        <w:t>d parties to discuss potential</w:t>
      </w:r>
      <w:r w:rsidRPr="00E9617E">
        <w:t xml:space="preserve"> options</w:t>
      </w:r>
      <w:r>
        <w:t xml:space="preserve"> before any further decision is made.</w:t>
      </w:r>
    </w:p>
    <w:p w:rsidR="001F5648" w:rsidRPr="00E278CF" w:rsidRDefault="001F5648" w:rsidP="001F5648">
      <w:pPr>
        <w:pStyle w:val="ABAHeading2-PlainText"/>
        <w:rPr>
          <w:lang w:eastAsia="en-AU"/>
        </w:rPr>
      </w:pPr>
      <w:r w:rsidRPr="00E278CF">
        <w:rPr>
          <w:lang w:eastAsia="en-AU"/>
        </w:rPr>
        <w:lastRenderedPageBreak/>
        <w:t>Other possible regulatory changes</w:t>
      </w:r>
    </w:p>
    <w:p w:rsidR="001F5648" w:rsidRPr="00E9617E" w:rsidRDefault="00A801E4" w:rsidP="001F5648">
      <w:pPr>
        <w:rPr>
          <w:lang w:eastAsia="en-AU"/>
        </w:rPr>
      </w:pPr>
      <w:r>
        <w:rPr>
          <w:lang w:eastAsia="en-AU"/>
        </w:rPr>
        <w:t xml:space="preserve">The </w:t>
      </w:r>
      <w:r w:rsidR="001F5648">
        <w:rPr>
          <w:lang w:eastAsia="en-AU"/>
        </w:rPr>
        <w:t xml:space="preserve">ABA also has </w:t>
      </w:r>
      <w:r w:rsidR="001F5648" w:rsidRPr="00E9617E">
        <w:rPr>
          <w:lang w:eastAsia="en-AU"/>
        </w:rPr>
        <w:t>views on some other potential regulatory changes that could improve the way that market forc</w:t>
      </w:r>
      <w:r w:rsidR="001F5648">
        <w:rPr>
          <w:lang w:eastAsia="en-AU"/>
        </w:rPr>
        <w:t>es operate in the card</w:t>
      </w:r>
      <w:r w:rsidR="00026675">
        <w:rPr>
          <w:lang w:eastAsia="en-AU"/>
        </w:rPr>
        <w:t xml:space="preserve"> payments</w:t>
      </w:r>
      <w:r w:rsidR="001F5648">
        <w:rPr>
          <w:lang w:eastAsia="en-AU"/>
        </w:rPr>
        <w:t xml:space="preserve"> system. The </w:t>
      </w:r>
      <w:r w:rsidR="001F5648" w:rsidRPr="00E9617E">
        <w:rPr>
          <w:iCs/>
        </w:rPr>
        <w:t>ABA supports measures to improve transparency such as better identification of debit and credit cards (</w:t>
      </w:r>
      <w:r w:rsidR="001F5648">
        <w:rPr>
          <w:iCs/>
        </w:rPr>
        <w:t xml:space="preserve">both </w:t>
      </w:r>
      <w:r w:rsidR="001F5648" w:rsidRPr="00E9617E">
        <w:rPr>
          <w:iCs/>
        </w:rPr>
        <w:t>visually and electronically)</w:t>
      </w:r>
      <w:r w:rsidR="001F5648">
        <w:rPr>
          <w:iCs/>
        </w:rPr>
        <w:t xml:space="preserve">, but notes some banks may incur significant costs to implement such a change. The </w:t>
      </w:r>
      <w:r w:rsidR="001F5648" w:rsidRPr="00E9617E">
        <w:rPr>
          <w:iCs/>
        </w:rPr>
        <w:t xml:space="preserve">ABA does not support providing merchants and cardholders with real time pricing information given the significant technology challenges involved and </w:t>
      </w:r>
      <w:r w:rsidR="001F5648">
        <w:rPr>
          <w:iCs/>
        </w:rPr>
        <w:t xml:space="preserve">the operational </w:t>
      </w:r>
      <w:r w:rsidR="001F5648" w:rsidRPr="00E9617E">
        <w:rPr>
          <w:iCs/>
        </w:rPr>
        <w:t xml:space="preserve">implications for </w:t>
      </w:r>
      <w:r w:rsidR="001F5648">
        <w:rPr>
          <w:iCs/>
        </w:rPr>
        <w:t xml:space="preserve">both the merchant, their staff and the </w:t>
      </w:r>
      <w:r w:rsidR="001F5648" w:rsidRPr="00E9617E">
        <w:rPr>
          <w:iCs/>
        </w:rPr>
        <w:t>customer.</w:t>
      </w:r>
    </w:p>
    <w:p w:rsidR="001F5648" w:rsidRPr="0084557C" w:rsidRDefault="00A801E4" w:rsidP="001F5648">
      <w:pPr>
        <w:rPr>
          <w:lang w:eastAsia="en-AU"/>
        </w:rPr>
      </w:pPr>
      <w:r>
        <w:rPr>
          <w:iCs/>
        </w:rPr>
        <w:t xml:space="preserve">The </w:t>
      </w:r>
      <w:r w:rsidR="001F5648" w:rsidRPr="0084557C">
        <w:rPr>
          <w:iCs/>
        </w:rPr>
        <w:t xml:space="preserve">ABA does not support </w:t>
      </w:r>
      <w:r w:rsidR="001F5648" w:rsidRPr="0084557C">
        <w:rPr>
          <w:bCs/>
          <w:lang w:eastAsia="en-AU"/>
        </w:rPr>
        <w:t>further easing of ‘honour-all-cards’ rules to allow merchants to decline to accept cards with high interchange fees</w:t>
      </w:r>
      <w:r w:rsidR="00E12102" w:rsidRPr="00E12102">
        <w:rPr>
          <w:bCs/>
          <w:lang w:eastAsia="en-AU"/>
        </w:rPr>
        <w:t xml:space="preserve"> </w:t>
      </w:r>
      <w:r w:rsidR="00E12102">
        <w:rPr>
          <w:bCs/>
          <w:lang w:eastAsia="en-AU"/>
        </w:rPr>
        <w:t xml:space="preserve">as this </w:t>
      </w:r>
      <w:r w:rsidR="00DB79E4">
        <w:rPr>
          <w:bCs/>
          <w:lang w:eastAsia="en-AU"/>
        </w:rPr>
        <w:t xml:space="preserve">could </w:t>
      </w:r>
      <w:r w:rsidR="00E12102">
        <w:rPr>
          <w:bCs/>
          <w:lang w:eastAsia="en-AU"/>
        </w:rPr>
        <w:t>add confusion and friction to the payments process</w:t>
      </w:r>
      <w:r w:rsidR="00E12102" w:rsidRPr="0084557C">
        <w:rPr>
          <w:bCs/>
          <w:lang w:eastAsia="en-AU"/>
        </w:rPr>
        <w:t>.</w:t>
      </w:r>
      <w:r w:rsidR="00E12102" w:rsidRPr="0084557C">
        <w:rPr>
          <w:lang w:eastAsia="en-AU"/>
        </w:rPr>
        <w:t xml:space="preserve"> </w:t>
      </w:r>
      <w:r>
        <w:rPr>
          <w:iCs/>
        </w:rPr>
        <w:t xml:space="preserve">The </w:t>
      </w:r>
      <w:r w:rsidR="001F5648" w:rsidRPr="0084557C">
        <w:rPr>
          <w:iCs/>
        </w:rPr>
        <w:t>ABA believes that merchants should accept all credit cards from a given scheme and that measures to limit interchange are a more appropriate action.</w:t>
      </w:r>
    </w:p>
    <w:p w:rsidR="001F5648" w:rsidRPr="00E9617E" w:rsidRDefault="00A801E4" w:rsidP="001F5648">
      <w:pPr>
        <w:rPr>
          <w:lang w:eastAsia="en-AU"/>
        </w:rPr>
      </w:pPr>
      <w:r>
        <w:rPr>
          <w:iCs/>
        </w:rPr>
        <w:t xml:space="preserve">The </w:t>
      </w:r>
      <w:r w:rsidR="001F5648" w:rsidRPr="00E9617E">
        <w:rPr>
          <w:iCs/>
        </w:rPr>
        <w:t xml:space="preserve">ABA </w:t>
      </w:r>
      <w:r w:rsidR="001F5648">
        <w:rPr>
          <w:iCs/>
        </w:rPr>
        <w:t xml:space="preserve">does not </w:t>
      </w:r>
      <w:r w:rsidR="001F5648" w:rsidRPr="00E9617E">
        <w:rPr>
          <w:iCs/>
        </w:rPr>
        <w:t>support</w:t>
      </w:r>
      <w:r w:rsidR="001F5648">
        <w:rPr>
          <w:iCs/>
        </w:rPr>
        <w:t xml:space="preserve"> the proposal to enable</w:t>
      </w:r>
      <w:r w:rsidR="001F5648" w:rsidRPr="00E9617E">
        <w:rPr>
          <w:iCs/>
        </w:rPr>
        <w:t xml:space="preserve"> mer</w:t>
      </w:r>
      <w:r w:rsidR="001F5648">
        <w:rPr>
          <w:iCs/>
        </w:rPr>
        <w:t xml:space="preserve">chants to choose which scheme and/or </w:t>
      </w:r>
      <w:r w:rsidR="001F5648" w:rsidRPr="00E9617E">
        <w:rPr>
          <w:iCs/>
        </w:rPr>
        <w:t xml:space="preserve">network to route transactions through. </w:t>
      </w:r>
      <w:r w:rsidR="0003007A">
        <w:rPr>
          <w:iCs/>
        </w:rPr>
        <w:t xml:space="preserve">The ABA is concerned that network </w:t>
      </w:r>
      <w:r w:rsidR="0003007A" w:rsidRPr="00E9617E">
        <w:rPr>
          <w:iCs/>
        </w:rPr>
        <w:t xml:space="preserve">routing other than that </w:t>
      </w:r>
      <w:r w:rsidR="0003007A">
        <w:rPr>
          <w:iCs/>
        </w:rPr>
        <w:t xml:space="preserve">made at the direction of the </w:t>
      </w:r>
      <w:r w:rsidR="0003007A" w:rsidRPr="00E9617E">
        <w:rPr>
          <w:iCs/>
        </w:rPr>
        <w:t xml:space="preserve">customer, </w:t>
      </w:r>
      <w:r w:rsidR="0003007A">
        <w:rPr>
          <w:iCs/>
        </w:rPr>
        <w:t>would lead to customer confusion and complaints as it may result in some features the customer expected to have in relation to the payment not applying (e.g. insurances or points</w:t>
      </w:r>
      <w:r w:rsidR="00E12102">
        <w:rPr>
          <w:iCs/>
        </w:rPr>
        <w:t xml:space="preserve">). </w:t>
      </w:r>
      <w:r w:rsidR="001F5648" w:rsidRPr="00E9617E">
        <w:rPr>
          <w:iCs/>
        </w:rPr>
        <w:t>This would not be a satisfactory outcome for consumers.</w:t>
      </w:r>
    </w:p>
    <w:p w:rsidR="001F5648" w:rsidRPr="00E9617E" w:rsidRDefault="001F5648" w:rsidP="001F5648">
      <w:pPr>
        <w:rPr>
          <w:lang w:eastAsia="en-AU"/>
        </w:rPr>
      </w:pPr>
      <w:r w:rsidRPr="00E9617E">
        <w:rPr>
          <w:bCs/>
          <w:lang w:eastAsia="en-AU"/>
        </w:rPr>
        <w:t>In regards to clarifying arrangements for competing payment options within a single device or application</w:t>
      </w:r>
      <w:r>
        <w:rPr>
          <w:bCs/>
          <w:lang w:eastAsia="en-AU"/>
        </w:rPr>
        <w:t>, the</w:t>
      </w:r>
      <w:r w:rsidRPr="00E9617E">
        <w:rPr>
          <w:iCs/>
        </w:rPr>
        <w:t xml:space="preserve"> ABA strongly supports the principle of customer choice, and would support </w:t>
      </w:r>
      <w:r>
        <w:rPr>
          <w:iCs/>
        </w:rPr>
        <w:t>changes</w:t>
      </w:r>
      <w:r w:rsidRPr="00E9617E">
        <w:rPr>
          <w:iCs/>
        </w:rPr>
        <w:t xml:space="preserve"> </w:t>
      </w:r>
      <w:r>
        <w:rPr>
          <w:iCs/>
        </w:rPr>
        <w:t>to</w:t>
      </w:r>
      <w:r w:rsidRPr="00E9617E">
        <w:rPr>
          <w:iCs/>
        </w:rPr>
        <w:t xml:space="preserve"> remove discriminatory routing and </w:t>
      </w:r>
      <w:r w:rsidR="00A801E4">
        <w:rPr>
          <w:iCs/>
        </w:rPr>
        <w:t xml:space="preserve">limit </w:t>
      </w:r>
      <w:r w:rsidRPr="00E9617E">
        <w:rPr>
          <w:iCs/>
        </w:rPr>
        <w:t>attempts to restrict payment method</w:t>
      </w:r>
      <w:r w:rsidR="00991767">
        <w:rPr>
          <w:iCs/>
        </w:rPr>
        <w:t>s</w:t>
      </w:r>
      <w:r w:rsidRPr="00E9617E">
        <w:rPr>
          <w:iCs/>
        </w:rPr>
        <w:t>.</w:t>
      </w:r>
    </w:p>
    <w:p w:rsidR="001F5648" w:rsidRPr="00E9617E" w:rsidRDefault="001F5648" w:rsidP="001F5648">
      <w:pPr>
        <w:rPr>
          <w:rFonts w:cs="Helvetica"/>
        </w:rPr>
      </w:pPr>
      <w:r w:rsidRPr="00E9617E">
        <w:rPr>
          <w:rFonts w:cs="Helvetica"/>
        </w:rPr>
        <w:t xml:space="preserve">It is the view of the ABA and its members that any review of </w:t>
      </w:r>
      <w:r>
        <w:rPr>
          <w:rFonts w:cs="Arial"/>
        </w:rPr>
        <w:t>card payments r</w:t>
      </w:r>
      <w:r w:rsidRPr="00E9617E">
        <w:rPr>
          <w:rFonts w:cs="Arial"/>
        </w:rPr>
        <w:t xml:space="preserve">egulation </w:t>
      </w:r>
      <w:r w:rsidRPr="00E9617E">
        <w:rPr>
          <w:rFonts w:cs="Helvetica"/>
        </w:rPr>
        <w:t xml:space="preserve">or discussion about policy settings should </w:t>
      </w:r>
      <w:r w:rsidR="003250C9">
        <w:rPr>
          <w:rFonts w:cs="Helvetica"/>
        </w:rPr>
        <w:t xml:space="preserve">seek to </w:t>
      </w:r>
      <w:r w:rsidRPr="00E9617E">
        <w:rPr>
          <w:rFonts w:cs="Helvetica"/>
        </w:rPr>
        <w:t xml:space="preserve">ensure that the payments system continues to achieve a balance between security, </w:t>
      </w:r>
      <w:r w:rsidR="0003007A">
        <w:rPr>
          <w:rFonts w:cs="Helvetica"/>
        </w:rPr>
        <w:t xml:space="preserve">stability, </w:t>
      </w:r>
      <w:r w:rsidRPr="00E9617E">
        <w:rPr>
          <w:rFonts w:cs="Helvetica"/>
        </w:rPr>
        <w:t>convenience and confidence, while maintaining competiti</w:t>
      </w:r>
      <w:r>
        <w:rPr>
          <w:rFonts w:cs="Helvetica"/>
        </w:rPr>
        <w:t>ve tensions and positive outcomes for consumers</w:t>
      </w:r>
      <w:r w:rsidRPr="00E9617E">
        <w:rPr>
          <w:rFonts w:cs="Helvetica"/>
        </w:rPr>
        <w:t>.</w:t>
      </w:r>
    </w:p>
    <w:p w:rsidR="001F5648" w:rsidRPr="00E9617E" w:rsidRDefault="001F5648" w:rsidP="001F5648">
      <w:pPr>
        <w:autoSpaceDE w:val="0"/>
        <w:autoSpaceDN w:val="0"/>
        <w:adjustRightInd w:val="0"/>
        <w:rPr>
          <w:rFonts w:cs="Helvetica"/>
        </w:rPr>
      </w:pPr>
      <w:r w:rsidRPr="00E9617E">
        <w:rPr>
          <w:rFonts w:cs="Helvetica"/>
        </w:rPr>
        <w:t>The ABA believes that the existing framework provide</w:t>
      </w:r>
      <w:r w:rsidR="00991767">
        <w:rPr>
          <w:rFonts w:cs="Helvetica"/>
        </w:rPr>
        <w:t>s</w:t>
      </w:r>
      <w:r w:rsidRPr="00E9617E">
        <w:rPr>
          <w:rFonts w:cs="Helvetica"/>
        </w:rPr>
        <w:t xml:space="preserve"> sufficient flexibility to facilitate innovation and competi</w:t>
      </w:r>
      <w:r>
        <w:rPr>
          <w:rFonts w:cs="Helvetica"/>
        </w:rPr>
        <w:t>ti</w:t>
      </w:r>
      <w:r w:rsidRPr="00E9617E">
        <w:rPr>
          <w:rFonts w:cs="Helvetica"/>
        </w:rPr>
        <w:t xml:space="preserve">on while being in the best interest of the public, and has </w:t>
      </w:r>
      <w:r w:rsidR="003250C9">
        <w:rPr>
          <w:rFonts w:cs="Helvetica"/>
        </w:rPr>
        <w:t xml:space="preserve">already </w:t>
      </w:r>
      <w:r w:rsidRPr="00E9617E">
        <w:rPr>
          <w:rFonts w:cs="Helvetica"/>
        </w:rPr>
        <w:t>proved effective as framework for the management of systemic risk within the financial system.</w:t>
      </w:r>
    </w:p>
    <w:p w:rsidR="001F5648" w:rsidRPr="00E9617E" w:rsidRDefault="00A801E4" w:rsidP="001F5648">
      <w:pPr>
        <w:spacing w:beforeAutospacing="1" w:afterAutospacing="1"/>
        <w:outlineLvl w:val="2"/>
        <w:rPr>
          <w:bCs/>
          <w:lang w:eastAsia="en-AU"/>
        </w:rPr>
      </w:pPr>
      <w:r>
        <w:rPr>
          <w:bCs/>
          <w:lang w:eastAsia="en-AU"/>
        </w:rPr>
        <w:t xml:space="preserve">The </w:t>
      </w:r>
      <w:r w:rsidR="001F5648" w:rsidRPr="00E9617E">
        <w:rPr>
          <w:bCs/>
          <w:lang w:eastAsia="en-AU"/>
        </w:rPr>
        <w:t>ABA looks forward to the opportunity to further discuss the options once the RBA has considered all submissions.</w:t>
      </w:r>
    </w:p>
    <w:p w:rsidR="000B7E69" w:rsidRDefault="005210EA" w:rsidP="005210EA">
      <w:r>
        <w:t>Yours sincerely,</w:t>
      </w:r>
    </w:p>
    <w:p w:rsidR="00B17910" w:rsidRDefault="00B16518" w:rsidP="00B17910">
      <w:pPr>
        <w:pStyle w:val="ListBullet"/>
        <w:numPr>
          <w:ilvl w:val="0"/>
          <w:numId w:val="0"/>
        </w:numPr>
      </w:pPr>
      <w:r>
        <w:rPr>
          <w:noProof/>
          <w:lang w:eastAsia="en-AU"/>
        </w:rPr>
        <w:drawing>
          <wp:inline distT="0" distB="0" distL="0" distR="0">
            <wp:extent cx="2381250" cy="752475"/>
            <wp:effectExtent l="0" t="0" r="0" b="0"/>
            <wp:docPr id="5" name="Picture 2" descr="F:\ABA DIRECTORS\Electronic Signatures\Aidan O'Shaughnes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A DIRECTORS\Electronic Signatures\Aidan O'Shaughness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81250" cy="752475"/>
                    </a:xfrm>
                    <a:prstGeom prst="rect">
                      <a:avLst/>
                    </a:prstGeom>
                    <a:noFill/>
                    <a:ln>
                      <a:noFill/>
                    </a:ln>
                  </pic:spPr>
                </pic:pic>
              </a:graphicData>
            </a:graphic>
          </wp:inline>
        </w:drawing>
      </w:r>
    </w:p>
    <w:p w:rsidR="00E965B7" w:rsidRDefault="00E965B7" w:rsidP="00B17910">
      <w:pPr>
        <w:pStyle w:val="ListBullet"/>
        <w:numPr>
          <w:ilvl w:val="0"/>
          <w:numId w:val="0"/>
        </w:numPr>
      </w:pPr>
      <w:r>
        <w:t>_______________________________</w:t>
      </w:r>
    </w:p>
    <w:p w:rsidR="008A7394" w:rsidRDefault="0063161A" w:rsidP="002C1D17">
      <w:r>
        <w:t>Aidan O’Shaughnessy</w:t>
      </w:r>
    </w:p>
    <w:sectPr w:rsidR="008A7394" w:rsidSect="00F16B09">
      <w:headerReference w:type="even" r:id="rId11"/>
      <w:headerReference w:type="default" r:id="rId12"/>
      <w:footerReference w:type="default" r:id="rId13"/>
      <w:headerReference w:type="first" r:id="rId14"/>
      <w:footerReference w:type="first" r:id="rId15"/>
      <w:pgSz w:w="11899" w:h="16838"/>
      <w:pgMar w:top="1950" w:right="851" w:bottom="1440" w:left="851" w:header="992" w:footer="411" w:gutter="0"/>
      <w:pgNumType w:start="1"/>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53AA" w:rsidRDefault="007753AA" w:rsidP="00351FF2">
      <w:r>
        <w:separator/>
      </w:r>
    </w:p>
    <w:p w:rsidR="007753AA" w:rsidRDefault="007753AA"/>
    <w:p w:rsidR="007753AA" w:rsidRDefault="007753AA" w:rsidP="0000669E"/>
    <w:p w:rsidR="007753AA" w:rsidRDefault="007753AA"/>
  </w:endnote>
  <w:endnote w:type="continuationSeparator" w:id="0">
    <w:p w:rsidR="007753AA" w:rsidRDefault="007753AA" w:rsidP="00351FF2">
      <w:r>
        <w:continuationSeparator/>
      </w:r>
    </w:p>
    <w:p w:rsidR="007753AA" w:rsidRDefault="007753AA"/>
    <w:p w:rsidR="007753AA" w:rsidRDefault="007753AA" w:rsidP="0000669E"/>
    <w:p w:rsidR="007753AA" w:rsidRDefault="007753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5 Light">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TTE1648578t00">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567" w:rsidRDefault="00B16518">
    <w:pPr>
      <w:pStyle w:val="Footer"/>
    </w:pPr>
    <w:r>
      <w:rPr>
        <w:noProof/>
        <w:lang w:eastAsia="en-AU"/>
      </w:rPr>
      <w:drawing>
        <wp:anchor distT="0" distB="0" distL="114300" distR="114300" simplePos="0" relativeHeight="251658240" behindDoc="1" locked="0" layoutInCell="1" allowOverlap="1">
          <wp:simplePos x="0" y="0"/>
          <wp:positionH relativeFrom="page">
            <wp:posOffset>349250</wp:posOffset>
          </wp:positionH>
          <wp:positionV relativeFrom="page">
            <wp:posOffset>10473690</wp:posOffset>
          </wp:positionV>
          <wp:extent cx="6842125" cy="247015"/>
          <wp:effectExtent l="0" t="0" r="0" b="0"/>
          <wp:wrapNone/>
          <wp:docPr id="2" name="Picture 9" descr="Footer bar in ABA branding col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oter bar in ABA branding colour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42125" cy="24701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567" w:rsidRPr="00991F20" w:rsidRDefault="00B16518" w:rsidP="00991F20">
    <w:pPr>
      <w:pStyle w:val="Footer"/>
      <w:jc w:val="right"/>
      <w:rPr>
        <w:szCs w:val="16"/>
      </w:rPr>
    </w:pPr>
    <w:r>
      <w:rPr>
        <w:noProof/>
        <w:lang w:eastAsia="en-AU"/>
      </w:rPr>
      <mc:AlternateContent>
        <mc:Choice Requires="wps">
          <w:drawing>
            <wp:anchor distT="0" distB="0" distL="114300" distR="114300" simplePos="0" relativeHeight="251660288" behindDoc="0" locked="0" layoutInCell="1" allowOverlap="1">
              <wp:simplePos x="0" y="0"/>
              <wp:positionH relativeFrom="page">
                <wp:posOffset>287020</wp:posOffset>
              </wp:positionH>
              <wp:positionV relativeFrom="page">
                <wp:posOffset>9944735</wp:posOffset>
              </wp:positionV>
              <wp:extent cx="3256280" cy="397510"/>
              <wp:effectExtent l="0" t="0" r="0" b="2540"/>
              <wp:wrapSquare wrapText="bothSides"/>
              <wp:docPr id="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6280" cy="397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6AD1" w:rsidRPr="00916AD1" w:rsidRDefault="00916AD1" w:rsidP="00916AD1">
                          <w:pPr>
                            <w:pStyle w:val="Disclaimer"/>
                            <w:rPr>
                              <w:rFonts w:asciiTheme="majorHAnsi" w:hAnsiTheme="majorHAnsi" w:cs="Cambria"/>
                              <w:sz w:val="16"/>
                              <w:szCs w:val="16"/>
                            </w:rPr>
                          </w:pPr>
                          <w:r w:rsidRPr="00916AD1">
                            <w:rPr>
                              <w:rFonts w:asciiTheme="majorHAnsi" w:hAnsiTheme="majorHAnsi" w:cs="Cambria"/>
                              <w:sz w:val="16"/>
                              <w:szCs w:val="16"/>
                            </w:rPr>
                            <w:t>Australian Bankers’ Association Inc. ARBN 117 262 978</w:t>
                          </w:r>
                        </w:p>
                        <w:p w:rsidR="00916AD1" w:rsidRPr="00916AD1" w:rsidRDefault="00916AD1" w:rsidP="001514C6">
                          <w:pPr>
                            <w:pStyle w:val="Disclaimer"/>
                            <w:rPr>
                              <w:rFonts w:asciiTheme="majorHAnsi" w:hAnsiTheme="majorHAnsi" w:cs="Cambria"/>
                              <w:sz w:val="16"/>
                              <w:szCs w:val="16"/>
                            </w:rPr>
                          </w:pPr>
                          <w:r w:rsidRPr="00916AD1">
                            <w:rPr>
                              <w:rFonts w:asciiTheme="majorHAnsi" w:hAnsiTheme="majorHAnsi" w:cs="Cambria"/>
                              <w:sz w:val="16"/>
                              <w:szCs w:val="16"/>
                            </w:rPr>
                            <w:t>(Incorporated in New South Wales). Liability of members is limited.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22.6pt;margin-top:783.05pt;width:256.4pt;height:31.3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" filled="f" stroked="f">
              <v:textbox>
                <w:txbxContent>
                  <w:p w:rsidR="00916AD1" w:rsidRPr="00916AD1" w:rsidRDefault="00916AD1" w:rsidP="00916AD1">
                    <w:pPr>
                      <w:pStyle w:val="Disclaimer"/>
                      <w:rPr>
                        <w:rFonts w:asciiTheme="majorHAnsi" w:hAnsiTheme="majorHAnsi" w:cs="Cambria"/>
                        <w:sz w:val="16"/>
                        <w:szCs w:val="16"/>
                      </w:rPr>
                    </w:pPr>
                    <w:r w:rsidRPr="00916AD1">
                      <w:rPr>
                        <w:rFonts w:asciiTheme="majorHAnsi" w:hAnsiTheme="majorHAnsi" w:cs="Cambria"/>
                        <w:sz w:val="16"/>
                        <w:szCs w:val="16"/>
                      </w:rPr>
                      <w:t>Australian Bankers’ Association Inc. ARBN 117 262 978</w:t>
                    </w:r>
                  </w:p>
                  <w:p w:rsidR="00916AD1" w:rsidRPr="00916AD1" w:rsidRDefault="00916AD1" w:rsidP="001514C6">
                    <w:pPr>
                      <w:pStyle w:val="Disclaimer"/>
                      <w:rPr>
                        <w:rFonts w:asciiTheme="majorHAnsi" w:hAnsiTheme="majorHAnsi" w:cs="Cambria"/>
                        <w:sz w:val="16"/>
                        <w:szCs w:val="16"/>
                      </w:rPr>
                    </w:pPr>
                    <w:r w:rsidRPr="00916AD1">
                      <w:rPr>
                        <w:rFonts w:asciiTheme="majorHAnsi" w:hAnsiTheme="majorHAnsi" w:cs="Cambria"/>
                        <w:sz w:val="16"/>
                        <w:szCs w:val="16"/>
                      </w:rPr>
                      <w:t>(Incorporated in New South Wales). Liability of members is limited.</w:t>
                    </w:r>
                  </w:p>
                </w:txbxContent>
              </v:textbox>
              <w10:wrap type="square" anchorx="page" anchory="page"/>
            </v:shape>
          </w:pict>
        </mc:Fallback>
      </mc:AlternateContent>
    </w:r>
    <w:r>
      <w:rPr>
        <w:noProof/>
        <w:lang w:eastAsia="en-AU"/>
      </w:rPr>
      <w:drawing>
        <wp:anchor distT="0" distB="0" distL="114300" distR="114300" simplePos="0" relativeHeight="251657216" behindDoc="1" locked="0" layoutInCell="1" allowOverlap="1">
          <wp:simplePos x="0" y="0"/>
          <wp:positionH relativeFrom="page">
            <wp:posOffset>356235</wp:posOffset>
          </wp:positionH>
          <wp:positionV relativeFrom="page">
            <wp:posOffset>10466705</wp:posOffset>
          </wp:positionV>
          <wp:extent cx="6842125" cy="246380"/>
          <wp:effectExtent l="0" t="0" r="0" b="0"/>
          <wp:wrapNone/>
          <wp:docPr id="6" name="Picture 8" descr="Footer bar in ABA branding col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ooter bar in ABA branding colour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42125"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00C57B46" w:rsidDel="00C57B46">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53AA" w:rsidRDefault="007753AA" w:rsidP="006A292F">
      <w:pPr>
        <w:spacing w:before="0" w:after="0" w:line="240" w:lineRule="auto"/>
      </w:pPr>
      <w:r>
        <w:separator/>
      </w:r>
    </w:p>
  </w:footnote>
  <w:footnote w:type="continuationSeparator" w:id="0">
    <w:p w:rsidR="007753AA" w:rsidRDefault="007753AA" w:rsidP="00351FF2">
      <w:r>
        <w:continuationSeparator/>
      </w:r>
    </w:p>
    <w:p w:rsidR="007753AA" w:rsidRDefault="007753AA"/>
    <w:p w:rsidR="007753AA" w:rsidRDefault="007753AA" w:rsidP="0000669E"/>
    <w:p w:rsidR="007753AA" w:rsidRDefault="007753AA"/>
  </w:footnote>
  <w:footnote w:id="1">
    <w:p w:rsidR="00000000" w:rsidRDefault="001F5648" w:rsidP="001F5648">
      <w:pPr>
        <w:pStyle w:val="Default"/>
      </w:pPr>
      <w:r w:rsidRPr="00E12102">
        <w:rPr>
          <w:rStyle w:val="FootnoteReference"/>
          <w:rFonts w:asciiTheme="minorHAnsi" w:hAnsiTheme="minorHAnsi" w:cs="Segoe UI"/>
          <w:szCs w:val="16"/>
        </w:rPr>
        <w:footnoteRef/>
      </w:r>
      <w:r w:rsidRPr="00E12102">
        <w:rPr>
          <w:rFonts w:asciiTheme="minorHAnsi" w:hAnsiTheme="minorHAnsi"/>
          <w:sz w:val="16"/>
          <w:szCs w:val="16"/>
        </w:rPr>
        <w:t xml:space="preserve"> Page 24, </w:t>
      </w:r>
      <w:r w:rsidRPr="00E12102">
        <w:rPr>
          <w:rFonts w:asciiTheme="minorHAnsi" w:hAnsiTheme="minorHAnsi" w:cs="Calibri"/>
          <w:bCs/>
          <w:sz w:val="16"/>
          <w:szCs w:val="16"/>
        </w:rPr>
        <w:t>Review of Card Payments Regulation - Issues Paper, March 2015</w:t>
      </w:r>
    </w:p>
  </w:footnote>
  <w:footnote w:id="2">
    <w:p w:rsidR="00000000" w:rsidRDefault="001F5648" w:rsidP="001F5648">
      <w:pPr>
        <w:pStyle w:val="FootnoteText"/>
      </w:pPr>
      <w:r w:rsidRPr="00E12102">
        <w:rPr>
          <w:rStyle w:val="FootnoteReference"/>
          <w:szCs w:val="16"/>
        </w:rPr>
        <w:footnoteRef/>
      </w:r>
      <w:r w:rsidRPr="00E12102">
        <w:rPr>
          <w:szCs w:val="16"/>
        </w:rPr>
        <w:t xml:space="preserve"> </w:t>
      </w:r>
      <w:hyperlink r:id="rId1" w:history="1">
        <w:r w:rsidRPr="00E12102">
          <w:rPr>
            <w:rStyle w:val="Hyperlink"/>
            <w:szCs w:val="16"/>
          </w:rPr>
          <w:t>http://www.fin.gc.ca/n15/15-040-eng.asp</w:t>
        </w:r>
      </w:hyperlink>
      <w:r w:rsidRPr="00E12102">
        <w:rPr>
          <w:szCs w:val="16"/>
        </w:rPr>
        <w:t xml:space="preserve"> Department of Finance, Canada (April 2015)</w:t>
      </w:r>
    </w:p>
  </w:footnote>
  <w:footnote w:id="3">
    <w:p w:rsidR="00000000" w:rsidRDefault="001F5648" w:rsidP="001F5648">
      <w:pPr>
        <w:pStyle w:val="FootnoteText"/>
      </w:pPr>
      <w:r w:rsidRPr="00E12102">
        <w:rPr>
          <w:rStyle w:val="FootnoteReference"/>
          <w:szCs w:val="16"/>
        </w:rPr>
        <w:footnoteRef/>
      </w:r>
      <w:r w:rsidRPr="00E12102">
        <w:rPr>
          <w:szCs w:val="16"/>
        </w:rPr>
        <w:t xml:space="preserve"> </w:t>
      </w:r>
      <w:hyperlink r:id="rId2" w:history="1">
        <w:r w:rsidRPr="00E12102">
          <w:rPr>
            <w:rStyle w:val="Hyperlink"/>
            <w:szCs w:val="16"/>
          </w:rPr>
          <w:t>http://www.rba.gov.au/payments-system/reforms/review-card-reforms/pdf/aba-31082007.pdf</w:t>
        </w:r>
      </w:hyperlink>
      <w:r w:rsidRPr="00E12102">
        <w:rPr>
          <w:szCs w:val="16"/>
        </w:rPr>
        <w:t xml:space="preserve">  ABA Submission to the </w:t>
      </w:r>
      <w:r w:rsidRPr="00E12102">
        <w:rPr>
          <w:rFonts w:cs="TTE1648578t00"/>
          <w:szCs w:val="16"/>
        </w:rPr>
        <w:t>2007/08 Payments System Review</w:t>
      </w:r>
      <w:r w:rsidR="00E12102">
        <w:rPr>
          <w:rFonts w:cs="TTE1648578t00"/>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476" w:rsidRDefault="009C3476" w:rsidP="00F21FE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C3476" w:rsidRDefault="009C3476" w:rsidP="009C3476">
    <w:pPr>
      <w:pStyle w:val="Header"/>
      <w:ind w:right="360"/>
    </w:pPr>
  </w:p>
  <w:p w:rsidR="00D57853" w:rsidRDefault="00D57853"/>
  <w:p w:rsidR="00D57853" w:rsidRDefault="00D57853" w:rsidP="0000669E"/>
  <w:p w:rsidR="00F10B1F" w:rsidRDefault="00F10B1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B1F" w:rsidRDefault="00B16518" w:rsidP="00956786">
    <w:pPr>
      <w:pStyle w:val="ABAHeader"/>
    </w:pPr>
    <w:r>
      <w:drawing>
        <wp:anchor distT="0" distB="0" distL="114300" distR="114300" simplePos="0" relativeHeight="251659264" behindDoc="1" locked="0" layoutInCell="1" allowOverlap="1">
          <wp:simplePos x="0" y="0"/>
          <wp:positionH relativeFrom="page">
            <wp:posOffset>349250</wp:posOffset>
          </wp:positionH>
          <wp:positionV relativeFrom="page">
            <wp:posOffset>831850</wp:posOffset>
          </wp:positionV>
          <wp:extent cx="6842125" cy="38735"/>
          <wp:effectExtent l="0" t="0" r="0" b="0"/>
          <wp:wrapNone/>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42125" cy="38735"/>
                  </a:xfrm>
                  <a:prstGeom prst="rect">
                    <a:avLst/>
                  </a:prstGeom>
                  <a:noFill/>
                  <a:ln>
                    <a:noFill/>
                  </a:ln>
                </pic:spPr>
              </pic:pic>
            </a:graphicData>
          </a:graphic>
          <wp14:sizeRelH relativeFrom="page">
            <wp14:pctWidth>0</wp14:pctWidth>
          </wp14:sizeRelH>
          <wp14:sizeRelV relativeFrom="page">
            <wp14:pctHeight>0</wp14:pctHeight>
          </wp14:sizeRelV>
        </wp:anchor>
      </w:drawing>
    </w:r>
    <w:r w:rsidR="009B47C3" w:rsidRPr="009B47C3">
      <w:t>Australian Bankers’ Association Inc</w:t>
    </w:r>
    <w:r w:rsidR="00F16B09">
      <w:tab/>
    </w:r>
    <w:r w:rsidR="00F16B09">
      <w:fldChar w:fldCharType="begin"/>
    </w:r>
    <w:r w:rsidR="00F16B09">
      <w:instrText xml:space="preserve"> PAGE  \* Arabic  \* MERGEFORMAT </w:instrText>
    </w:r>
    <w:r w:rsidR="00F16B09">
      <w:fldChar w:fldCharType="separate"/>
    </w:r>
    <w:r>
      <w:t>4</w:t>
    </w:r>
    <w:r w:rsidR="00F16B09">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567" w:rsidRDefault="00B16518" w:rsidP="009B47C3">
    <w:pPr>
      <w:pStyle w:val="Footer"/>
      <w:tabs>
        <w:tab w:val="clear" w:pos="4320"/>
        <w:tab w:val="left" w:pos="6521"/>
      </w:tabs>
      <w:spacing w:before="0" w:after="0" w:line="240" w:lineRule="auto"/>
      <w:ind w:left="6521"/>
      <w:rPr>
        <w:rFonts w:ascii="Arial" w:hAnsi="Arial"/>
        <w:b/>
        <w:bCs/>
        <w:color w:val="313231"/>
        <w:szCs w:val="16"/>
      </w:rPr>
    </w:pPr>
    <w:r>
      <w:rPr>
        <w:noProof/>
        <w:lang w:eastAsia="en-AU"/>
      </w:rPr>
      <w:drawing>
        <wp:anchor distT="0" distB="0" distL="114300" distR="114300" simplePos="0" relativeHeight="251655168" behindDoc="1" locked="1" layoutInCell="1" allowOverlap="1">
          <wp:simplePos x="0" y="0"/>
          <wp:positionH relativeFrom="page">
            <wp:posOffset>514985</wp:posOffset>
          </wp:positionH>
          <wp:positionV relativeFrom="page">
            <wp:posOffset>485775</wp:posOffset>
          </wp:positionV>
          <wp:extent cx="1803400" cy="882015"/>
          <wp:effectExtent l="0" t="0" r="0" b="0"/>
          <wp:wrapNone/>
          <wp:docPr id="3" name="Picture 5" descr="Australian Bankers' Association Inc. corporate logo in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ustralian Bankers' Association Inc. corporate logo in colo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0" cy="882015"/>
                  </a:xfrm>
                  <a:prstGeom prst="rect">
                    <a:avLst/>
                  </a:prstGeom>
                  <a:noFill/>
                  <a:ln>
                    <a:noFill/>
                  </a:ln>
                </pic:spPr>
              </pic:pic>
            </a:graphicData>
          </a:graphic>
          <wp14:sizeRelH relativeFrom="page">
            <wp14:pctWidth>0</wp14:pctWidth>
          </wp14:sizeRelH>
          <wp14:sizeRelV relativeFrom="page">
            <wp14:pctHeight>0</wp14:pctHeight>
          </wp14:sizeRelV>
        </wp:anchor>
      </w:drawing>
    </w:r>
    <w:r w:rsidR="00852435">
      <w:rPr>
        <w:rFonts w:ascii="Arial" w:hAnsi="Arial"/>
        <w:b/>
        <w:bCs/>
        <w:color w:val="313231"/>
        <w:szCs w:val="16"/>
      </w:rPr>
      <w:t>Aidan O’Shaughnessy</w:t>
    </w:r>
  </w:p>
  <w:p w:rsidR="00524567" w:rsidRDefault="00852435" w:rsidP="009B47C3">
    <w:pPr>
      <w:pStyle w:val="Footer"/>
      <w:tabs>
        <w:tab w:val="clear" w:pos="4320"/>
        <w:tab w:val="left" w:pos="6521"/>
      </w:tabs>
      <w:spacing w:before="0" w:after="0" w:line="240" w:lineRule="auto"/>
      <w:ind w:left="6521"/>
      <w:rPr>
        <w:rFonts w:ascii="Arial" w:hAnsi="Arial"/>
        <w:color w:val="313231"/>
        <w:szCs w:val="19"/>
      </w:rPr>
    </w:pPr>
    <w:r>
      <w:rPr>
        <w:rFonts w:ascii="Arial" w:hAnsi="Arial"/>
        <w:color w:val="313231"/>
        <w:szCs w:val="19"/>
      </w:rPr>
      <w:t>Policy Director, Industry Policy</w:t>
    </w:r>
  </w:p>
  <w:p w:rsidR="00524567" w:rsidRPr="00524567" w:rsidRDefault="00524567" w:rsidP="009B47C3">
    <w:pPr>
      <w:pStyle w:val="Footer"/>
      <w:tabs>
        <w:tab w:val="clear" w:pos="4320"/>
        <w:tab w:val="clear" w:pos="8640"/>
        <w:tab w:val="left" w:pos="6521"/>
      </w:tabs>
      <w:spacing w:before="200" w:after="0" w:line="240" w:lineRule="auto"/>
      <w:ind w:left="6521"/>
      <w:rPr>
        <w:rFonts w:ascii="Arial" w:hAnsi="Arial"/>
        <w:bCs/>
        <w:color w:val="313231"/>
        <w:szCs w:val="16"/>
      </w:rPr>
    </w:pPr>
    <w:r w:rsidRPr="00524567">
      <w:rPr>
        <w:rFonts w:ascii="Arial" w:hAnsi="Arial"/>
        <w:b/>
        <w:bCs/>
        <w:color w:val="313231"/>
        <w:szCs w:val="16"/>
      </w:rPr>
      <w:t>AUSTRALIAN BANKERS’</w:t>
    </w:r>
    <w:r w:rsidRPr="00524567">
      <w:rPr>
        <w:rFonts w:ascii="Arial" w:hAnsi="Arial"/>
        <w:bCs/>
        <w:color w:val="313231"/>
        <w:szCs w:val="16"/>
      </w:rPr>
      <w:t xml:space="preserve"> ASSOCIATION INC.</w:t>
    </w:r>
  </w:p>
  <w:p w:rsidR="00524567" w:rsidRPr="00524567" w:rsidRDefault="00524567" w:rsidP="009B47C3">
    <w:pPr>
      <w:tabs>
        <w:tab w:val="left" w:pos="6521"/>
      </w:tabs>
      <w:spacing w:before="0" w:after="0" w:line="240" w:lineRule="auto"/>
      <w:ind w:left="6521"/>
      <w:rPr>
        <w:rFonts w:ascii="Arial" w:hAnsi="Arial"/>
        <w:bCs/>
        <w:color w:val="313231"/>
        <w:sz w:val="16"/>
        <w:szCs w:val="16"/>
      </w:rPr>
    </w:pPr>
    <w:r w:rsidRPr="00524567">
      <w:rPr>
        <w:rFonts w:ascii="Arial" w:hAnsi="Arial"/>
        <w:bCs/>
        <w:color w:val="313231"/>
        <w:sz w:val="16"/>
        <w:szCs w:val="16"/>
      </w:rPr>
      <w:t>Level 3, 56 Pitt Street, Sydney NSW 2000</w:t>
    </w:r>
  </w:p>
  <w:p w:rsidR="00524567" w:rsidRPr="00524567" w:rsidRDefault="00524567" w:rsidP="009B47C3">
    <w:pPr>
      <w:tabs>
        <w:tab w:val="left" w:pos="6521"/>
      </w:tabs>
      <w:spacing w:before="40" w:after="40"/>
      <w:ind w:left="6521"/>
      <w:rPr>
        <w:rFonts w:ascii="Arial" w:hAnsi="Arial"/>
        <w:bCs/>
        <w:color w:val="313231"/>
        <w:sz w:val="16"/>
        <w:szCs w:val="16"/>
      </w:rPr>
    </w:pPr>
    <w:r w:rsidRPr="00524567">
      <w:rPr>
        <w:rFonts w:ascii="Arial" w:hAnsi="Arial"/>
        <w:b/>
        <w:bCs/>
        <w:color w:val="002F5F"/>
        <w:sz w:val="14"/>
        <w:szCs w:val="16"/>
      </w:rPr>
      <w:t>p.</w:t>
    </w:r>
    <w:r w:rsidRPr="00524567">
      <w:rPr>
        <w:rFonts w:ascii="Arial" w:hAnsi="Arial"/>
        <w:bCs/>
        <w:color w:val="313231"/>
        <w:sz w:val="16"/>
        <w:szCs w:val="16"/>
      </w:rPr>
      <w:t xml:space="preserve"> +61 (0)2 8298</w:t>
    </w:r>
    <w:r w:rsidR="009B47C3">
      <w:rPr>
        <w:rFonts w:ascii="Arial" w:hAnsi="Arial"/>
        <w:bCs/>
        <w:color w:val="313231"/>
        <w:sz w:val="16"/>
        <w:szCs w:val="16"/>
      </w:rPr>
      <w:t xml:space="preserve"> </w:t>
    </w:r>
    <w:r w:rsidR="00852435">
      <w:rPr>
        <w:rFonts w:ascii="Arial" w:hAnsi="Arial"/>
        <w:bCs/>
        <w:color w:val="313231"/>
        <w:sz w:val="16"/>
        <w:szCs w:val="16"/>
      </w:rPr>
      <w:t>0408</w:t>
    </w:r>
    <w:r w:rsidRPr="00524567">
      <w:rPr>
        <w:rFonts w:ascii="Arial" w:hAnsi="Arial"/>
        <w:bCs/>
        <w:color w:val="313231"/>
        <w:sz w:val="16"/>
        <w:szCs w:val="16"/>
      </w:rPr>
      <w:t xml:space="preserve"> </w:t>
    </w:r>
    <w:r w:rsidRPr="00524567">
      <w:rPr>
        <w:rFonts w:ascii="Arial" w:hAnsi="Arial"/>
        <w:b/>
        <w:bCs/>
        <w:color w:val="002F5F"/>
        <w:sz w:val="14"/>
        <w:szCs w:val="16"/>
      </w:rPr>
      <w:t>f.</w:t>
    </w:r>
    <w:r w:rsidRPr="00524567">
      <w:rPr>
        <w:rFonts w:ascii="Arial" w:hAnsi="Arial"/>
        <w:bCs/>
        <w:color w:val="313231"/>
        <w:sz w:val="16"/>
        <w:szCs w:val="16"/>
      </w:rPr>
      <w:t xml:space="preserve"> +61 (0)2 8298 0402</w:t>
    </w:r>
  </w:p>
  <w:p w:rsidR="00524567" w:rsidRPr="00524567" w:rsidRDefault="00B16518" w:rsidP="009B47C3">
    <w:pPr>
      <w:spacing w:before="160" w:after="40" w:line="240" w:lineRule="auto"/>
      <w:ind w:left="6521"/>
      <w:rPr>
        <w:rFonts w:ascii="Arial" w:hAnsi="Arial"/>
        <w:bCs/>
        <w:color w:val="002F5F"/>
        <w:sz w:val="16"/>
        <w:szCs w:val="16"/>
      </w:rPr>
    </w:pPr>
    <w:r>
      <w:rPr>
        <w:noProof/>
        <w:lang w:eastAsia="en-AU"/>
      </w:rPr>
      <w:drawing>
        <wp:anchor distT="0" distB="0" distL="114300" distR="114300" simplePos="0" relativeHeight="251656192" behindDoc="1" locked="0" layoutInCell="1" allowOverlap="1">
          <wp:simplePos x="0" y="0"/>
          <wp:positionH relativeFrom="page">
            <wp:posOffset>367030</wp:posOffset>
          </wp:positionH>
          <wp:positionV relativeFrom="page">
            <wp:posOffset>1717675</wp:posOffset>
          </wp:positionV>
          <wp:extent cx="6842125" cy="38735"/>
          <wp:effectExtent l="0" t="0" r="0" b="0"/>
          <wp:wrapNone/>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42125" cy="38735"/>
                  </a:xfrm>
                  <a:prstGeom prst="rect">
                    <a:avLst/>
                  </a:prstGeom>
                  <a:noFill/>
                  <a:ln>
                    <a:noFill/>
                  </a:ln>
                </pic:spPr>
              </pic:pic>
            </a:graphicData>
          </a:graphic>
          <wp14:sizeRelH relativeFrom="page">
            <wp14:pctWidth>0</wp14:pctWidth>
          </wp14:sizeRelH>
          <wp14:sizeRelV relativeFrom="page">
            <wp14:pctHeight>0</wp14:pctHeight>
          </wp14:sizeRelV>
        </wp:anchor>
      </w:drawing>
    </w:r>
    <w:r w:rsidR="00524567" w:rsidRPr="00524567">
      <w:rPr>
        <w:rFonts w:ascii="Arial" w:hAnsi="Arial"/>
        <w:b/>
        <w:bCs/>
        <w:color w:val="002F5F"/>
        <w:sz w:val="16"/>
        <w:szCs w:val="16"/>
      </w:rPr>
      <w:t>www.bankers.asn.au</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A6480BE"/>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BFACB4CC"/>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2BCE8B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B8D8CCEC"/>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E3CEFB7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0607B8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ECA0B6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E3BC20C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9B2C1C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521EBFE2"/>
    <w:lvl w:ilvl="0">
      <w:start w:val="1"/>
      <w:numFmt w:val="bullet"/>
      <w:lvlText w:val=""/>
      <w:lvlJc w:val="left"/>
      <w:pPr>
        <w:tabs>
          <w:tab w:val="num" w:pos="360"/>
        </w:tabs>
        <w:ind w:left="360" w:hanging="360"/>
      </w:pPr>
      <w:rPr>
        <w:rFonts w:ascii="Symbol" w:hAnsi="Symbol" w:hint="default"/>
      </w:rPr>
    </w:lvl>
  </w:abstractNum>
  <w:abstractNum w:abstractNumId="10">
    <w:nsid w:val="269A22A3"/>
    <w:multiLevelType w:val="hybridMultilevel"/>
    <w:tmpl w:val="1EFC03F2"/>
    <w:lvl w:ilvl="0" w:tplc="C3D0A1D4">
      <w:start w:val="1"/>
      <w:numFmt w:val="decimal"/>
      <w:pStyle w:val="ABANumberedBulletPoints"/>
      <w:lvlText w:val="%1."/>
      <w:lvlJc w:val="left"/>
      <w:pPr>
        <w:ind w:left="720" w:hanging="360"/>
      </w:pPr>
      <w:rPr>
        <w:rFonts w:cs="Times New Roman"/>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11">
    <w:nsid w:val="28A444F5"/>
    <w:multiLevelType w:val="hybridMultilevel"/>
    <w:tmpl w:val="9612C05E"/>
    <w:lvl w:ilvl="0" w:tplc="53B0D784">
      <w:start w:val="1"/>
      <w:numFmt w:val="bullet"/>
      <w:lvlText w:val=""/>
      <w:lvlJc w:val="left"/>
      <w:pPr>
        <w:tabs>
          <w:tab w:val="num" w:pos="717"/>
        </w:tabs>
        <w:ind w:left="717" w:hanging="360"/>
      </w:pPr>
      <w:rPr>
        <w:rFonts w:ascii="Symbol" w:hAnsi="Symbol" w:hint="default"/>
        <w:color w:val="4F2D7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2CD66BA"/>
    <w:multiLevelType w:val="hybridMultilevel"/>
    <w:tmpl w:val="D0A845AA"/>
    <w:lvl w:ilvl="0" w:tplc="14CAF40C">
      <w:start w:val="1"/>
      <w:numFmt w:val="bullet"/>
      <w:lvlText w:val=""/>
      <w:lvlJc w:val="left"/>
      <w:pPr>
        <w:tabs>
          <w:tab w:val="num" w:pos="360"/>
        </w:tabs>
        <w:ind w:left="360" w:hanging="360"/>
      </w:pPr>
      <w:rPr>
        <w:rFonts w:ascii="Symbol" w:hAnsi="Symbol" w:hint="default"/>
        <w:color w:val="4F2D7F"/>
      </w:rPr>
    </w:lvl>
    <w:lvl w:ilvl="1" w:tplc="851CEA20">
      <w:start w:val="1"/>
      <w:numFmt w:val="bullet"/>
      <w:lvlText w:val="–"/>
      <w:lvlJc w:val="left"/>
      <w:pPr>
        <w:ind w:left="1440" w:hanging="360"/>
      </w:pPr>
      <w:rPr>
        <w:rFonts w:ascii="Frutiger 45 Light" w:hAnsi="Frutiger 45 Light" w:hint="default"/>
        <w:b w:val="0"/>
        <w:i w:val="0"/>
        <w:color w:val="2D1958"/>
        <w:sz w:val="16"/>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C7561E9"/>
    <w:multiLevelType w:val="multilevel"/>
    <w:tmpl w:val="0C09001D"/>
    <w:styleLink w:val="ABANumberedLevel1"/>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4">
    <w:nsid w:val="573D7D1A"/>
    <w:multiLevelType w:val="hybridMultilevel"/>
    <w:tmpl w:val="97D41986"/>
    <w:lvl w:ilvl="0" w:tplc="74A8CAB0">
      <w:start w:val="1"/>
      <w:numFmt w:val="bullet"/>
      <w:lvlText w:val=""/>
      <w:lvlJc w:val="left"/>
      <w:pPr>
        <w:tabs>
          <w:tab w:val="num" w:pos="717"/>
        </w:tabs>
        <w:ind w:left="717"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EB4B08"/>
    <w:multiLevelType w:val="multilevel"/>
    <w:tmpl w:val="8A3A6CE8"/>
    <w:lvl w:ilvl="0">
      <w:start w:val="1"/>
      <w:numFmt w:val="decimal"/>
      <w:lvlText w:val="%1."/>
      <w:lvlJc w:val="left"/>
      <w:pPr>
        <w:ind w:left="794" w:hanging="794"/>
      </w:pPr>
      <w:rPr>
        <w:rFonts w:cs="Times New Roman" w:hint="default"/>
      </w:rPr>
    </w:lvl>
    <w:lvl w:ilvl="1">
      <w:start w:val="1"/>
      <w:numFmt w:val="decimal"/>
      <w:lvlText w:val="%1.%2."/>
      <w:lvlJc w:val="left"/>
      <w:pPr>
        <w:ind w:left="794" w:hanging="794"/>
      </w:pPr>
      <w:rPr>
        <w:rFonts w:cs="Times New Roman" w:hint="default"/>
      </w:rPr>
    </w:lvl>
    <w:lvl w:ilvl="2">
      <w:start w:val="1"/>
      <w:numFmt w:val="decimal"/>
      <w:lvlText w:val="%1.%2.%3"/>
      <w:lvlJc w:val="left"/>
      <w:pPr>
        <w:ind w:left="794" w:hanging="794"/>
      </w:pPr>
      <w:rPr>
        <w:rFonts w:cs="Times New Roman" w:hint="default"/>
      </w:rPr>
    </w:lvl>
    <w:lvl w:ilvl="3">
      <w:numFmt w:val="none"/>
      <w:lvlRestart w:val="0"/>
      <w:suff w:val="nothing"/>
      <w:lvlText w:val=""/>
      <w:lvlJc w:val="left"/>
      <w:rPr>
        <w:rFonts w:cs="Times New Roman" w:hint="default"/>
      </w:rPr>
    </w:lvl>
    <w:lvl w:ilvl="4">
      <w:numFmt w:val="none"/>
      <w:lvlRestart w:val="0"/>
      <w:suff w:val="nothing"/>
      <w:lvlText w:val=""/>
      <w:lvlJc w:val="left"/>
      <w:rPr>
        <w:rFonts w:cs="Times New Roman" w:hint="default"/>
      </w:rPr>
    </w:lvl>
    <w:lvl w:ilvl="5">
      <w:numFmt w:val="none"/>
      <w:lvlRestart w:val="0"/>
      <w:suff w:val="nothing"/>
      <w:lvlText w:val=""/>
      <w:lvlJc w:val="left"/>
      <w:rPr>
        <w:rFonts w:cs="Times New Roman" w:hint="default"/>
      </w:rPr>
    </w:lvl>
    <w:lvl w:ilvl="6">
      <w:numFmt w:val="none"/>
      <w:lvlRestart w:val="0"/>
      <w:suff w:val="nothing"/>
      <w:lvlText w:val=""/>
      <w:lvlJc w:val="left"/>
      <w:rPr>
        <w:rFonts w:cs="Times New Roman" w:hint="default"/>
      </w:rPr>
    </w:lvl>
    <w:lvl w:ilvl="7">
      <w:numFmt w:val="none"/>
      <w:lvlRestart w:val="0"/>
      <w:suff w:val="nothing"/>
      <w:lvlText w:val=""/>
      <w:lvlJc w:val="left"/>
      <w:rPr>
        <w:rFonts w:cs="Times New Roman" w:hint="default"/>
      </w:rPr>
    </w:lvl>
    <w:lvl w:ilvl="8">
      <w:numFmt w:val="none"/>
      <w:lvlRestart w:val="0"/>
      <w:suff w:val="nothing"/>
      <w:lvlText w:val=""/>
      <w:lvlJc w:val="left"/>
      <w:rPr>
        <w:rFonts w:cs="Times New Roman" w:hint="default"/>
      </w:rPr>
    </w:lvl>
  </w:abstractNum>
  <w:num w:numId="1">
    <w:abstractNumId w:val="9"/>
  </w:num>
  <w:num w:numId="2">
    <w:abstractNumId w:val="14"/>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5"/>
  </w:num>
  <w:num w:numId="14">
    <w:abstractNumId w:val="13"/>
  </w:num>
  <w:num w:numId="15">
    <w:abstractNumId w:val="15"/>
  </w:num>
  <w:num w:numId="16">
    <w:abstractNumId w:val="15"/>
  </w:num>
  <w:num w:numId="17">
    <w:abstractNumId w:val="15"/>
  </w:num>
  <w:num w:numId="18">
    <w:abstractNumId w:val="11"/>
  </w:num>
  <w:num w:numId="19">
    <w:abstractNumId w:val="12"/>
  </w:num>
  <w:num w:numId="20">
    <w:abstractNumId w:val="12"/>
  </w:num>
  <w:num w:numId="21">
    <w:abstractNumId w:val="15"/>
  </w:num>
  <w:num w:numId="22">
    <w:abstractNumId w:val="15"/>
  </w:num>
  <w:num w:numId="23">
    <w:abstractNumId w:val="1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ttachedTemplate r:id="rId1"/>
  <w:stylePaneFormatFilter w:val="9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435"/>
    <w:rsid w:val="00001083"/>
    <w:rsid w:val="0000669E"/>
    <w:rsid w:val="00013DB7"/>
    <w:rsid w:val="00026675"/>
    <w:rsid w:val="0003007A"/>
    <w:rsid w:val="00056715"/>
    <w:rsid w:val="00065A3D"/>
    <w:rsid w:val="00082902"/>
    <w:rsid w:val="000B7E69"/>
    <w:rsid w:val="000C1CFE"/>
    <w:rsid w:val="000D5F54"/>
    <w:rsid w:val="000E4D7A"/>
    <w:rsid w:val="001200D7"/>
    <w:rsid w:val="001423CE"/>
    <w:rsid w:val="001514C6"/>
    <w:rsid w:val="001602CA"/>
    <w:rsid w:val="00161CFA"/>
    <w:rsid w:val="0018294E"/>
    <w:rsid w:val="001C4CBA"/>
    <w:rsid w:val="001F5648"/>
    <w:rsid w:val="00227BB8"/>
    <w:rsid w:val="00233481"/>
    <w:rsid w:val="00257AA7"/>
    <w:rsid w:val="002644BD"/>
    <w:rsid w:val="002C0AEB"/>
    <w:rsid w:val="002C1D17"/>
    <w:rsid w:val="002D21DF"/>
    <w:rsid w:val="002F6660"/>
    <w:rsid w:val="002F702E"/>
    <w:rsid w:val="003036F7"/>
    <w:rsid w:val="00321727"/>
    <w:rsid w:val="003250C9"/>
    <w:rsid w:val="003275AC"/>
    <w:rsid w:val="00332CB6"/>
    <w:rsid w:val="00351FF2"/>
    <w:rsid w:val="003841FE"/>
    <w:rsid w:val="00397479"/>
    <w:rsid w:val="003B0B12"/>
    <w:rsid w:val="003B18EA"/>
    <w:rsid w:val="003C2F9A"/>
    <w:rsid w:val="003D486E"/>
    <w:rsid w:val="003E53CF"/>
    <w:rsid w:val="003E6160"/>
    <w:rsid w:val="00421E47"/>
    <w:rsid w:val="00456D0E"/>
    <w:rsid w:val="00457C4E"/>
    <w:rsid w:val="00484252"/>
    <w:rsid w:val="00487465"/>
    <w:rsid w:val="004A1FC5"/>
    <w:rsid w:val="004B2D60"/>
    <w:rsid w:val="004B3379"/>
    <w:rsid w:val="004C3ECD"/>
    <w:rsid w:val="004C4284"/>
    <w:rsid w:val="004C7A96"/>
    <w:rsid w:val="004E46AF"/>
    <w:rsid w:val="00506637"/>
    <w:rsid w:val="005210EA"/>
    <w:rsid w:val="00524567"/>
    <w:rsid w:val="00542407"/>
    <w:rsid w:val="0056067B"/>
    <w:rsid w:val="005765B0"/>
    <w:rsid w:val="005813DE"/>
    <w:rsid w:val="005B56EB"/>
    <w:rsid w:val="005D16F5"/>
    <w:rsid w:val="005D72AD"/>
    <w:rsid w:val="00622D69"/>
    <w:rsid w:val="0063161A"/>
    <w:rsid w:val="006401A2"/>
    <w:rsid w:val="0066091D"/>
    <w:rsid w:val="0066320D"/>
    <w:rsid w:val="00676140"/>
    <w:rsid w:val="00676BA3"/>
    <w:rsid w:val="006A292F"/>
    <w:rsid w:val="006A53D8"/>
    <w:rsid w:val="006C1C21"/>
    <w:rsid w:val="006C2FD5"/>
    <w:rsid w:val="006D01BB"/>
    <w:rsid w:val="006E0E45"/>
    <w:rsid w:val="006F2EBF"/>
    <w:rsid w:val="007006FC"/>
    <w:rsid w:val="00730144"/>
    <w:rsid w:val="00743D37"/>
    <w:rsid w:val="007511CB"/>
    <w:rsid w:val="0075642F"/>
    <w:rsid w:val="007753AA"/>
    <w:rsid w:val="0079358C"/>
    <w:rsid w:val="007C7096"/>
    <w:rsid w:val="007F6EBD"/>
    <w:rsid w:val="00816C03"/>
    <w:rsid w:val="00831714"/>
    <w:rsid w:val="00842D93"/>
    <w:rsid w:val="00845025"/>
    <w:rsid w:val="0084557C"/>
    <w:rsid w:val="00852435"/>
    <w:rsid w:val="00872DEB"/>
    <w:rsid w:val="008850D5"/>
    <w:rsid w:val="0089225F"/>
    <w:rsid w:val="008A026A"/>
    <w:rsid w:val="008A7394"/>
    <w:rsid w:val="008B35A2"/>
    <w:rsid w:val="008F053E"/>
    <w:rsid w:val="00913427"/>
    <w:rsid w:val="00916AD1"/>
    <w:rsid w:val="00920033"/>
    <w:rsid w:val="00925CCF"/>
    <w:rsid w:val="00946B76"/>
    <w:rsid w:val="00946BA8"/>
    <w:rsid w:val="00956786"/>
    <w:rsid w:val="009761C4"/>
    <w:rsid w:val="00991767"/>
    <w:rsid w:val="00991F20"/>
    <w:rsid w:val="009B47C3"/>
    <w:rsid w:val="009B5AA2"/>
    <w:rsid w:val="009C3476"/>
    <w:rsid w:val="009C7D00"/>
    <w:rsid w:val="009F0692"/>
    <w:rsid w:val="009F40D9"/>
    <w:rsid w:val="00A65E0F"/>
    <w:rsid w:val="00A705A3"/>
    <w:rsid w:val="00A801E4"/>
    <w:rsid w:val="00A92A48"/>
    <w:rsid w:val="00AC322A"/>
    <w:rsid w:val="00AD045C"/>
    <w:rsid w:val="00B16518"/>
    <w:rsid w:val="00B17910"/>
    <w:rsid w:val="00B24DDC"/>
    <w:rsid w:val="00B46121"/>
    <w:rsid w:val="00B50D66"/>
    <w:rsid w:val="00B700ED"/>
    <w:rsid w:val="00BA4E94"/>
    <w:rsid w:val="00C03861"/>
    <w:rsid w:val="00C16D33"/>
    <w:rsid w:val="00C51565"/>
    <w:rsid w:val="00C53B3E"/>
    <w:rsid w:val="00C544C0"/>
    <w:rsid w:val="00C57B46"/>
    <w:rsid w:val="00C74088"/>
    <w:rsid w:val="00CA23CE"/>
    <w:rsid w:val="00CF7D10"/>
    <w:rsid w:val="00D00A8D"/>
    <w:rsid w:val="00D202DA"/>
    <w:rsid w:val="00D338E0"/>
    <w:rsid w:val="00D41241"/>
    <w:rsid w:val="00D57853"/>
    <w:rsid w:val="00D81393"/>
    <w:rsid w:val="00DA3CA4"/>
    <w:rsid w:val="00DB79E4"/>
    <w:rsid w:val="00DC5BCC"/>
    <w:rsid w:val="00DC5D6B"/>
    <w:rsid w:val="00DD073C"/>
    <w:rsid w:val="00DE2E6B"/>
    <w:rsid w:val="00DF41CC"/>
    <w:rsid w:val="00DF453C"/>
    <w:rsid w:val="00E12102"/>
    <w:rsid w:val="00E24CD0"/>
    <w:rsid w:val="00E278CF"/>
    <w:rsid w:val="00E32BF1"/>
    <w:rsid w:val="00E81C0D"/>
    <w:rsid w:val="00E9617E"/>
    <w:rsid w:val="00E965B7"/>
    <w:rsid w:val="00EA23B7"/>
    <w:rsid w:val="00EC00FD"/>
    <w:rsid w:val="00EC3B6D"/>
    <w:rsid w:val="00ED7E99"/>
    <w:rsid w:val="00F03540"/>
    <w:rsid w:val="00F10B1F"/>
    <w:rsid w:val="00F16B09"/>
    <w:rsid w:val="00F21FE3"/>
    <w:rsid w:val="00F404F2"/>
    <w:rsid w:val="00F62495"/>
    <w:rsid w:val="00F7032B"/>
    <w:rsid w:val="00F949C7"/>
    <w:rsid w:val="00FB691B"/>
    <w:rsid w:val="00FD2BCC"/>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4"/>
        <w:szCs w:val="24"/>
        <w:lang w:val="en-AU" w:eastAsia="en-US" w:bidi="ar-SA"/>
      </w:rPr>
    </w:rPrDefault>
    <w:pPrDefault/>
  </w:docDefaults>
  <w:latentStyles w:defLockedState="0" w:defUIPriority="0" w:defSemiHidden="0" w:defUnhideWhenUsed="0" w:defQFormat="0" w:count="267">
    <w:lsdException w:name="heading 1" w:uiPriority="9" w:qFormat="1"/>
    <w:lsdException w:name="heading 2" w:uiPriority="9" w:qFormat="1"/>
    <w:lsdException w:name="heading 3" w:uiPriority="9" w:qFormat="1"/>
    <w:lsdException w:name="heading 4" w:uiPriority="9" w:qFormat="1"/>
    <w:lsdException w:name="footnote text" w:uiPriority="99"/>
    <w:lsdException w:name="footnote reference" w:uiPriority="99"/>
    <w:lsdException w:name="List Bullet" w:uiPriority="99"/>
    <w:lsdException w:name="Strong" w:uiPriority="22" w:qFormat="1"/>
    <w:lsdException w:name="Emphasis" w:uiPriority="20"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850D5"/>
    <w:pPr>
      <w:spacing w:before="100" w:after="100" w:line="264" w:lineRule="auto"/>
      <w:jc w:val="both"/>
    </w:pPr>
    <w:rPr>
      <w:rFonts w:cs="Times New Roman"/>
      <w:sz w:val="22"/>
    </w:rPr>
  </w:style>
  <w:style w:type="paragraph" w:styleId="Heading1">
    <w:name w:val="heading 1"/>
    <w:aliases w:val="ABA Heading 1 - Plain text"/>
    <w:basedOn w:val="Normal"/>
    <w:next w:val="Normal"/>
    <w:link w:val="Heading1Char"/>
    <w:uiPriority w:val="9"/>
    <w:qFormat/>
    <w:rsid w:val="00332CB6"/>
    <w:pPr>
      <w:keepNext/>
      <w:keepLines/>
      <w:spacing w:before="480" w:after="920"/>
      <w:outlineLvl w:val="0"/>
    </w:pPr>
    <w:rPr>
      <w:rFonts w:ascii="Arial" w:hAnsi="Arial"/>
      <w:bCs/>
      <w:color w:val="FFFFFF"/>
      <w:sz w:val="44"/>
      <w:szCs w:val="32"/>
    </w:rPr>
  </w:style>
  <w:style w:type="paragraph" w:styleId="Heading2">
    <w:name w:val="heading 2"/>
    <w:aliases w:val="ABA Heading 2 - Numbered 2"/>
    <w:basedOn w:val="Normal"/>
    <w:next w:val="Heading3"/>
    <w:link w:val="Heading2Char"/>
    <w:uiPriority w:val="9"/>
    <w:unhideWhenUsed/>
    <w:qFormat/>
    <w:rsid w:val="00DF453C"/>
    <w:pPr>
      <w:keepNext/>
      <w:keepLines/>
      <w:numPr>
        <w:numId w:val="22"/>
      </w:numPr>
      <w:spacing w:before="300" w:after="0" w:line="240" w:lineRule="auto"/>
      <w:jc w:val="left"/>
      <w:outlineLvl w:val="1"/>
    </w:pPr>
    <w:rPr>
      <w:rFonts w:ascii="Arial" w:hAnsi="Arial"/>
      <w:b/>
      <w:bCs/>
      <w:color w:val="2D1958"/>
      <w:sz w:val="26"/>
      <w:szCs w:val="22"/>
      <w:lang w:eastAsia="en-AU"/>
    </w:rPr>
  </w:style>
  <w:style w:type="paragraph" w:styleId="Heading3">
    <w:name w:val="heading 3"/>
    <w:aliases w:val="ABA Heading 3 - Numbered 3"/>
    <w:basedOn w:val="Heading2"/>
    <w:next w:val="Heading4"/>
    <w:link w:val="Heading3Char"/>
    <w:uiPriority w:val="9"/>
    <w:unhideWhenUsed/>
    <w:qFormat/>
    <w:rsid w:val="00DF453C"/>
    <w:pPr>
      <w:numPr>
        <w:ilvl w:val="1"/>
      </w:numPr>
      <w:spacing w:before="200"/>
      <w:outlineLvl w:val="2"/>
    </w:pPr>
    <w:rPr>
      <w:bCs w:val="0"/>
      <w:color w:val="002F5F"/>
      <w:sz w:val="24"/>
      <w:szCs w:val="20"/>
    </w:rPr>
  </w:style>
  <w:style w:type="paragraph" w:styleId="Heading4">
    <w:name w:val="heading 4"/>
    <w:aliases w:val="ABA Heading 4 - Numbered 4"/>
    <w:basedOn w:val="Heading3"/>
    <w:next w:val="Normal"/>
    <w:link w:val="Heading4Char"/>
    <w:uiPriority w:val="9"/>
    <w:unhideWhenUsed/>
    <w:qFormat/>
    <w:rsid w:val="00DF453C"/>
    <w:pPr>
      <w:numPr>
        <w:ilvl w:val="2"/>
      </w:numPr>
      <w:outlineLvl w:val="3"/>
    </w:pPr>
    <w:rPr>
      <w:bCs/>
      <w:iCs/>
      <w:color w:val="auto"/>
      <w:sz w:val="22"/>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BA Heading 1 - Plain text Char"/>
    <w:basedOn w:val="DefaultParagraphFont"/>
    <w:link w:val="Heading1"/>
    <w:uiPriority w:val="9"/>
    <w:locked/>
    <w:rsid w:val="00332CB6"/>
    <w:rPr>
      <w:rFonts w:ascii="Arial" w:hAnsi="Arial"/>
      <w:color w:val="FFFFFF"/>
      <w:sz w:val="32"/>
    </w:rPr>
  </w:style>
  <w:style w:type="character" w:customStyle="1" w:styleId="Heading2Char">
    <w:name w:val="Heading 2 Char"/>
    <w:aliases w:val="ABA Heading 2 - Numbered 2 Char"/>
    <w:basedOn w:val="DefaultParagraphFont"/>
    <w:link w:val="Heading2"/>
    <w:uiPriority w:val="9"/>
    <w:locked/>
    <w:rsid w:val="00DF453C"/>
    <w:rPr>
      <w:rFonts w:ascii="Arial" w:hAnsi="Arial"/>
      <w:b/>
      <w:color w:val="2D1958"/>
      <w:sz w:val="22"/>
      <w:lang w:val="x-none" w:eastAsia="en-AU"/>
    </w:rPr>
  </w:style>
  <w:style w:type="character" w:customStyle="1" w:styleId="Heading3Char">
    <w:name w:val="Heading 3 Char"/>
    <w:aliases w:val="ABA Heading 3 - Numbered 3 Char"/>
    <w:basedOn w:val="DefaultParagraphFont"/>
    <w:link w:val="Heading3"/>
    <w:uiPriority w:val="9"/>
    <w:locked/>
    <w:rsid w:val="00DF453C"/>
    <w:rPr>
      <w:rFonts w:ascii="Arial" w:hAnsi="Arial"/>
      <w:b/>
      <w:color w:val="002F5F"/>
      <w:sz w:val="20"/>
      <w:lang w:val="x-none" w:eastAsia="en-AU"/>
    </w:rPr>
  </w:style>
  <w:style w:type="character" w:customStyle="1" w:styleId="Heading4Char">
    <w:name w:val="Heading 4 Char"/>
    <w:aliases w:val="ABA Heading 4 - Numbered 4 Char"/>
    <w:basedOn w:val="DefaultParagraphFont"/>
    <w:link w:val="Heading4"/>
    <w:uiPriority w:val="9"/>
    <w:locked/>
    <w:rsid w:val="00DF453C"/>
    <w:rPr>
      <w:rFonts w:ascii="Arial" w:hAnsi="Arial"/>
      <w:b/>
      <w:sz w:val="19"/>
      <w:lang w:val="x-none" w:eastAsia="en-AU"/>
    </w:rPr>
  </w:style>
  <w:style w:type="paragraph" w:styleId="Header">
    <w:name w:val="header"/>
    <w:basedOn w:val="Normal"/>
    <w:link w:val="HeaderChar"/>
    <w:uiPriority w:val="99"/>
    <w:semiHidden/>
    <w:unhideWhenUsed/>
    <w:rsid w:val="00524567"/>
    <w:pPr>
      <w:tabs>
        <w:tab w:val="center" w:pos="4320"/>
        <w:tab w:val="right" w:pos="8640"/>
      </w:tabs>
    </w:pPr>
  </w:style>
  <w:style w:type="character" w:customStyle="1" w:styleId="HeaderChar">
    <w:name w:val="Header Char"/>
    <w:basedOn w:val="DefaultParagraphFont"/>
    <w:link w:val="Header"/>
    <w:uiPriority w:val="99"/>
    <w:semiHidden/>
    <w:locked/>
    <w:rsid w:val="00524567"/>
    <w:rPr>
      <w:rFonts w:cs="Times New Roman"/>
    </w:rPr>
  </w:style>
  <w:style w:type="paragraph" w:styleId="Footer">
    <w:name w:val="footer"/>
    <w:basedOn w:val="Normal"/>
    <w:link w:val="FooterChar"/>
    <w:uiPriority w:val="99"/>
    <w:unhideWhenUsed/>
    <w:rsid w:val="00DC5D6B"/>
    <w:pPr>
      <w:tabs>
        <w:tab w:val="center" w:pos="4320"/>
        <w:tab w:val="right" w:pos="8640"/>
      </w:tabs>
    </w:pPr>
    <w:rPr>
      <w:sz w:val="16"/>
    </w:rPr>
  </w:style>
  <w:style w:type="character" w:customStyle="1" w:styleId="FooterChar">
    <w:name w:val="Footer Char"/>
    <w:basedOn w:val="DefaultParagraphFont"/>
    <w:link w:val="Footer"/>
    <w:uiPriority w:val="99"/>
    <w:locked/>
    <w:rsid w:val="00DC5D6B"/>
    <w:rPr>
      <w:rFonts w:cs="Times New Roman"/>
      <w:sz w:val="16"/>
    </w:rPr>
  </w:style>
  <w:style w:type="character" w:styleId="PageNumber">
    <w:name w:val="page number"/>
    <w:basedOn w:val="DefaultParagraphFont"/>
    <w:uiPriority w:val="99"/>
    <w:rsid w:val="009C3476"/>
    <w:rPr>
      <w:rFonts w:cs="Times New Roman"/>
    </w:rPr>
  </w:style>
  <w:style w:type="paragraph" w:customStyle="1" w:styleId="ABALetterheadHeading">
    <w:name w:val="ABA Letterhead Heading"/>
    <w:basedOn w:val="Normal"/>
    <w:qFormat/>
    <w:rsid w:val="001514C6"/>
    <w:pPr>
      <w:spacing w:before="120" w:after="240"/>
    </w:pPr>
    <w:rPr>
      <w:b/>
      <w:sz w:val="24"/>
    </w:rPr>
  </w:style>
  <w:style w:type="paragraph" w:customStyle="1" w:styleId="ABALetterheadText">
    <w:name w:val="ABA Letterhead Text"/>
    <w:basedOn w:val="Normal"/>
    <w:qFormat/>
    <w:rsid w:val="00065A3D"/>
  </w:style>
  <w:style w:type="paragraph" w:customStyle="1" w:styleId="ABALetterheadName">
    <w:name w:val="ABA Letterhead Name"/>
    <w:basedOn w:val="Normal"/>
    <w:qFormat/>
    <w:rsid w:val="004E46AF"/>
    <w:pPr>
      <w:spacing w:before="120"/>
    </w:pPr>
    <w:rPr>
      <w:b/>
      <w:szCs w:val="19"/>
    </w:rPr>
  </w:style>
  <w:style w:type="paragraph" w:styleId="BalloonText">
    <w:name w:val="Balloon Text"/>
    <w:basedOn w:val="Normal"/>
    <w:link w:val="BalloonTextChar"/>
    <w:uiPriority w:val="99"/>
    <w:rsid w:val="006E0E45"/>
    <w:rPr>
      <w:rFonts w:ascii="Tahoma" w:hAnsi="Tahoma" w:cs="Tahoma"/>
      <w:sz w:val="16"/>
      <w:szCs w:val="16"/>
    </w:rPr>
  </w:style>
  <w:style w:type="character" w:customStyle="1" w:styleId="BalloonTextChar">
    <w:name w:val="Balloon Text Char"/>
    <w:basedOn w:val="DefaultParagraphFont"/>
    <w:link w:val="BalloonText"/>
    <w:uiPriority w:val="99"/>
    <w:locked/>
    <w:rsid w:val="006E0E45"/>
    <w:rPr>
      <w:rFonts w:ascii="Tahoma" w:hAnsi="Tahoma" w:cs="Tahoma"/>
      <w:sz w:val="16"/>
      <w:szCs w:val="16"/>
    </w:rPr>
  </w:style>
  <w:style w:type="paragraph" w:customStyle="1" w:styleId="ABAChartTableHeading">
    <w:name w:val="ABA Chart &amp; Table Heading"/>
    <w:basedOn w:val="Normal"/>
    <w:qFormat/>
    <w:rsid w:val="00EC00FD"/>
    <w:pPr>
      <w:keepNext/>
      <w:spacing w:after="60"/>
    </w:pPr>
    <w:rPr>
      <w:rFonts w:ascii="Arial" w:hAnsi="Arial"/>
      <w:b/>
      <w:szCs w:val="19"/>
    </w:rPr>
  </w:style>
  <w:style w:type="paragraph" w:customStyle="1" w:styleId="ABAHeaderText">
    <w:name w:val="ABA Header Text"/>
    <w:basedOn w:val="Header"/>
    <w:qFormat/>
    <w:rsid w:val="006E0E45"/>
    <w:pPr>
      <w:jc w:val="right"/>
    </w:pPr>
    <w:rPr>
      <w:rFonts w:ascii="Arial" w:hAnsi="Arial"/>
      <w:b/>
      <w:noProof/>
      <w:color w:val="002F5F"/>
      <w:sz w:val="16"/>
      <w:szCs w:val="16"/>
      <w:lang w:eastAsia="en-AU"/>
    </w:rPr>
  </w:style>
  <w:style w:type="paragraph" w:customStyle="1" w:styleId="ABAIntroductionText">
    <w:name w:val="ABA Introduction Text"/>
    <w:basedOn w:val="Normal"/>
    <w:qFormat/>
    <w:rsid w:val="006E0E45"/>
    <w:pPr>
      <w:spacing w:after="200"/>
    </w:pPr>
    <w:rPr>
      <w:rFonts w:ascii="Arial" w:hAnsi="Arial"/>
      <w:color w:val="2D1958"/>
      <w:szCs w:val="20"/>
    </w:rPr>
  </w:style>
  <w:style w:type="paragraph" w:customStyle="1" w:styleId="ABAMoreInfoText">
    <w:name w:val="ABA More Info Text"/>
    <w:basedOn w:val="ABAIntroductionText"/>
    <w:qFormat/>
    <w:rsid w:val="006E0E45"/>
  </w:style>
  <w:style w:type="paragraph" w:customStyle="1" w:styleId="ABASource">
    <w:name w:val="ABA Source"/>
    <w:basedOn w:val="Normal"/>
    <w:qFormat/>
    <w:rsid w:val="006E0E45"/>
    <w:rPr>
      <w:rFonts w:ascii="Arial" w:hAnsi="Arial"/>
      <w:color w:val="404040"/>
      <w:sz w:val="14"/>
      <w:szCs w:val="14"/>
    </w:rPr>
  </w:style>
  <w:style w:type="table" w:customStyle="1" w:styleId="ABATable">
    <w:name w:val="ABA Table"/>
    <w:basedOn w:val="TableNormal"/>
    <w:uiPriority w:val="99"/>
    <w:rsid w:val="00F404F2"/>
    <w:rPr>
      <w:rFonts w:ascii="Arial" w:hAnsi="Arial" w:cs="Times New Roman"/>
      <w:sz w:val="22"/>
      <w:szCs w:val="20"/>
      <w:lang w:eastAsia="en-AU"/>
    </w:rPr>
    <w:tblPr>
      <w:tblBorders>
        <w:insideH w:val="single" w:sz="4" w:space="0" w:color="BFBFBF"/>
      </w:tblBorders>
    </w:tblPr>
    <w:tblStylePr w:type="firstRow">
      <w:rPr>
        <w:rFonts w:cs="Times New Roman"/>
        <w:b/>
      </w:rPr>
      <w:tblPr/>
      <w:tcPr>
        <w:tcBorders>
          <w:top w:val="single" w:sz="18" w:space="0" w:color="3095B4"/>
        </w:tcBorders>
        <w:shd w:val="clear" w:color="auto" w:fill="D9D9D9"/>
      </w:tcPr>
    </w:tblStylePr>
    <w:tblStylePr w:type="lastRow">
      <w:rPr>
        <w:rFonts w:cs="Times New Roman"/>
      </w:rPr>
      <w:tblPr/>
      <w:tcPr>
        <w:tcBorders>
          <w:bottom w:val="single" w:sz="18" w:space="0" w:color="3095B4"/>
        </w:tcBorders>
        <w:shd w:val="clear" w:color="auto" w:fill="D1ECF3"/>
      </w:tcPr>
    </w:tblStylePr>
  </w:style>
  <w:style w:type="paragraph" w:customStyle="1" w:styleId="ABATableContent">
    <w:name w:val="ABA Table Content"/>
    <w:basedOn w:val="Normal"/>
    <w:qFormat/>
    <w:rsid w:val="00F404F2"/>
    <w:rPr>
      <w:rFonts w:ascii="Arial" w:hAnsi="Arial"/>
      <w:szCs w:val="16"/>
    </w:rPr>
  </w:style>
  <w:style w:type="paragraph" w:customStyle="1" w:styleId="ABATableHeader">
    <w:name w:val="ABA Table Header"/>
    <w:basedOn w:val="Normal"/>
    <w:qFormat/>
    <w:rsid w:val="00F404F2"/>
    <w:rPr>
      <w:rFonts w:ascii="Arial" w:hAnsi="Arial"/>
      <w:b/>
      <w:szCs w:val="16"/>
    </w:rPr>
  </w:style>
  <w:style w:type="paragraph" w:styleId="ListBullet">
    <w:name w:val="List Bullet"/>
    <w:aliases w:val="ABA Bullet Points"/>
    <w:basedOn w:val="Normal"/>
    <w:uiPriority w:val="99"/>
    <w:unhideWhenUsed/>
    <w:rsid w:val="00816C03"/>
    <w:pPr>
      <w:numPr>
        <w:numId w:val="19"/>
      </w:numPr>
      <w:contextualSpacing/>
    </w:pPr>
    <w:rPr>
      <w:rFonts w:ascii="Arial" w:hAnsi="Arial"/>
      <w:szCs w:val="19"/>
    </w:rPr>
  </w:style>
  <w:style w:type="paragraph" w:customStyle="1" w:styleId="ABACompiledby">
    <w:name w:val="ABA Compiled by"/>
    <w:basedOn w:val="Normal"/>
    <w:qFormat/>
    <w:rsid w:val="00332CB6"/>
    <w:pPr>
      <w:spacing w:before="6000"/>
    </w:pPr>
    <w:rPr>
      <w:rFonts w:ascii="Arial" w:hAnsi="Arial"/>
      <w:b/>
      <w:color w:val="FFFFFF"/>
      <w:szCs w:val="19"/>
    </w:rPr>
  </w:style>
  <w:style w:type="paragraph" w:customStyle="1" w:styleId="ABAContentsheading">
    <w:name w:val="ABA Contents heading"/>
    <w:basedOn w:val="Heading1"/>
    <w:qFormat/>
    <w:rsid w:val="00332CB6"/>
  </w:style>
  <w:style w:type="paragraph" w:customStyle="1" w:styleId="ABADetails">
    <w:name w:val="ABA Details"/>
    <w:basedOn w:val="Normal"/>
    <w:next w:val="Normal"/>
    <w:rsid w:val="00332CB6"/>
    <w:pPr>
      <w:keepNext/>
      <w:pBdr>
        <w:top w:val="single" w:sz="12" w:space="1" w:color="CCFFFF"/>
        <w:bottom w:val="single" w:sz="12" w:space="1" w:color="CCFFFF"/>
      </w:pBdr>
      <w:spacing w:before="0" w:after="180"/>
      <w:jc w:val="center"/>
    </w:pPr>
    <w:rPr>
      <w:rFonts w:ascii="Arial Bold" w:hAnsi="Arial Bold"/>
      <w:b/>
      <w:color w:val="404040"/>
      <w:szCs w:val="20"/>
    </w:rPr>
  </w:style>
  <w:style w:type="paragraph" w:customStyle="1" w:styleId="ABADocumentcreated">
    <w:name w:val="ABA Document created"/>
    <w:basedOn w:val="Heading3"/>
    <w:qFormat/>
    <w:rsid w:val="00332CB6"/>
    <w:rPr>
      <w:bCs/>
    </w:rPr>
  </w:style>
  <w:style w:type="paragraph" w:customStyle="1" w:styleId="ABAHeading2-PlainText">
    <w:name w:val="ABA Heading 2 - Plain Text"/>
    <w:basedOn w:val="Normal"/>
    <w:next w:val="Normal"/>
    <w:qFormat/>
    <w:rsid w:val="002C1D17"/>
    <w:pPr>
      <w:keepNext/>
      <w:spacing w:before="300"/>
    </w:pPr>
    <w:rPr>
      <w:rFonts w:ascii="Arial" w:hAnsi="Arial"/>
      <w:b/>
      <w:color w:val="2D1958"/>
      <w:sz w:val="26"/>
      <w:szCs w:val="22"/>
    </w:rPr>
  </w:style>
  <w:style w:type="paragraph" w:customStyle="1" w:styleId="ABAHeading3-PlainText">
    <w:name w:val="ABA Heading 3 - Plain Text"/>
    <w:basedOn w:val="Normal"/>
    <w:next w:val="Normal"/>
    <w:qFormat/>
    <w:rsid w:val="002C1D17"/>
    <w:pPr>
      <w:keepNext/>
      <w:spacing w:before="200" w:after="0"/>
    </w:pPr>
    <w:rPr>
      <w:rFonts w:ascii="Arial" w:hAnsi="Arial"/>
      <w:b/>
      <w:color w:val="002F5F"/>
      <w:sz w:val="24"/>
      <w:szCs w:val="20"/>
    </w:rPr>
  </w:style>
  <w:style w:type="paragraph" w:customStyle="1" w:styleId="ABAHeading4-PlainText">
    <w:name w:val="ABA Heading 4 - Plain Text"/>
    <w:basedOn w:val="Normal"/>
    <w:next w:val="Normal"/>
    <w:qFormat/>
    <w:rsid w:val="00622D69"/>
    <w:pPr>
      <w:keepNext/>
      <w:spacing w:before="200" w:after="0"/>
    </w:pPr>
    <w:rPr>
      <w:rFonts w:ascii="Arial" w:hAnsi="Arial"/>
      <w:b/>
      <w:szCs w:val="19"/>
    </w:rPr>
  </w:style>
  <w:style w:type="paragraph" w:customStyle="1" w:styleId="ABANamePosition">
    <w:name w:val="ABA Name Position"/>
    <w:basedOn w:val="ABACompiledby"/>
    <w:qFormat/>
    <w:rsid w:val="00332CB6"/>
    <w:pPr>
      <w:spacing w:before="100"/>
    </w:pPr>
    <w:rPr>
      <w:b w:val="0"/>
      <w:szCs w:val="20"/>
    </w:rPr>
  </w:style>
  <w:style w:type="paragraph" w:customStyle="1" w:styleId="ABAQuote">
    <w:name w:val="ABA Quote"/>
    <w:basedOn w:val="Normal"/>
    <w:qFormat/>
    <w:rsid w:val="00F949C7"/>
    <w:pPr>
      <w:ind w:left="567"/>
    </w:pPr>
    <w:rPr>
      <w:rFonts w:ascii="Arial" w:hAnsi="Arial"/>
      <w:i/>
      <w:szCs w:val="19"/>
    </w:rPr>
  </w:style>
  <w:style w:type="paragraph" w:customStyle="1" w:styleId="ABAAddressText">
    <w:name w:val="ABA Address Text"/>
    <w:basedOn w:val="Normal"/>
    <w:qFormat/>
    <w:rsid w:val="00065A3D"/>
    <w:pPr>
      <w:spacing w:before="0" w:after="0"/>
    </w:pPr>
  </w:style>
  <w:style w:type="paragraph" w:customStyle="1" w:styleId="ABABulletPointsDashed">
    <w:name w:val="ABA Bullet Points Dashed"/>
    <w:basedOn w:val="ListBullet"/>
    <w:qFormat/>
    <w:rsid w:val="002C1D17"/>
    <w:pPr>
      <w:numPr>
        <w:ilvl w:val="1"/>
      </w:numPr>
      <w:ind w:left="709" w:hanging="283"/>
    </w:pPr>
  </w:style>
  <w:style w:type="paragraph" w:styleId="FootnoteText">
    <w:name w:val="footnote text"/>
    <w:basedOn w:val="Normal"/>
    <w:link w:val="FootnoteTextChar"/>
    <w:uiPriority w:val="99"/>
    <w:rsid w:val="002C1D17"/>
    <w:pPr>
      <w:spacing w:before="0" w:after="0" w:line="240" w:lineRule="auto"/>
      <w:ind w:left="142" w:hanging="142"/>
      <w:jc w:val="left"/>
    </w:pPr>
    <w:rPr>
      <w:sz w:val="16"/>
      <w:szCs w:val="20"/>
    </w:rPr>
  </w:style>
  <w:style w:type="character" w:customStyle="1" w:styleId="FootnoteTextChar">
    <w:name w:val="Footnote Text Char"/>
    <w:basedOn w:val="DefaultParagraphFont"/>
    <w:link w:val="FootnoteText"/>
    <w:uiPriority w:val="99"/>
    <w:locked/>
    <w:rsid w:val="002C1D17"/>
    <w:rPr>
      <w:rFonts w:cs="Times New Roman"/>
      <w:sz w:val="20"/>
      <w:szCs w:val="20"/>
    </w:rPr>
  </w:style>
  <w:style w:type="character" w:styleId="FootnoteReference">
    <w:name w:val="footnote reference"/>
    <w:basedOn w:val="DefaultParagraphFont"/>
    <w:uiPriority w:val="99"/>
    <w:rsid w:val="005D16F5"/>
    <w:rPr>
      <w:rFonts w:ascii="Arial" w:hAnsi="Arial" w:cs="Times New Roman"/>
      <w:sz w:val="16"/>
      <w:vertAlign w:val="superscript"/>
    </w:rPr>
  </w:style>
  <w:style w:type="paragraph" w:customStyle="1" w:styleId="ABABulletsIndented">
    <w:name w:val="ABA Bullets Indented"/>
    <w:basedOn w:val="ListBullet"/>
    <w:qFormat/>
    <w:rsid w:val="00E32BF1"/>
    <w:pPr>
      <w:tabs>
        <w:tab w:val="clear" w:pos="360"/>
        <w:tab w:val="num" w:pos="851"/>
      </w:tabs>
      <w:ind w:left="851" w:hanging="284"/>
    </w:pPr>
  </w:style>
  <w:style w:type="paragraph" w:customStyle="1" w:styleId="Disclaimer">
    <w:name w:val="Disclaimer"/>
    <w:basedOn w:val="Normal"/>
    <w:rsid w:val="00916AD1"/>
    <w:pPr>
      <w:spacing w:before="0" w:after="0" w:line="240" w:lineRule="auto"/>
      <w:jc w:val="left"/>
    </w:pPr>
    <w:rPr>
      <w:rFonts w:ascii="Verdana" w:hAnsi="Verdana"/>
      <w:sz w:val="14"/>
      <w:szCs w:val="14"/>
      <w:lang w:eastAsia="en-AU"/>
    </w:rPr>
  </w:style>
  <w:style w:type="table" w:styleId="TableGrid">
    <w:name w:val="Table Grid"/>
    <w:basedOn w:val="TableNormal"/>
    <w:uiPriority w:val="59"/>
    <w:rsid w:val="00F404F2"/>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ATableBullets">
    <w:name w:val="ABA Table Bullets"/>
    <w:basedOn w:val="ListBullet"/>
    <w:qFormat/>
    <w:rsid w:val="00F404F2"/>
    <w:rPr>
      <w:lang w:eastAsia="en-AU"/>
    </w:rPr>
  </w:style>
  <w:style w:type="paragraph" w:customStyle="1" w:styleId="ABATableHeader10pt">
    <w:name w:val="ABA Table Header 10pt"/>
    <w:basedOn w:val="ABATableHeader"/>
    <w:qFormat/>
    <w:rsid w:val="00F404F2"/>
    <w:rPr>
      <w:sz w:val="20"/>
      <w:szCs w:val="20"/>
      <w:lang w:eastAsia="en-AU"/>
    </w:rPr>
  </w:style>
  <w:style w:type="paragraph" w:customStyle="1" w:styleId="ABATableContent10pt">
    <w:name w:val="ABA Table Content 10pt"/>
    <w:basedOn w:val="ABATableContent"/>
    <w:qFormat/>
    <w:rsid w:val="00F404F2"/>
    <w:rPr>
      <w:sz w:val="20"/>
      <w:szCs w:val="20"/>
      <w:lang w:eastAsia="en-AU"/>
    </w:rPr>
  </w:style>
  <w:style w:type="paragraph" w:customStyle="1" w:styleId="ABATableBullets10pt">
    <w:name w:val="ABA Table Bullets 10pt"/>
    <w:basedOn w:val="ABATableBullets"/>
    <w:qFormat/>
    <w:rsid w:val="00F404F2"/>
    <w:rPr>
      <w:sz w:val="20"/>
      <w:szCs w:val="20"/>
    </w:rPr>
  </w:style>
  <w:style w:type="paragraph" w:customStyle="1" w:styleId="ABANumberedBulletPoints">
    <w:name w:val="ABA Numbered Bullet Points"/>
    <w:basedOn w:val="Normal"/>
    <w:qFormat/>
    <w:rsid w:val="000D5F54"/>
    <w:pPr>
      <w:numPr>
        <w:numId w:val="24"/>
      </w:numPr>
      <w:spacing w:before="120"/>
    </w:pPr>
  </w:style>
  <w:style w:type="paragraph" w:customStyle="1" w:styleId="ABAHeader">
    <w:name w:val="ABAHeader"/>
    <w:basedOn w:val="Normal"/>
    <w:qFormat/>
    <w:rsid w:val="008A7394"/>
    <w:pPr>
      <w:tabs>
        <w:tab w:val="right" w:pos="10206"/>
        <w:tab w:val="right" w:pos="13466"/>
      </w:tabs>
    </w:pPr>
    <w:rPr>
      <w:b/>
      <w:noProof/>
      <w:color w:val="002F5F"/>
      <w:sz w:val="16"/>
      <w:szCs w:val="16"/>
      <w:lang w:eastAsia="en-AU"/>
    </w:rPr>
  </w:style>
  <w:style w:type="character" w:styleId="Hyperlink">
    <w:name w:val="Hyperlink"/>
    <w:basedOn w:val="DefaultParagraphFont"/>
    <w:uiPriority w:val="99"/>
    <w:rsid w:val="00852435"/>
    <w:rPr>
      <w:rFonts w:cs="Times New Roman"/>
      <w:color w:val="0000FF" w:themeColor="hyperlink"/>
      <w:u w:val="single"/>
    </w:rPr>
  </w:style>
  <w:style w:type="paragraph" w:customStyle="1" w:styleId="Default">
    <w:name w:val="Default"/>
    <w:rsid w:val="001F5648"/>
    <w:pPr>
      <w:autoSpaceDE w:val="0"/>
      <w:autoSpaceDN w:val="0"/>
      <w:adjustRightInd w:val="0"/>
    </w:pPr>
    <w:rPr>
      <w:rFonts w:ascii="Segoe UI" w:hAnsi="Segoe UI" w:cs="Segoe UI"/>
      <w:color w:val="000000"/>
    </w:rPr>
  </w:style>
  <w:style w:type="character" w:styleId="Strong">
    <w:name w:val="Strong"/>
    <w:basedOn w:val="DefaultParagraphFont"/>
    <w:uiPriority w:val="22"/>
    <w:qFormat/>
    <w:rsid w:val="001F5648"/>
    <w:rPr>
      <w:rFonts w:cs="Times New Roman"/>
      <w:b/>
      <w:bCs/>
    </w:rPr>
  </w:style>
  <w:style w:type="character" w:styleId="Emphasis">
    <w:name w:val="Emphasis"/>
    <w:basedOn w:val="DefaultParagraphFont"/>
    <w:uiPriority w:val="20"/>
    <w:qFormat/>
    <w:rsid w:val="001F5648"/>
    <w:rPr>
      <w:rFonts w:cs="Times New Roman"/>
      <w:i/>
      <w:iCs/>
    </w:rPr>
  </w:style>
  <w:style w:type="character" w:styleId="CommentReference">
    <w:name w:val="annotation reference"/>
    <w:basedOn w:val="DefaultParagraphFont"/>
    <w:uiPriority w:val="99"/>
    <w:rsid w:val="00A65E0F"/>
    <w:rPr>
      <w:rFonts w:cs="Times New Roman"/>
      <w:sz w:val="16"/>
      <w:szCs w:val="16"/>
    </w:rPr>
  </w:style>
  <w:style w:type="paragraph" w:styleId="CommentText">
    <w:name w:val="annotation text"/>
    <w:basedOn w:val="Normal"/>
    <w:link w:val="CommentTextChar"/>
    <w:uiPriority w:val="99"/>
    <w:rsid w:val="00A65E0F"/>
    <w:pPr>
      <w:spacing w:line="240" w:lineRule="auto"/>
    </w:pPr>
    <w:rPr>
      <w:sz w:val="20"/>
      <w:szCs w:val="20"/>
    </w:rPr>
  </w:style>
  <w:style w:type="character" w:customStyle="1" w:styleId="CommentTextChar">
    <w:name w:val="Comment Text Char"/>
    <w:basedOn w:val="DefaultParagraphFont"/>
    <w:link w:val="CommentText"/>
    <w:uiPriority w:val="99"/>
    <w:locked/>
    <w:rsid w:val="00A65E0F"/>
    <w:rPr>
      <w:rFonts w:cs="Times New Roman"/>
      <w:sz w:val="20"/>
      <w:szCs w:val="20"/>
    </w:rPr>
  </w:style>
  <w:style w:type="paragraph" w:styleId="CommentSubject">
    <w:name w:val="annotation subject"/>
    <w:basedOn w:val="CommentText"/>
    <w:next w:val="CommentText"/>
    <w:link w:val="CommentSubjectChar"/>
    <w:uiPriority w:val="99"/>
    <w:rsid w:val="00A65E0F"/>
    <w:rPr>
      <w:b/>
      <w:bCs/>
    </w:rPr>
  </w:style>
  <w:style w:type="character" w:customStyle="1" w:styleId="CommentSubjectChar">
    <w:name w:val="Comment Subject Char"/>
    <w:basedOn w:val="CommentTextChar"/>
    <w:link w:val="CommentSubject"/>
    <w:uiPriority w:val="99"/>
    <w:locked/>
    <w:rsid w:val="00A65E0F"/>
    <w:rPr>
      <w:rFonts w:cs="Times New Roman"/>
      <w:b/>
      <w:bCs/>
      <w:sz w:val="20"/>
      <w:szCs w:val="20"/>
    </w:rPr>
  </w:style>
  <w:style w:type="numbering" w:customStyle="1" w:styleId="ABANumberedLevel1">
    <w:name w:val="ABA Numbered Level 1"/>
    <w:pPr>
      <w:numPr>
        <w:numId w:val="1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4"/>
        <w:szCs w:val="24"/>
        <w:lang w:val="en-AU" w:eastAsia="en-US" w:bidi="ar-SA"/>
      </w:rPr>
    </w:rPrDefault>
    <w:pPrDefault/>
  </w:docDefaults>
  <w:latentStyles w:defLockedState="0" w:defUIPriority="0" w:defSemiHidden="0" w:defUnhideWhenUsed="0" w:defQFormat="0" w:count="267">
    <w:lsdException w:name="heading 1" w:uiPriority="9" w:qFormat="1"/>
    <w:lsdException w:name="heading 2" w:uiPriority="9" w:qFormat="1"/>
    <w:lsdException w:name="heading 3" w:uiPriority="9" w:qFormat="1"/>
    <w:lsdException w:name="heading 4" w:uiPriority="9" w:qFormat="1"/>
    <w:lsdException w:name="footnote text" w:uiPriority="99"/>
    <w:lsdException w:name="footnote reference" w:uiPriority="99"/>
    <w:lsdException w:name="List Bullet" w:uiPriority="99"/>
    <w:lsdException w:name="Strong" w:uiPriority="22" w:qFormat="1"/>
    <w:lsdException w:name="Emphasis" w:uiPriority="20"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850D5"/>
    <w:pPr>
      <w:spacing w:before="100" w:after="100" w:line="264" w:lineRule="auto"/>
      <w:jc w:val="both"/>
    </w:pPr>
    <w:rPr>
      <w:rFonts w:cs="Times New Roman"/>
      <w:sz w:val="22"/>
    </w:rPr>
  </w:style>
  <w:style w:type="paragraph" w:styleId="Heading1">
    <w:name w:val="heading 1"/>
    <w:aliases w:val="ABA Heading 1 - Plain text"/>
    <w:basedOn w:val="Normal"/>
    <w:next w:val="Normal"/>
    <w:link w:val="Heading1Char"/>
    <w:uiPriority w:val="9"/>
    <w:qFormat/>
    <w:rsid w:val="00332CB6"/>
    <w:pPr>
      <w:keepNext/>
      <w:keepLines/>
      <w:spacing w:before="480" w:after="920"/>
      <w:outlineLvl w:val="0"/>
    </w:pPr>
    <w:rPr>
      <w:rFonts w:ascii="Arial" w:hAnsi="Arial"/>
      <w:bCs/>
      <w:color w:val="FFFFFF"/>
      <w:sz w:val="44"/>
      <w:szCs w:val="32"/>
    </w:rPr>
  </w:style>
  <w:style w:type="paragraph" w:styleId="Heading2">
    <w:name w:val="heading 2"/>
    <w:aliases w:val="ABA Heading 2 - Numbered 2"/>
    <w:basedOn w:val="Normal"/>
    <w:next w:val="Heading3"/>
    <w:link w:val="Heading2Char"/>
    <w:uiPriority w:val="9"/>
    <w:unhideWhenUsed/>
    <w:qFormat/>
    <w:rsid w:val="00DF453C"/>
    <w:pPr>
      <w:keepNext/>
      <w:keepLines/>
      <w:numPr>
        <w:numId w:val="22"/>
      </w:numPr>
      <w:spacing w:before="300" w:after="0" w:line="240" w:lineRule="auto"/>
      <w:jc w:val="left"/>
      <w:outlineLvl w:val="1"/>
    </w:pPr>
    <w:rPr>
      <w:rFonts w:ascii="Arial" w:hAnsi="Arial"/>
      <w:b/>
      <w:bCs/>
      <w:color w:val="2D1958"/>
      <w:sz w:val="26"/>
      <w:szCs w:val="22"/>
      <w:lang w:eastAsia="en-AU"/>
    </w:rPr>
  </w:style>
  <w:style w:type="paragraph" w:styleId="Heading3">
    <w:name w:val="heading 3"/>
    <w:aliases w:val="ABA Heading 3 - Numbered 3"/>
    <w:basedOn w:val="Heading2"/>
    <w:next w:val="Heading4"/>
    <w:link w:val="Heading3Char"/>
    <w:uiPriority w:val="9"/>
    <w:unhideWhenUsed/>
    <w:qFormat/>
    <w:rsid w:val="00DF453C"/>
    <w:pPr>
      <w:numPr>
        <w:ilvl w:val="1"/>
      </w:numPr>
      <w:spacing w:before="200"/>
      <w:outlineLvl w:val="2"/>
    </w:pPr>
    <w:rPr>
      <w:bCs w:val="0"/>
      <w:color w:val="002F5F"/>
      <w:sz w:val="24"/>
      <w:szCs w:val="20"/>
    </w:rPr>
  </w:style>
  <w:style w:type="paragraph" w:styleId="Heading4">
    <w:name w:val="heading 4"/>
    <w:aliases w:val="ABA Heading 4 - Numbered 4"/>
    <w:basedOn w:val="Heading3"/>
    <w:next w:val="Normal"/>
    <w:link w:val="Heading4Char"/>
    <w:uiPriority w:val="9"/>
    <w:unhideWhenUsed/>
    <w:qFormat/>
    <w:rsid w:val="00DF453C"/>
    <w:pPr>
      <w:numPr>
        <w:ilvl w:val="2"/>
      </w:numPr>
      <w:outlineLvl w:val="3"/>
    </w:pPr>
    <w:rPr>
      <w:bCs/>
      <w:iCs/>
      <w:color w:val="auto"/>
      <w:sz w:val="22"/>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BA Heading 1 - Plain text Char"/>
    <w:basedOn w:val="DefaultParagraphFont"/>
    <w:link w:val="Heading1"/>
    <w:uiPriority w:val="9"/>
    <w:locked/>
    <w:rsid w:val="00332CB6"/>
    <w:rPr>
      <w:rFonts w:ascii="Arial" w:hAnsi="Arial"/>
      <w:color w:val="FFFFFF"/>
      <w:sz w:val="32"/>
    </w:rPr>
  </w:style>
  <w:style w:type="character" w:customStyle="1" w:styleId="Heading2Char">
    <w:name w:val="Heading 2 Char"/>
    <w:aliases w:val="ABA Heading 2 - Numbered 2 Char"/>
    <w:basedOn w:val="DefaultParagraphFont"/>
    <w:link w:val="Heading2"/>
    <w:uiPriority w:val="9"/>
    <w:locked/>
    <w:rsid w:val="00DF453C"/>
    <w:rPr>
      <w:rFonts w:ascii="Arial" w:hAnsi="Arial"/>
      <w:b/>
      <w:color w:val="2D1958"/>
      <w:sz w:val="22"/>
      <w:lang w:val="x-none" w:eastAsia="en-AU"/>
    </w:rPr>
  </w:style>
  <w:style w:type="character" w:customStyle="1" w:styleId="Heading3Char">
    <w:name w:val="Heading 3 Char"/>
    <w:aliases w:val="ABA Heading 3 - Numbered 3 Char"/>
    <w:basedOn w:val="DefaultParagraphFont"/>
    <w:link w:val="Heading3"/>
    <w:uiPriority w:val="9"/>
    <w:locked/>
    <w:rsid w:val="00DF453C"/>
    <w:rPr>
      <w:rFonts w:ascii="Arial" w:hAnsi="Arial"/>
      <w:b/>
      <w:color w:val="002F5F"/>
      <w:sz w:val="20"/>
      <w:lang w:val="x-none" w:eastAsia="en-AU"/>
    </w:rPr>
  </w:style>
  <w:style w:type="character" w:customStyle="1" w:styleId="Heading4Char">
    <w:name w:val="Heading 4 Char"/>
    <w:aliases w:val="ABA Heading 4 - Numbered 4 Char"/>
    <w:basedOn w:val="DefaultParagraphFont"/>
    <w:link w:val="Heading4"/>
    <w:uiPriority w:val="9"/>
    <w:locked/>
    <w:rsid w:val="00DF453C"/>
    <w:rPr>
      <w:rFonts w:ascii="Arial" w:hAnsi="Arial"/>
      <w:b/>
      <w:sz w:val="19"/>
      <w:lang w:val="x-none" w:eastAsia="en-AU"/>
    </w:rPr>
  </w:style>
  <w:style w:type="paragraph" w:styleId="Header">
    <w:name w:val="header"/>
    <w:basedOn w:val="Normal"/>
    <w:link w:val="HeaderChar"/>
    <w:uiPriority w:val="99"/>
    <w:semiHidden/>
    <w:unhideWhenUsed/>
    <w:rsid w:val="00524567"/>
    <w:pPr>
      <w:tabs>
        <w:tab w:val="center" w:pos="4320"/>
        <w:tab w:val="right" w:pos="8640"/>
      </w:tabs>
    </w:pPr>
  </w:style>
  <w:style w:type="character" w:customStyle="1" w:styleId="HeaderChar">
    <w:name w:val="Header Char"/>
    <w:basedOn w:val="DefaultParagraphFont"/>
    <w:link w:val="Header"/>
    <w:uiPriority w:val="99"/>
    <w:semiHidden/>
    <w:locked/>
    <w:rsid w:val="00524567"/>
    <w:rPr>
      <w:rFonts w:cs="Times New Roman"/>
    </w:rPr>
  </w:style>
  <w:style w:type="paragraph" w:styleId="Footer">
    <w:name w:val="footer"/>
    <w:basedOn w:val="Normal"/>
    <w:link w:val="FooterChar"/>
    <w:uiPriority w:val="99"/>
    <w:unhideWhenUsed/>
    <w:rsid w:val="00DC5D6B"/>
    <w:pPr>
      <w:tabs>
        <w:tab w:val="center" w:pos="4320"/>
        <w:tab w:val="right" w:pos="8640"/>
      </w:tabs>
    </w:pPr>
    <w:rPr>
      <w:sz w:val="16"/>
    </w:rPr>
  </w:style>
  <w:style w:type="character" w:customStyle="1" w:styleId="FooterChar">
    <w:name w:val="Footer Char"/>
    <w:basedOn w:val="DefaultParagraphFont"/>
    <w:link w:val="Footer"/>
    <w:uiPriority w:val="99"/>
    <w:locked/>
    <w:rsid w:val="00DC5D6B"/>
    <w:rPr>
      <w:rFonts w:cs="Times New Roman"/>
      <w:sz w:val="16"/>
    </w:rPr>
  </w:style>
  <w:style w:type="character" w:styleId="PageNumber">
    <w:name w:val="page number"/>
    <w:basedOn w:val="DefaultParagraphFont"/>
    <w:uiPriority w:val="99"/>
    <w:rsid w:val="009C3476"/>
    <w:rPr>
      <w:rFonts w:cs="Times New Roman"/>
    </w:rPr>
  </w:style>
  <w:style w:type="paragraph" w:customStyle="1" w:styleId="ABALetterheadHeading">
    <w:name w:val="ABA Letterhead Heading"/>
    <w:basedOn w:val="Normal"/>
    <w:qFormat/>
    <w:rsid w:val="001514C6"/>
    <w:pPr>
      <w:spacing w:before="120" w:after="240"/>
    </w:pPr>
    <w:rPr>
      <w:b/>
      <w:sz w:val="24"/>
    </w:rPr>
  </w:style>
  <w:style w:type="paragraph" w:customStyle="1" w:styleId="ABALetterheadText">
    <w:name w:val="ABA Letterhead Text"/>
    <w:basedOn w:val="Normal"/>
    <w:qFormat/>
    <w:rsid w:val="00065A3D"/>
  </w:style>
  <w:style w:type="paragraph" w:customStyle="1" w:styleId="ABALetterheadName">
    <w:name w:val="ABA Letterhead Name"/>
    <w:basedOn w:val="Normal"/>
    <w:qFormat/>
    <w:rsid w:val="004E46AF"/>
    <w:pPr>
      <w:spacing w:before="120"/>
    </w:pPr>
    <w:rPr>
      <w:b/>
      <w:szCs w:val="19"/>
    </w:rPr>
  </w:style>
  <w:style w:type="paragraph" w:styleId="BalloonText">
    <w:name w:val="Balloon Text"/>
    <w:basedOn w:val="Normal"/>
    <w:link w:val="BalloonTextChar"/>
    <w:uiPriority w:val="99"/>
    <w:rsid w:val="006E0E45"/>
    <w:rPr>
      <w:rFonts w:ascii="Tahoma" w:hAnsi="Tahoma" w:cs="Tahoma"/>
      <w:sz w:val="16"/>
      <w:szCs w:val="16"/>
    </w:rPr>
  </w:style>
  <w:style w:type="character" w:customStyle="1" w:styleId="BalloonTextChar">
    <w:name w:val="Balloon Text Char"/>
    <w:basedOn w:val="DefaultParagraphFont"/>
    <w:link w:val="BalloonText"/>
    <w:uiPriority w:val="99"/>
    <w:locked/>
    <w:rsid w:val="006E0E45"/>
    <w:rPr>
      <w:rFonts w:ascii="Tahoma" w:hAnsi="Tahoma" w:cs="Tahoma"/>
      <w:sz w:val="16"/>
      <w:szCs w:val="16"/>
    </w:rPr>
  </w:style>
  <w:style w:type="paragraph" w:customStyle="1" w:styleId="ABAChartTableHeading">
    <w:name w:val="ABA Chart &amp; Table Heading"/>
    <w:basedOn w:val="Normal"/>
    <w:qFormat/>
    <w:rsid w:val="00EC00FD"/>
    <w:pPr>
      <w:keepNext/>
      <w:spacing w:after="60"/>
    </w:pPr>
    <w:rPr>
      <w:rFonts w:ascii="Arial" w:hAnsi="Arial"/>
      <w:b/>
      <w:szCs w:val="19"/>
    </w:rPr>
  </w:style>
  <w:style w:type="paragraph" w:customStyle="1" w:styleId="ABAHeaderText">
    <w:name w:val="ABA Header Text"/>
    <w:basedOn w:val="Header"/>
    <w:qFormat/>
    <w:rsid w:val="006E0E45"/>
    <w:pPr>
      <w:jc w:val="right"/>
    </w:pPr>
    <w:rPr>
      <w:rFonts w:ascii="Arial" w:hAnsi="Arial"/>
      <w:b/>
      <w:noProof/>
      <w:color w:val="002F5F"/>
      <w:sz w:val="16"/>
      <w:szCs w:val="16"/>
      <w:lang w:eastAsia="en-AU"/>
    </w:rPr>
  </w:style>
  <w:style w:type="paragraph" w:customStyle="1" w:styleId="ABAIntroductionText">
    <w:name w:val="ABA Introduction Text"/>
    <w:basedOn w:val="Normal"/>
    <w:qFormat/>
    <w:rsid w:val="006E0E45"/>
    <w:pPr>
      <w:spacing w:after="200"/>
    </w:pPr>
    <w:rPr>
      <w:rFonts w:ascii="Arial" w:hAnsi="Arial"/>
      <w:color w:val="2D1958"/>
      <w:szCs w:val="20"/>
    </w:rPr>
  </w:style>
  <w:style w:type="paragraph" w:customStyle="1" w:styleId="ABAMoreInfoText">
    <w:name w:val="ABA More Info Text"/>
    <w:basedOn w:val="ABAIntroductionText"/>
    <w:qFormat/>
    <w:rsid w:val="006E0E45"/>
  </w:style>
  <w:style w:type="paragraph" w:customStyle="1" w:styleId="ABASource">
    <w:name w:val="ABA Source"/>
    <w:basedOn w:val="Normal"/>
    <w:qFormat/>
    <w:rsid w:val="006E0E45"/>
    <w:rPr>
      <w:rFonts w:ascii="Arial" w:hAnsi="Arial"/>
      <w:color w:val="404040"/>
      <w:sz w:val="14"/>
      <w:szCs w:val="14"/>
    </w:rPr>
  </w:style>
  <w:style w:type="table" w:customStyle="1" w:styleId="ABATable">
    <w:name w:val="ABA Table"/>
    <w:basedOn w:val="TableNormal"/>
    <w:uiPriority w:val="99"/>
    <w:rsid w:val="00F404F2"/>
    <w:rPr>
      <w:rFonts w:ascii="Arial" w:hAnsi="Arial" w:cs="Times New Roman"/>
      <w:sz w:val="22"/>
      <w:szCs w:val="20"/>
      <w:lang w:eastAsia="en-AU"/>
    </w:rPr>
    <w:tblPr>
      <w:tblBorders>
        <w:insideH w:val="single" w:sz="4" w:space="0" w:color="BFBFBF"/>
      </w:tblBorders>
    </w:tblPr>
    <w:tblStylePr w:type="firstRow">
      <w:rPr>
        <w:rFonts w:cs="Times New Roman"/>
        <w:b/>
      </w:rPr>
      <w:tblPr/>
      <w:tcPr>
        <w:tcBorders>
          <w:top w:val="single" w:sz="18" w:space="0" w:color="3095B4"/>
        </w:tcBorders>
        <w:shd w:val="clear" w:color="auto" w:fill="D9D9D9"/>
      </w:tcPr>
    </w:tblStylePr>
    <w:tblStylePr w:type="lastRow">
      <w:rPr>
        <w:rFonts w:cs="Times New Roman"/>
      </w:rPr>
      <w:tblPr/>
      <w:tcPr>
        <w:tcBorders>
          <w:bottom w:val="single" w:sz="18" w:space="0" w:color="3095B4"/>
        </w:tcBorders>
        <w:shd w:val="clear" w:color="auto" w:fill="D1ECF3"/>
      </w:tcPr>
    </w:tblStylePr>
  </w:style>
  <w:style w:type="paragraph" w:customStyle="1" w:styleId="ABATableContent">
    <w:name w:val="ABA Table Content"/>
    <w:basedOn w:val="Normal"/>
    <w:qFormat/>
    <w:rsid w:val="00F404F2"/>
    <w:rPr>
      <w:rFonts w:ascii="Arial" w:hAnsi="Arial"/>
      <w:szCs w:val="16"/>
    </w:rPr>
  </w:style>
  <w:style w:type="paragraph" w:customStyle="1" w:styleId="ABATableHeader">
    <w:name w:val="ABA Table Header"/>
    <w:basedOn w:val="Normal"/>
    <w:qFormat/>
    <w:rsid w:val="00F404F2"/>
    <w:rPr>
      <w:rFonts w:ascii="Arial" w:hAnsi="Arial"/>
      <w:b/>
      <w:szCs w:val="16"/>
    </w:rPr>
  </w:style>
  <w:style w:type="paragraph" w:styleId="ListBullet">
    <w:name w:val="List Bullet"/>
    <w:aliases w:val="ABA Bullet Points"/>
    <w:basedOn w:val="Normal"/>
    <w:uiPriority w:val="99"/>
    <w:unhideWhenUsed/>
    <w:rsid w:val="00816C03"/>
    <w:pPr>
      <w:numPr>
        <w:numId w:val="19"/>
      </w:numPr>
      <w:contextualSpacing/>
    </w:pPr>
    <w:rPr>
      <w:rFonts w:ascii="Arial" w:hAnsi="Arial"/>
      <w:szCs w:val="19"/>
    </w:rPr>
  </w:style>
  <w:style w:type="paragraph" w:customStyle="1" w:styleId="ABACompiledby">
    <w:name w:val="ABA Compiled by"/>
    <w:basedOn w:val="Normal"/>
    <w:qFormat/>
    <w:rsid w:val="00332CB6"/>
    <w:pPr>
      <w:spacing w:before="6000"/>
    </w:pPr>
    <w:rPr>
      <w:rFonts w:ascii="Arial" w:hAnsi="Arial"/>
      <w:b/>
      <w:color w:val="FFFFFF"/>
      <w:szCs w:val="19"/>
    </w:rPr>
  </w:style>
  <w:style w:type="paragraph" w:customStyle="1" w:styleId="ABAContentsheading">
    <w:name w:val="ABA Contents heading"/>
    <w:basedOn w:val="Heading1"/>
    <w:qFormat/>
    <w:rsid w:val="00332CB6"/>
  </w:style>
  <w:style w:type="paragraph" w:customStyle="1" w:styleId="ABADetails">
    <w:name w:val="ABA Details"/>
    <w:basedOn w:val="Normal"/>
    <w:next w:val="Normal"/>
    <w:rsid w:val="00332CB6"/>
    <w:pPr>
      <w:keepNext/>
      <w:pBdr>
        <w:top w:val="single" w:sz="12" w:space="1" w:color="CCFFFF"/>
        <w:bottom w:val="single" w:sz="12" w:space="1" w:color="CCFFFF"/>
      </w:pBdr>
      <w:spacing w:before="0" w:after="180"/>
      <w:jc w:val="center"/>
    </w:pPr>
    <w:rPr>
      <w:rFonts w:ascii="Arial Bold" w:hAnsi="Arial Bold"/>
      <w:b/>
      <w:color w:val="404040"/>
      <w:szCs w:val="20"/>
    </w:rPr>
  </w:style>
  <w:style w:type="paragraph" w:customStyle="1" w:styleId="ABADocumentcreated">
    <w:name w:val="ABA Document created"/>
    <w:basedOn w:val="Heading3"/>
    <w:qFormat/>
    <w:rsid w:val="00332CB6"/>
    <w:rPr>
      <w:bCs/>
    </w:rPr>
  </w:style>
  <w:style w:type="paragraph" w:customStyle="1" w:styleId="ABAHeading2-PlainText">
    <w:name w:val="ABA Heading 2 - Plain Text"/>
    <w:basedOn w:val="Normal"/>
    <w:next w:val="Normal"/>
    <w:qFormat/>
    <w:rsid w:val="002C1D17"/>
    <w:pPr>
      <w:keepNext/>
      <w:spacing w:before="300"/>
    </w:pPr>
    <w:rPr>
      <w:rFonts w:ascii="Arial" w:hAnsi="Arial"/>
      <w:b/>
      <w:color w:val="2D1958"/>
      <w:sz w:val="26"/>
      <w:szCs w:val="22"/>
    </w:rPr>
  </w:style>
  <w:style w:type="paragraph" w:customStyle="1" w:styleId="ABAHeading3-PlainText">
    <w:name w:val="ABA Heading 3 - Plain Text"/>
    <w:basedOn w:val="Normal"/>
    <w:next w:val="Normal"/>
    <w:qFormat/>
    <w:rsid w:val="002C1D17"/>
    <w:pPr>
      <w:keepNext/>
      <w:spacing w:before="200" w:after="0"/>
    </w:pPr>
    <w:rPr>
      <w:rFonts w:ascii="Arial" w:hAnsi="Arial"/>
      <w:b/>
      <w:color w:val="002F5F"/>
      <w:sz w:val="24"/>
      <w:szCs w:val="20"/>
    </w:rPr>
  </w:style>
  <w:style w:type="paragraph" w:customStyle="1" w:styleId="ABAHeading4-PlainText">
    <w:name w:val="ABA Heading 4 - Plain Text"/>
    <w:basedOn w:val="Normal"/>
    <w:next w:val="Normal"/>
    <w:qFormat/>
    <w:rsid w:val="00622D69"/>
    <w:pPr>
      <w:keepNext/>
      <w:spacing w:before="200" w:after="0"/>
    </w:pPr>
    <w:rPr>
      <w:rFonts w:ascii="Arial" w:hAnsi="Arial"/>
      <w:b/>
      <w:szCs w:val="19"/>
    </w:rPr>
  </w:style>
  <w:style w:type="paragraph" w:customStyle="1" w:styleId="ABANamePosition">
    <w:name w:val="ABA Name Position"/>
    <w:basedOn w:val="ABACompiledby"/>
    <w:qFormat/>
    <w:rsid w:val="00332CB6"/>
    <w:pPr>
      <w:spacing w:before="100"/>
    </w:pPr>
    <w:rPr>
      <w:b w:val="0"/>
      <w:szCs w:val="20"/>
    </w:rPr>
  </w:style>
  <w:style w:type="paragraph" w:customStyle="1" w:styleId="ABAQuote">
    <w:name w:val="ABA Quote"/>
    <w:basedOn w:val="Normal"/>
    <w:qFormat/>
    <w:rsid w:val="00F949C7"/>
    <w:pPr>
      <w:ind w:left="567"/>
    </w:pPr>
    <w:rPr>
      <w:rFonts w:ascii="Arial" w:hAnsi="Arial"/>
      <w:i/>
      <w:szCs w:val="19"/>
    </w:rPr>
  </w:style>
  <w:style w:type="paragraph" w:customStyle="1" w:styleId="ABAAddressText">
    <w:name w:val="ABA Address Text"/>
    <w:basedOn w:val="Normal"/>
    <w:qFormat/>
    <w:rsid w:val="00065A3D"/>
    <w:pPr>
      <w:spacing w:before="0" w:after="0"/>
    </w:pPr>
  </w:style>
  <w:style w:type="paragraph" w:customStyle="1" w:styleId="ABABulletPointsDashed">
    <w:name w:val="ABA Bullet Points Dashed"/>
    <w:basedOn w:val="ListBullet"/>
    <w:qFormat/>
    <w:rsid w:val="002C1D17"/>
    <w:pPr>
      <w:numPr>
        <w:ilvl w:val="1"/>
      </w:numPr>
      <w:ind w:left="709" w:hanging="283"/>
    </w:pPr>
  </w:style>
  <w:style w:type="paragraph" w:styleId="FootnoteText">
    <w:name w:val="footnote text"/>
    <w:basedOn w:val="Normal"/>
    <w:link w:val="FootnoteTextChar"/>
    <w:uiPriority w:val="99"/>
    <w:rsid w:val="002C1D17"/>
    <w:pPr>
      <w:spacing w:before="0" w:after="0" w:line="240" w:lineRule="auto"/>
      <w:ind w:left="142" w:hanging="142"/>
      <w:jc w:val="left"/>
    </w:pPr>
    <w:rPr>
      <w:sz w:val="16"/>
      <w:szCs w:val="20"/>
    </w:rPr>
  </w:style>
  <w:style w:type="character" w:customStyle="1" w:styleId="FootnoteTextChar">
    <w:name w:val="Footnote Text Char"/>
    <w:basedOn w:val="DefaultParagraphFont"/>
    <w:link w:val="FootnoteText"/>
    <w:uiPriority w:val="99"/>
    <w:locked/>
    <w:rsid w:val="002C1D17"/>
    <w:rPr>
      <w:rFonts w:cs="Times New Roman"/>
      <w:sz w:val="20"/>
      <w:szCs w:val="20"/>
    </w:rPr>
  </w:style>
  <w:style w:type="character" w:styleId="FootnoteReference">
    <w:name w:val="footnote reference"/>
    <w:basedOn w:val="DefaultParagraphFont"/>
    <w:uiPriority w:val="99"/>
    <w:rsid w:val="005D16F5"/>
    <w:rPr>
      <w:rFonts w:ascii="Arial" w:hAnsi="Arial" w:cs="Times New Roman"/>
      <w:sz w:val="16"/>
      <w:vertAlign w:val="superscript"/>
    </w:rPr>
  </w:style>
  <w:style w:type="paragraph" w:customStyle="1" w:styleId="ABABulletsIndented">
    <w:name w:val="ABA Bullets Indented"/>
    <w:basedOn w:val="ListBullet"/>
    <w:qFormat/>
    <w:rsid w:val="00E32BF1"/>
    <w:pPr>
      <w:tabs>
        <w:tab w:val="clear" w:pos="360"/>
        <w:tab w:val="num" w:pos="851"/>
      </w:tabs>
      <w:ind w:left="851" w:hanging="284"/>
    </w:pPr>
  </w:style>
  <w:style w:type="paragraph" w:customStyle="1" w:styleId="Disclaimer">
    <w:name w:val="Disclaimer"/>
    <w:basedOn w:val="Normal"/>
    <w:rsid w:val="00916AD1"/>
    <w:pPr>
      <w:spacing w:before="0" w:after="0" w:line="240" w:lineRule="auto"/>
      <w:jc w:val="left"/>
    </w:pPr>
    <w:rPr>
      <w:rFonts w:ascii="Verdana" w:hAnsi="Verdana"/>
      <w:sz w:val="14"/>
      <w:szCs w:val="14"/>
      <w:lang w:eastAsia="en-AU"/>
    </w:rPr>
  </w:style>
  <w:style w:type="table" w:styleId="TableGrid">
    <w:name w:val="Table Grid"/>
    <w:basedOn w:val="TableNormal"/>
    <w:uiPriority w:val="59"/>
    <w:rsid w:val="00F404F2"/>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ATableBullets">
    <w:name w:val="ABA Table Bullets"/>
    <w:basedOn w:val="ListBullet"/>
    <w:qFormat/>
    <w:rsid w:val="00F404F2"/>
    <w:rPr>
      <w:lang w:eastAsia="en-AU"/>
    </w:rPr>
  </w:style>
  <w:style w:type="paragraph" w:customStyle="1" w:styleId="ABATableHeader10pt">
    <w:name w:val="ABA Table Header 10pt"/>
    <w:basedOn w:val="ABATableHeader"/>
    <w:qFormat/>
    <w:rsid w:val="00F404F2"/>
    <w:rPr>
      <w:sz w:val="20"/>
      <w:szCs w:val="20"/>
      <w:lang w:eastAsia="en-AU"/>
    </w:rPr>
  </w:style>
  <w:style w:type="paragraph" w:customStyle="1" w:styleId="ABATableContent10pt">
    <w:name w:val="ABA Table Content 10pt"/>
    <w:basedOn w:val="ABATableContent"/>
    <w:qFormat/>
    <w:rsid w:val="00F404F2"/>
    <w:rPr>
      <w:sz w:val="20"/>
      <w:szCs w:val="20"/>
      <w:lang w:eastAsia="en-AU"/>
    </w:rPr>
  </w:style>
  <w:style w:type="paragraph" w:customStyle="1" w:styleId="ABATableBullets10pt">
    <w:name w:val="ABA Table Bullets 10pt"/>
    <w:basedOn w:val="ABATableBullets"/>
    <w:qFormat/>
    <w:rsid w:val="00F404F2"/>
    <w:rPr>
      <w:sz w:val="20"/>
      <w:szCs w:val="20"/>
    </w:rPr>
  </w:style>
  <w:style w:type="paragraph" w:customStyle="1" w:styleId="ABANumberedBulletPoints">
    <w:name w:val="ABA Numbered Bullet Points"/>
    <w:basedOn w:val="Normal"/>
    <w:qFormat/>
    <w:rsid w:val="000D5F54"/>
    <w:pPr>
      <w:numPr>
        <w:numId w:val="24"/>
      </w:numPr>
      <w:spacing w:before="120"/>
    </w:pPr>
  </w:style>
  <w:style w:type="paragraph" w:customStyle="1" w:styleId="ABAHeader">
    <w:name w:val="ABAHeader"/>
    <w:basedOn w:val="Normal"/>
    <w:qFormat/>
    <w:rsid w:val="008A7394"/>
    <w:pPr>
      <w:tabs>
        <w:tab w:val="right" w:pos="10206"/>
        <w:tab w:val="right" w:pos="13466"/>
      </w:tabs>
    </w:pPr>
    <w:rPr>
      <w:b/>
      <w:noProof/>
      <w:color w:val="002F5F"/>
      <w:sz w:val="16"/>
      <w:szCs w:val="16"/>
      <w:lang w:eastAsia="en-AU"/>
    </w:rPr>
  </w:style>
  <w:style w:type="character" w:styleId="Hyperlink">
    <w:name w:val="Hyperlink"/>
    <w:basedOn w:val="DefaultParagraphFont"/>
    <w:uiPriority w:val="99"/>
    <w:rsid w:val="00852435"/>
    <w:rPr>
      <w:rFonts w:cs="Times New Roman"/>
      <w:color w:val="0000FF" w:themeColor="hyperlink"/>
      <w:u w:val="single"/>
    </w:rPr>
  </w:style>
  <w:style w:type="paragraph" w:customStyle="1" w:styleId="Default">
    <w:name w:val="Default"/>
    <w:rsid w:val="001F5648"/>
    <w:pPr>
      <w:autoSpaceDE w:val="0"/>
      <w:autoSpaceDN w:val="0"/>
      <w:adjustRightInd w:val="0"/>
    </w:pPr>
    <w:rPr>
      <w:rFonts w:ascii="Segoe UI" w:hAnsi="Segoe UI" w:cs="Segoe UI"/>
      <w:color w:val="000000"/>
    </w:rPr>
  </w:style>
  <w:style w:type="character" w:styleId="Strong">
    <w:name w:val="Strong"/>
    <w:basedOn w:val="DefaultParagraphFont"/>
    <w:uiPriority w:val="22"/>
    <w:qFormat/>
    <w:rsid w:val="001F5648"/>
    <w:rPr>
      <w:rFonts w:cs="Times New Roman"/>
      <w:b/>
      <w:bCs/>
    </w:rPr>
  </w:style>
  <w:style w:type="character" w:styleId="Emphasis">
    <w:name w:val="Emphasis"/>
    <w:basedOn w:val="DefaultParagraphFont"/>
    <w:uiPriority w:val="20"/>
    <w:qFormat/>
    <w:rsid w:val="001F5648"/>
    <w:rPr>
      <w:rFonts w:cs="Times New Roman"/>
      <w:i/>
      <w:iCs/>
    </w:rPr>
  </w:style>
  <w:style w:type="character" w:styleId="CommentReference">
    <w:name w:val="annotation reference"/>
    <w:basedOn w:val="DefaultParagraphFont"/>
    <w:uiPriority w:val="99"/>
    <w:rsid w:val="00A65E0F"/>
    <w:rPr>
      <w:rFonts w:cs="Times New Roman"/>
      <w:sz w:val="16"/>
      <w:szCs w:val="16"/>
    </w:rPr>
  </w:style>
  <w:style w:type="paragraph" w:styleId="CommentText">
    <w:name w:val="annotation text"/>
    <w:basedOn w:val="Normal"/>
    <w:link w:val="CommentTextChar"/>
    <w:uiPriority w:val="99"/>
    <w:rsid w:val="00A65E0F"/>
    <w:pPr>
      <w:spacing w:line="240" w:lineRule="auto"/>
    </w:pPr>
    <w:rPr>
      <w:sz w:val="20"/>
      <w:szCs w:val="20"/>
    </w:rPr>
  </w:style>
  <w:style w:type="character" w:customStyle="1" w:styleId="CommentTextChar">
    <w:name w:val="Comment Text Char"/>
    <w:basedOn w:val="DefaultParagraphFont"/>
    <w:link w:val="CommentText"/>
    <w:uiPriority w:val="99"/>
    <w:locked/>
    <w:rsid w:val="00A65E0F"/>
    <w:rPr>
      <w:rFonts w:cs="Times New Roman"/>
      <w:sz w:val="20"/>
      <w:szCs w:val="20"/>
    </w:rPr>
  </w:style>
  <w:style w:type="paragraph" w:styleId="CommentSubject">
    <w:name w:val="annotation subject"/>
    <w:basedOn w:val="CommentText"/>
    <w:next w:val="CommentText"/>
    <w:link w:val="CommentSubjectChar"/>
    <w:uiPriority w:val="99"/>
    <w:rsid w:val="00A65E0F"/>
    <w:rPr>
      <w:b/>
      <w:bCs/>
    </w:rPr>
  </w:style>
  <w:style w:type="character" w:customStyle="1" w:styleId="CommentSubjectChar">
    <w:name w:val="Comment Subject Char"/>
    <w:basedOn w:val="CommentTextChar"/>
    <w:link w:val="CommentSubject"/>
    <w:uiPriority w:val="99"/>
    <w:locked/>
    <w:rsid w:val="00A65E0F"/>
    <w:rPr>
      <w:rFonts w:cs="Times New Roman"/>
      <w:b/>
      <w:bCs/>
      <w:sz w:val="20"/>
      <w:szCs w:val="20"/>
    </w:rPr>
  </w:style>
  <w:style w:type="numbering" w:customStyle="1" w:styleId="ABANumberedLevel1">
    <w:name w:val="ABA Numbered Level 1"/>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2760639">
      <w:marLeft w:val="0"/>
      <w:marRight w:val="0"/>
      <w:marTop w:val="0"/>
      <w:marBottom w:val="0"/>
      <w:divBdr>
        <w:top w:val="none" w:sz="0" w:space="0" w:color="auto"/>
        <w:left w:val="none" w:sz="0" w:space="0" w:color="auto"/>
        <w:bottom w:val="none" w:sz="0" w:space="0" w:color="auto"/>
        <w:right w:val="none" w:sz="0" w:space="0" w:color="auto"/>
      </w:divBdr>
    </w:div>
    <w:div w:id="1532760640">
      <w:marLeft w:val="0"/>
      <w:marRight w:val="0"/>
      <w:marTop w:val="0"/>
      <w:marBottom w:val="0"/>
      <w:divBdr>
        <w:top w:val="none" w:sz="0" w:space="0" w:color="auto"/>
        <w:left w:val="none" w:sz="0" w:space="0" w:color="auto"/>
        <w:bottom w:val="none" w:sz="0" w:space="0" w:color="auto"/>
        <w:right w:val="none" w:sz="0" w:space="0" w:color="auto"/>
      </w:divBdr>
    </w:div>
    <w:div w:id="153276064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footnotes.xml.rels><?xml version="1.0" encoding="UTF-8" standalone="yes"?>
<Relationships xmlns="http://schemas.openxmlformats.org/package/2006/relationships"><Relationship Id="rId2" Type="http://schemas.openxmlformats.org/officeDocument/2006/relationships/hyperlink" Target="http://www.rba.gov.au/payments-system/reforms/review-card-reforms/pdf/aba-31082007.pdf" TargetMode="External"/><Relationship Id="rId1" Type="http://schemas.openxmlformats.org/officeDocument/2006/relationships/hyperlink" Target="http://www.fin.gc.ca/n15/15-040-eng.asp"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Templates\ABA-Letter.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66E241-A614-4AA8-A159-3BF3A281E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ABA-Letter.dotm</Template>
  <TotalTime>3</TotalTime>
  <Pages>4</Pages>
  <Words>1878</Words>
  <Characters>10297</Characters>
  <Application>Microsoft Office Word</Application>
  <DocSecurity>4</DocSecurity>
  <Lines>156</Lines>
  <Paragraphs>52</Paragraphs>
  <ScaleCrop>false</ScaleCrop>
  <HeadingPairs>
    <vt:vector size="2" baseType="variant">
      <vt:variant>
        <vt:lpstr>Title</vt:lpstr>
      </vt:variant>
      <vt:variant>
        <vt:i4>1</vt:i4>
      </vt:variant>
    </vt:vector>
  </HeadingPairs>
  <TitlesOfParts>
    <vt:vector size="1" baseType="lpstr">
      <vt:lpstr/>
    </vt:vector>
  </TitlesOfParts>
  <Company>MacroView</Company>
  <LinksUpToDate>false</LinksUpToDate>
  <CharactersWithSpaces>12123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karen.houldcroft</dc:creator>
  <cp:lastModifiedBy>JIMENEZ, Ivan</cp:lastModifiedBy>
  <cp:revision>2</cp:revision>
  <cp:lastPrinted>2015-04-24T03:15:00Z</cp:lastPrinted>
  <dcterms:created xsi:type="dcterms:W3CDTF">2015-05-06T04:37:00Z</dcterms:created>
  <dcterms:modified xsi:type="dcterms:W3CDTF">2015-05-06T04:37:00Z</dcterms:modified>
</cp:coreProperties>
</file>