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65FDA" w14:textId="77777777" w:rsidR="00E051F5" w:rsidRPr="00937D42" w:rsidRDefault="00E051F5" w:rsidP="00E051F5">
      <w:pPr>
        <w:rPr>
          <w:rFonts w:ascii="Segoe UI" w:hAnsi="Segoe UI" w:cs="Segoe UI"/>
          <w:sz w:val="20"/>
          <w:szCs w:val="20"/>
        </w:rPr>
      </w:pPr>
      <w:bookmarkStart w:id="0" w:name="_GoBack"/>
      <w:bookmarkEnd w:id="0"/>
      <w:r w:rsidRPr="004400A4">
        <w:rPr>
          <w:rFonts w:ascii="Segoe UI" w:hAnsi="Segoe UI" w:cs="Segoe UI"/>
          <w:sz w:val="20"/>
          <w:szCs w:val="20"/>
        </w:rPr>
        <w:t>7 February 2017</w:t>
      </w:r>
    </w:p>
    <w:p w14:paraId="7EF83224" w14:textId="77777777" w:rsidR="00E051F5" w:rsidRPr="00937D42" w:rsidRDefault="00E051F5" w:rsidP="00E051F5">
      <w:pPr>
        <w:rPr>
          <w:rFonts w:ascii="Segoe UI" w:hAnsi="Segoe UI" w:cs="Segoe UI"/>
          <w:sz w:val="20"/>
          <w:szCs w:val="20"/>
        </w:rPr>
      </w:pPr>
    </w:p>
    <w:p w14:paraId="12A88A57" w14:textId="77777777" w:rsidR="00E051F5" w:rsidRPr="00937D42" w:rsidRDefault="00E051F5" w:rsidP="00E051F5">
      <w:pPr>
        <w:rPr>
          <w:rFonts w:ascii="Segoe UI" w:hAnsi="Segoe UI" w:cs="Segoe UI"/>
          <w:sz w:val="20"/>
          <w:szCs w:val="20"/>
        </w:rPr>
      </w:pPr>
      <w:r w:rsidRPr="00937D42">
        <w:rPr>
          <w:rFonts w:ascii="Segoe UI" w:hAnsi="Segoe UI" w:cs="Segoe UI"/>
          <w:sz w:val="20"/>
          <w:szCs w:val="20"/>
        </w:rPr>
        <w:t>Dr</w:t>
      </w:r>
      <w:r>
        <w:rPr>
          <w:rFonts w:ascii="Segoe UI" w:hAnsi="Segoe UI" w:cs="Segoe UI"/>
          <w:sz w:val="20"/>
          <w:szCs w:val="20"/>
        </w:rPr>
        <w:t>.</w:t>
      </w:r>
      <w:r w:rsidRPr="00937D42">
        <w:rPr>
          <w:rFonts w:ascii="Segoe UI" w:hAnsi="Segoe UI" w:cs="Segoe UI"/>
          <w:sz w:val="20"/>
          <w:szCs w:val="20"/>
        </w:rPr>
        <w:t xml:space="preserve"> </w:t>
      </w:r>
      <w:r>
        <w:rPr>
          <w:rFonts w:ascii="Segoe UI" w:hAnsi="Segoe UI" w:cs="Segoe UI"/>
          <w:sz w:val="20"/>
          <w:szCs w:val="20"/>
        </w:rPr>
        <w:t xml:space="preserve">Tony </w:t>
      </w:r>
      <w:r w:rsidRPr="00937D42">
        <w:rPr>
          <w:rFonts w:ascii="Segoe UI" w:hAnsi="Segoe UI" w:cs="Segoe UI"/>
          <w:sz w:val="20"/>
          <w:szCs w:val="20"/>
        </w:rPr>
        <w:t>Richards</w:t>
      </w:r>
    </w:p>
    <w:p w14:paraId="66CFD770" w14:textId="77777777" w:rsidR="00E051F5" w:rsidRPr="00937D42" w:rsidRDefault="00E051F5" w:rsidP="00E051F5">
      <w:pPr>
        <w:rPr>
          <w:rFonts w:ascii="Segoe UI" w:hAnsi="Segoe UI" w:cs="Segoe UI"/>
          <w:sz w:val="20"/>
          <w:szCs w:val="20"/>
        </w:rPr>
      </w:pPr>
      <w:r w:rsidRPr="00937D42">
        <w:rPr>
          <w:rFonts w:ascii="Segoe UI" w:hAnsi="Segoe UI" w:cs="Segoe UI"/>
          <w:sz w:val="20"/>
          <w:szCs w:val="20"/>
        </w:rPr>
        <w:t>Head of Payments Policy Department</w:t>
      </w:r>
    </w:p>
    <w:p w14:paraId="4E88C77E" w14:textId="77777777" w:rsidR="00E051F5" w:rsidRPr="00937D42" w:rsidRDefault="00E051F5" w:rsidP="00E051F5">
      <w:pPr>
        <w:rPr>
          <w:rFonts w:ascii="Segoe UI" w:hAnsi="Segoe UI" w:cs="Segoe UI"/>
          <w:sz w:val="20"/>
          <w:szCs w:val="20"/>
        </w:rPr>
      </w:pPr>
      <w:r w:rsidRPr="00937D42">
        <w:rPr>
          <w:rFonts w:ascii="Segoe UI" w:hAnsi="Segoe UI" w:cs="Segoe UI"/>
          <w:sz w:val="20"/>
          <w:szCs w:val="20"/>
        </w:rPr>
        <w:t>Reserve Bank of Australia</w:t>
      </w:r>
    </w:p>
    <w:p w14:paraId="705A0483" w14:textId="77777777" w:rsidR="00E051F5" w:rsidRPr="00937D42" w:rsidRDefault="00E051F5" w:rsidP="00E051F5">
      <w:pPr>
        <w:rPr>
          <w:rFonts w:ascii="Segoe UI" w:hAnsi="Segoe UI" w:cs="Segoe UI"/>
          <w:sz w:val="20"/>
          <w:szCs w:val="20"/>
        </w:rPr>
      </w:pPr>
      <w:r w:rsidRPr="00937D42">
        <w:rPr>
          <w:rFonts w:ascii="Segoe UI" w:hAnsi="Segoe UI" w:cs="Segoe UI"/>
          <w:sz w:val="20"/>
          <w:szCs w:val="20"/>
        </w:rPr>
        <w:t>GPO Box 3947</w:t>
      </w:r>
    </w:p>
    <w:p w14:paraId="486C0A54" w14:textId="77777777" w:rsidR="00E051F5" w:rsidRPr="00937D42" w:rsidRDefault="00E051F5" w:rsidP="00E051F5">
      <w:pPr>
        <w:rPr>
          <w:rFonts w:ascii="Segoe UI" w:hAnsi="Segoe UI" w:cs="Segoe UI"/>
          <w:sz w:val="20"/>
          <w:szCs w:val="20"/>
        </w:rPr>
      </w:pPr>
      <w:r w:rsidRPr="00937D42">
        <w:rPr>
          <w:rFonts w:ascii="Segoe UI" w:hAnsi="Segoe UI" w:cs="Segoe UI"/>
          <w:sz w:val="20"/>
          <w:szCs w:val="20"/>
        </w:rPr>
        <w:t>Sydney   NSW   2001</w:t>
      </w:r>
    </w:p>
    <w:p w14:paraId="73D5125A" w14:textId="77777777" w:rsidR="00E051F5" w:rsidRPr="00937D42" w:rsidRDefault="00E051F5" w:rsidP="00E051F5">
      <w:pPr>
        <w:rPr>
          <w:rFonts w:ascii="Segoe UI" w:hAnsi="Segoe UI" w:cs="Segoe UI"/>
          <w:sz w:val="20"/>
          <w:szCs w:val="20"/>
        </w:rPr>
      </w:pPr>
    </w:p>
    <w:p w14:paraId="502DFEBB" w14:textId="77777777" w:rsidR="00E051F5" w:rsidRPr="00937D42" w:rsidRDefault="00B14943" w:rsidP="00E051F5">
      <w:pPr>
        <w:rPr>
          <w:rFonts w:ascii="Segoe UI" w:hAnsi="Segoe UI" w:cs="Segoe UI"/>
          <w:sz w:val="20"/>
          <w:szCs w:val="20"/>
        </w:rPr>
      </w:pPr>
      <w:hyperlink r:id="rId9" w:history="1">
        <w:r w:rsidR="00E051F5" w:rsidRPr="00937D42">
          <w:rPr>
            <w:rStyle w:val="Hyperlink"/>
            <w:rFonts w:ascii="Segoe UI" w:hAnsi="Segoe UI" w:cs="Segoe UI"/>
            <w:sz w:val="20"/>
            <w:szCs w:val="20"/>
          </w:rPr>
          <w:t>pysubmissions@rba.gov.au</w:t>
        </w:r>
      </w:hyperlink>
    </w:p>
    <w:p w14:paraId="0F92257A" w14:textId="77777777" w:rsidR="00E051F5" w:rsidRDefault="00E051F5" w:rsidP="00E051F5">
      <w:pPr>
        <w:rPr>
          <w:rFonts w:ascii="Segoe UI" w:hAnsi="Segoe UI" w:cs="Segoe UI"/>
          <w:sz w:val="20"/>
          <w:szCs w:val="20"/>
        </w:rPr>
      </w:pPr>
    </w:p>
    <w:p w14:paraId="74B46F1E" w14:textId="77777777" w:rsidR="00E051F5" w:rsidRDefault="00E051F5" w:rsidP="00E051F5">
      <w:pPr>
        <w:rPr>
          <w:rFonts w:ascii="Segoe UI" w:hAnsi="Segoe UI" w:cs="Segoe UI"/>
          <w:sz w:val="20"/>
          <w:szCs w:val="20"/>
        </w:rPr>
      </w:pPr>
      <w:r>
        <w:rPr>
          <w:rFonts w:ascii="Segoe UI" w:hAnsi="Segoe UI" w:cs="Segoe UI"/>
          <w:sz w:val="20"/>
          <w:szCs w:val="20"/>
        </w:rPr>
        <w:t>Dear Dr. Richards,</w:t>
      </w:r>
    </w:p>
    <w:p w14:paraId="4917BBC6" w14:textId="77777777" w:rsidR="00E051F5" w:rsidRDefault="00E051F5" w:rsidP="00E051F5">
      <w:pPr>
        <w:rPr>
          <w:rFonts w:ascii="Segoe UI" w:hAnsi="Segoe UI" w:cs="Segoe UI"/>
          <w:sz w:val="20"/>
          <w:szCs w:val="20"/>
        </w:rPr>
      </w:pPr>
    </w:p>
    <w:p w14:paraId="2E8B67BC" w14:textId="77777777" w:rsidR="00E051F5" w:rsidRDefault="00E051F5" w:rsidP="00E051F5">
      <w:pPr>
        <w:rPr>
          <w:rFonts w:ascii="Segoe UI" w:hAnsi="Segoe UI" w:cs="Segoe UI"/>
          <w:sz w:val="20"/>
          <w:szCs w:val="20"/>
        </w:rPr>
      </w:pPr>
      <w:r w:rsidRPr="000D4799">
        <w:rPr>
          <w:rFonts w:ascii="Segoe UI" w:hAnsi="Segoe UI" w:cs="Segoe UI"/>
          <w:b/>
          <w:sz w:val="20"/>
          <w:szCs w:val="20"/>
        </w:rPr>
        <w:t xml:space="preserve">Dual-Network Cards and Mobile Wallet Technology Consultation Paper December 2016 </w:t>
      </w:r>
    </w:p>
    <w:p w14:paraId="351751BE" w14:textId="77777777" w:rsidR="00E051F5" w:rsidRDefault="00E051F5" w:rsidP="00E051F5">
      <w:pPr>
        <w:rPr>
          <w:rFonts w:ascii="Segoe UI" w:hAnsi="Segoe UI" w:cs="Segoe UI"/>
          <w:sz w:val="20"/>
          <w:szCs w:val="20"/>
        </w:rPr>
      </w:pPr>
    </w:p>
    <w:p w14:paraId="5AA7B393" w14:textId="77777777" w:rsidR="00E051F5" w:rsidRDefault="00E051F5" w:rsidP="00E051F5">
      <w:pPr>
        <w:rPr>
          <w:rFonts w:ascii="Segoe UI" w:hAnsi="Segoe UI" w:cs="Segoe UI"/>
          <w:sz w:val="20"/>
          <w:szCs w:val="20"/>
        </w:rPr>
      </w:pPr>
      <w:r>
        <w:rPr>
          <w:rFonts w:ascii="Segoe UI" w:hAnsi="Segoe UI" w:cs="Segoe UI"/>
          <w:sz w:val="20"/>
          <w:szCs w:val="20"/>
        </w:rPr>
        <w:t>eftpos Payments Australia Limited (</w:t>
      </w:r>
      <w:r w:rsidRPr="00272D71">
        <w:rPr>
          <w:rFonts w:ascii="Segoe UI" w:hAnsi="Segoe UI" w:cs="Segoe UI"/>
          <w:sz w:val="20"/>
          <w:szCs w:val="20"/>
        </w:rPr>
        <w:t>eftpos</w:t>
      </w:r>
      <w:r>
        <w:rPr>
          <w:rFonts w:ascii="Segoe UI" w:hAnsi="Segoe UI" w:cs="Segoe UI"/>
          <w:sz w:val="20"/>
          <w:szCs w:val="20"/>
        </w:rPr>
        <w:t>) appreciates the opportunity to respond to the c</w:t>
      </w:r>
      <w:r w:rsidRPr="00272D71">
        <w:rPr>
          <w:rFonts w:ascii="Segoe UI" w:hAnsi="Segoe UI" w:cs="Segoe UI"/>
          <w:sz w:val="20"/>
          <w:szCs w:val="20"/>
        </w:rPr>
        <w:t xml:space="preserve">onsultation </w:t>
      </w:r>
      <w:r>
        <w:rPr>
          <w:rFonts w:ascii="Segoe UI" w:hAnsi="Segoe UI" w:cs="Segoe UI"/>
          <w:sz w:val="20"/>
          <w:szCs w:val="20"/>
        </w:rPr>
        <w:t>p</w:t>
      </w:r>
      <w:r w:rsidRPr="00272D71">
        <w:rPr>
          <w:rFonts w:ascii="Segoe UI" w:hAnsi="Segoe UI" w:cs="Segoe UI"/>
          <w:sz w:val="20"/>
          <w:szCs w:val="20"/>
        </w:rPr>
        <w:t>aper</w:t>
      </w:r>
      <w:r>
        <w:rPr>
          <w:rFonts w:ascii="Segoe UI" w:hAnsi="Segoe UI" w:cs="Segoe UI"/>
          <w:sz w:val="20"/>
          <w:szCs w:val="20"/>
        </w:rPr>
        <w:t xml:space="preserve"> published by the Reserve Bank of Australia (RBA) with regard to Dual-Network Cards (DNCs) and Mobile Wallets.</w:t>
      </w:r>
    </w:p>
    <w:p w14:paraId="6EA0E82A" w14:textId="77777777" w:rsidR="00E051F5" w:rsidRDefault="00E051F5" w:rsidP="00E051F5">
      <w:pPr>
        <w:rPr>
          <w:rFonts w:ascii="Segoe UI" w:hAnsi="Segoe UI" w:cs="Segoe UI"/>
          <w:sz w:val="20"/>
          <w:szCs w:val="20"/>
        </w:rPr>
      </w:pPr>
    </w:p>
    <w:p w14:paraId="2DF78453" w14:textId="1F9B58A8" w:rsidR="00E051F5" w:rsidRDefault="00B56B4C" w:rsidP="00E051F5">
      <w:pPr>
        <w:rPr>
          <w:rFonts w:ascii="Segoe UI" w:hAnsi="Segoe UI" w:cs="Segoe UI"/>
          <w:sz w:val="20"/>
          <w:szCs w:val="20"/>
        </w:rPr>
      </w:pPr>
      <w:r>
        <w:rPr>
          <w:rFonts w:ascii="Segoe UI" w:hAnsi="Segoe UI" w:cs="Segoe UI"/>
          <w:sz w:val="20"/>
          <w:szCs w:val="20"/>
        </w:rPr>
        <w:t>M</w:t>
      </w:r>
      <w:r w:rsidR="00E051F5">
        <w:rPr>
          <w:rFonts w:ascii="Segoe UI" w:hAnsi="Segoe UI" w:cs="Segoe UI"/>
          <w:sz w:val="20"/>
          <w:szCs w:val="20"/>
        </w:rPr>
        <w:t>aintenance of consumer choice, transparency of choice, and both consumer and merchant choice of payment network for DNCs across all payment channels and environments, including Mobile Wallets</w:t>
      </w:r>
      <w:r w:rsidR="006E3797">
        <w:rPr>
          <w:rFonts w:ascii="Segoe UI" w:hAnsi="Segoe UI" w:cs="Segoe UI"/>
          <w:sz w:val="20"/>
          <w:szCs w:val="20"/>
        </w:rPr>
        <w:t>, are critical in eftpos’ view</w:t>
      </w:r>
      <w:r w:rsidR="00E051F5">
        <w:rPr>
          <w:rFonts w:ascii="Segoe UI" w:hAnsi="Segoe UI" w:cs="Segoe UI"/>
          <w:sz w:val="20"/>
          <w:szCs w:val="20"/>
        </w:rPr>
        <w:t xml:space="preserve">.  </w:t>
      </w:r>
    </w:p>
    <w:p w14:paraId="0B9C41BE" w14:textId="77777777" w:rsidR="00E051F5" w:rsidRDefault="00E051F5" w:rsidP="00E051F5">
      <w:pPr>
        <w:rPr>
          <w:rFonts w:ascii="Segoe UI" w:hAnsi="Segoe UI" w:cs="Segoe UI"/>
          <w:sz w:val="20"/>
          <w:szCs w:val="20"/>
        </w:rPr>
      </w:pPr>
    </w:p>
    <w:p w14:paraId="0492C47C" w14:textId="25A4F79B" w:rsidR="00E051F5" w:rsidRDefault="00303AA7" w:rsidP="00E051F5">
      <w:pPr>
        <w:rPr>
          <w:rFonts w:ascii="Segoe UI" w:hAnsi="Segoe UI" w:cs="Segoe UI"/>
          <w:sz w:val="20"/>
          <w:szCs w:val="20"/>
        </w:rPr>
      </w:pPr>
      <w:r>
        <w:rPr>
          <w:rFonts w:ascii="Segoe UI" w:hAnsi="Segoe UI" w:cs="Segoe UI"/>
          <w:sz w:val="20"/>
          <w:szCs w:val="20"/>
        </w:rPr>
        <w:t>Specific</w:t>
      </w:r>
      <w:r w:rsidR="00E051F5">
        <w:rPr>
          <w:rFonts w:ascii="Segoe UI" w:hAnsi="Segoe UI" w:cs="Segoe UI"/>
          <w:sz w:val="20"/>
          <w:szCs w:val="20"/>
        </w:rPr>
        <w:t xml:space="preserve"> comments </w:t>
      </w:r>
      <w:r>
        <w:rPr>
          <w:rFonts w:ascii="Segoe UI" w:hAnsi="Segoe UI" w:cs="Segoe UI"/>
          <w:sz w:val="20"/>
          <w:szCs w:val="20"/>
        </w:rPr>
        <w:t xml:space="preserve">are provided </w:t>
      </w:r>
      <w:r w:rsidR="00E051F5">
        <w:rPr>
          <w:rFonts w:ascii="Segoe UI" w:hAnsi="Segoe UI" w:cs="Segoe UI"/>
          <w:sz w:val="20"/>
          <w:szCs w:val="20"/>
        </w:rPr>
        <w:t xml:space="preserve">below with regard to each of the questions raised in the consultation paper:  </w:t>
      </w:r>
    </w:p>
    <w:p w14:paraId="0D886DD7" w14:textId="77777777" w:rsidR="00E051F5" w:rsidRDefault="00E051F5" w:rsidP="00E051F5">
      <w:pPr>
        <w:rPr>
          <w:rFonts w:ascii="Segoe UI" w:hAnsi="Segoe UI" w:cs="Segoe UI"/>
          <w:sz w:val="20"/>
          <w:szCs w:val="20"/>
        </w:rPr>
      </w:pPr>
    </w:p>
    <w:p w14:paraId="45EA8BB3" w14:textId="77777777" w:rsidR="00E051F5" w:rsidRPr="003F10AD" w:rsidRDefault="00E051F5" w:rsidP="00E051F5">
      <w:pPr>
        <w:pStyle w:val="ListParagraph"/>
        <w:numPr>
          <w:ilvl w:val="0"/>
          <w:numId w:val="32"/>
        </w:numPr>
        <w:rPr>
          <w:rFonts w:ascii="Segoe UI" w:hAnsi="Segoe UI" w:cs="Segoe UI"/>
          <w:b/>
        </w:rPr>
      </w:pPr>
      <w:r w:rsidRPr="003F10AD">
        <w:rPr>
          <w:rFonts w:ascii="Segoe UI" w:hAnsi="Segoe UI" w:cs="Segoe UI"/>
          <w:b/>
        </w:rPr>
        <w:t>Consumer and Merchant views of DNCs, including use in mobile payments</w:t>
      </w:r>
    </w:p>
    <w:p w14:paraId="51FE2D84" w14:textId="44BBAF3A" w:rsidR="00E051F5" w:rsidRPr="001D5202" w:rsidRDefault="00E051F5" w:rsidP="00E051F5">
      <w:pPr>
        <w:rPr>
          <w:rFonts w:ascii="Segoe UI" w:hAnsi="Segoe UI" w:cs="Segoe UI"/>
          <w:color w:val="auto"/>
          <w:sz w:val="20"/>
          <w:szCs w:val="20"/>
        </w:rPr>
      </w:pPr>
      <w:r w:rsidRPr="009C2988">
        <w:rPr>
          <w:rFonts w:ascii="Segoe UI" w:hAnsi="Segoe UI" w:cs="Segoe UI"/>
          <w:color w:val="auto"/>
          <w:sz w:val="20"/>
        </w:rPr>
        <w:t xml:space="preserve">Historically, consumers have </w:t>
      </w:r>
      <w:r w:rsidR="00B255D0">
        <w:rPr>
          <w:rFonts w:ascii="Segoe UI" w:hAnsi="Segoe UI" w:cs="Segoe UI"/>
          <w:color w:val="auto"/>
          <w:sz w:val="20"/>
        </w:rPr>
        <w:t>enjoyed</w:t>
      </w:r>
      <w:r w:rsidR="00B255D0" w:rsidRPr="009C2988">
        <w:rPr>
          <w:rFonts w:ascii="Segoe UI" w:hAnsi="Segoe UI" w:cs="Segoe UI"/>
          <w:color w:val="auto"/>
          <w:sz w:val="20"/>
        </w:rPr>
        <w:t xml:space="preserve"> </w:t>
      </w:r>
      <w:r w:rsidRPr="009C2988">
        <w:rPr>
          <w:rFonts w:ascii="Segoe UI" w:hAnsi="Segoe UI" w:cs="Segoe UI"/>
          <w:color w:val="auto"/>
          <w:sz w:val="20"/>
        </w:rPr>
        <w:t xml:space="preserve">the convenience of DNCs.  DNCs reduce the number of physical cards </w:t>
      </w:r>
      <w:r w:rsidR="004B09EB">
        <w:rPr>
          <w:rFonts w:ascii="Segoe UI" w:hAnsi="Segoe UI" w:cs="Segoe UI"/>
          <w:color w:val="auto"/>
          <w:sz w:val="20"/>
        </w:rPr>
        <w:t xml:space="preserve">that </w:t>
      </w:r>
      <w:r>
        <w:rPr>
          <w:rFonts w:ascii="Segoe UI" w:hAnsi="Segoe UI" w:cs="Segoe UI"/>
          <w:color w:val="auto"/>
          <w:sz w:val="20"/>
        </w:rPr>
        <w:t>consumers carry</w:t>
      </w:r>
      <w:r w:rsidRPr="009C2988">
        <w:rPr>
          <w:rFonts w:ascii="Segoe UI" w:hAnsi="Segoe UI" w:cs="Segoe UI"/>
          <w:color w:val="auto"/>
          <w:sz w:val="20"/>
        </w:rPr>
        <w:t xml:space="preserve">, while enabling </w:t>
      </w:r>
      <w:r>
        <w:rPr>
          <w:rFonts w:ascii="Segoe UI" w:hAnsi="Segoe UI" w:cs="Segoe UI"/>
          <w:color w:val="auto"/>
          <w:sz w:val="20"/>
        </w:rPr>
        <w:t xml:space="preserve">account </w:t>
      </w:r>
      <w:r w:rsidRPr="009C2988">
        <w:rPr>
          <w:rFonts w:ascii="Segoe UI" w:hAnsi="Segoe UI" w:cs="Segoe UI"/>
          <w:color w:val="auto"/>
          <w:sz w:val="20"/>
        </w:rPr>
        <w:t xml:space="preserve">selection by consumers </w:t>
      </w:r>
      <w:r>
        <w:rPr>
          <w:rFonts w:ascii="Segoe UI" w:hAnsi="Segoe UI" w:cs="Segoe UI"/>
          <w:color w:val="auto"/>
          <w:sz w:val="20"/>
        </w:rPr>
        <w:t xml:space="preserve">at the point of sale (POS) </w:t>
      </w:r>
      <w:r w:rsidRPr="009C2988">
        <w:rPr>
          <w:rFonts w:ascii="Segoe UI" w:hAnsi="Segoe UI" w:cs="Segoe UI"/>
          <w:color w:val="auto"/>
          <w:sz w:val="20"/>
        </w:rPr>
        <w:t xml:space="preserve">and </w:t>
      </w:r>
      <w:r>
        <w:rPr>
          <w:rFonts w:ascii="Segoe UI" w:hAnsi="Segoe UI" w:cs="Segoe UI"/>
          <w:color w:val="auto"/>
          <w:sz w:val="20"/>
        </w:rPr>
        <w:t xml:space="preserve">routing choice by </w:t>
      </w:r>
      <w:r w:rsidRPr="009C2988">
        <w:rPr>
          <w:rFonts w:ascii="Segoe UI" w:hAnsi="Segoe UI" w:cs="Segoe UI"/>
          <w:color w:val="auto"/>
          <w:sz w:val="20"/>
        </w:rPr>
        <w:t xml:space="preserve">merchants between multiple payment networks according to price signals and product features.  </w:t>
      </w:r>
    </w:p>
    <w:p w14:paraId="1F24F27A" w14:textId="77777777" w:rsidR="00E051F5" w:rsidRDefault="00E051F5" w:rsidP="00E051F5">
      <w:pPr>
        <w:rPr>
          <w:rFonts w:ascii="Segoe UI" w:hAnsi="Segoe UI" w:cs="Segoe UI"/>
        </w:rPr>
      </w:pPr>
    </w:p>
    <w:p w14:paraId="6776FDC5" w14:textId="14D5C0EF" w:rsidR="00E051F5" w:rsidRDefault="00E051F5" w:rsidP="00E051F5">
      <w:pPr>
        <w:rPr>
          <w:rFonts w:ascii="Segoe UI" w:hAnsi="Segoe UI" w:cs="Segoe UI"/>
        </w:rPr>
      </w:pPr>
      <w:r>
        <w:rPr>
          <w:rFonts w:ascii="Segoe UI" w:hAnsi="Segoe UI" w:cs="Segoe UI"/>
          <w:sz w:val="20"/>
        </w:rPr>
        <w:t xml:space="preserve">Consumers use DNCs for both contact and contactless payments, however, consumers are not aware that </w:t>
      </w:r>
      <w:r w:rsidR="00B750AA">
        <w:rPr>
          <w:rFonts w:ascii="Segoe UI" w:hAnsi="Segoe UI" w:cs="Segoe UI"/>
          <w:sz w:val="20"/>
        </w:rPr>
        <w:t xml:space="preserve">POS terminals deny </w:t>
      </w:r>
      <w:r>
        <w:rPr>
          <w:rFonts w:ascii="Segoe UI" w:hAnsi="Segoe UI" w:cs="Segoe UI"/>
          <w:sz w:val="20"/>
        </w:rPr>
        <w:t>choice of payment network for contactless transactions on DNCs, as POS terminals only read the first contactless application on the chip and automatically route the transaction according to this priority</w:t>
      </w:r>
      <w:r w:rsidR="0069408D">
        <w:rPr>
          <w:rFonts w:ascii="Segoe UI" w:hAnsi="Segoe UI" w:cs="Segoe UI"/>
          <w:sz w:val="20"/>
        </w:rPr>
        <w:t>,</w:t>
      </w:r>
      <w:r>
        <w:rPr>
          <w:rFonts w:ascii="Segoe UI" w:hAnsi="Segoe UI" w:cs="Segoe UI"/>
          <w:sz w:val="20"/>
        </w:rPr>
        <w:t xml:space="preserve"> </w:t>
      </w:r>
      <w:r w:rsidRPr="00237912">
        <w:rPr>
          <w:rFonts w:ascii="Segoe UI" w:hAnsi="Segoe UI" w:cs="Segoe UI"/>
          <w:sz w:val="20"/>
        </w:rPr>
        <w:t>which may be at a higher cost</w:t>
      </w:r>
      <w:r>
        <w:rPr>
          <w:rFonts w:ascii="Segoe UI" w:hAnsi="Segoe UI" w:cs="Segoe UI"/>
        </w:rPr>
        <w:t xml:space="preserve">. </w:t>
      </w:r>
      <w:r w:rsidR="00B750AA">
        <w:rPr>
          <w:rFonts w:ascii="Segoe UI" w:hAnsi="Segoe UI" w:cs="Segoe UI"/>
        </w:rPr>
        <w:t>No second network is displayed.</w:t>
      </w:r>
    </w:p>
    <w:p w14:paraId="5AF26B65" w14:textId="77777777" w:rsidR="00E051F5" w:rsidRDefault="00E051F5" w:rsidP="00E051F5">
      <w:pPr>
        <w:rPr>
          <w:rFonts w:ascii="Segoe UI" w:hAnsi="Segoe UI" w:cs="Segoe UI"/>
        </w:rPr>
      </w:pPr>
    </w:p>
    <w:p w14:paraId="732E41D3" w14:textId="6DC5A1C5" w:rsidR="00CB0F77" w:rsidRDefault="001B4CF3" w:rsidP="00E051F5">
      <w:pPr>
        <w:rPr>
          <w:rFonts w:ascii="Segoe UI" w:hAnsi="Segoe UI" w:cs="Segoe UI"/>
          <w:sz w:val="20"/>
        </w:rPr>
      </w:pPr>
      <w:r>
        <w:rPr>
          <w:rFonts w:ascii="Segoe UI" w:hAnsi="Segoe UI" w:cs="Segoe UI"/>
          <w:sz w:val="20"/>
          <w:szCs w:val="20"/>
        </w:rPr>
        <w:t xml:space="preserve">Presently, merchants have the right and ability to choose from the range of contact and contactless applications that reside on </w:t>
      </w:r>
      <w:r w:rsidR="003964BE">
        <w:rPr>
          <w:rFonts w:ascii="Segoe UI" w:hAnsi="Segoe UI" w:cs="Segoe UI"/>
          <w:sz w:val="20"/>
          <w:szCs w:val="20"/>
        </w:rPr>
        <w:t xml:space="preserve">any one </w:t>
      </w:r>
      <w:r w:rsidR="008D1AFF">
        <w:rPr>
          <w:rFonts w:ascii="Segoe UI" w:hAnsi="Segoe UI" w:cs="Segoe UI"/>
          <w:sz w:val="20"/>
          <w:szCs w:val="20"/>
        </w:rPr>
        <w:t>card</w:t>
      </w:r>
      <w:r>
        <w:rPr>
          <w:rFonts w:ascii="Segoe UI" w:hAnsi="Segoe UI" w:cs="Segoe UI"/>
          <w:sz w:val="20"/>
          <w:szCs w:val="20"/>
        </w:rPr>
        <w:t xml:space="preserve">. </w:t>
      </w:r>
      <w:r w:rsidR="00755A52">
        <w:rPr>
          <w:rFonts w:ascii="Segoe UI" w:hAnsi="Segoe UI" w:cs="Segoe UI"/>
          <w:sz w:val="20"/>
          <w:szCs w:val="20"/>
        </w:rPr>
        <w:t>M</w:t>
      </w:r>
      <w:r w:rsidR="00755A52" w:rsidRPr="00237912">
        <w:rPr>
          <w:rFonts w:ascii="Segoe UI" w:hAnsi="Segoe UI" w:cs="Segoe UI"/>
          <w:sz w:val="20"/>
          <w:szCs w:val="20"/>
        </w:rPr>
        <w:t>obile payments</w:t>
      </w:r>
      <w:r w:rsidR="00755A52">
        <w:rPr>
          <w:rFonts w:ascii="Segoe UI" w:hAnsi="Segoe UI" w:cs="Segoe UI"/>
          <w:sz w:val="20"/>
          <w:szCs w:val="20"/>
        </w:rPr>
        <w:t xml:space="preserve"> will significantly impact the ability of </w:t>
      </w:r>
      <w:r w:rsidR="00755A52" w:rsidRPr="00237912">
        <w:rPr>
          <w:rFonts w:ascii="Segoe UI" w:hAnsi="Segoe UI" w:cs="Segoe UI"/>
          <w:sz w:val="20"/>
          <w:szCs w:val="20"/>
        </w:rPr>
        <w:t>merchants to choose the payment network that best suits their needs</w:t>
      </w:r>
      <w:r w:rsidR="00755A52">
        <w:rPr>
          <w:rStyle w:val="FootnoteReference"/>
          <w:rFonts w:ascii="Segoe UI" w:hAnsi="Segoe UI" w:cs="Segoe UI"/>
          <w:sz w:val="20"/>
          <w:szCs w:val="20"/>
        </w:rPr>
        <w:footnoteReference w:id="1"/>
      </w:r>
      <w:r w:rsidR="00755A52">
        <w:rPr>
          <w:rFonts w:ascii="Segoe UI" w:hAnsi="Segoe UI" w:cs="Segoe UI"/>
          <w:sz w:val="20"/>
          <w:szCs w:val="20"/>
        </w:rPr>
        <w:t xml:space="preserve"> from those available on a card</w:t>
      </w:r>
      <w:r w:rsidR="00755A52" w:rsidRPr="00F75481">
        <w:rPr>
          <w:rFonts w:ascii="Segoe UI" w:hAnsi="Segoe UI" w:cs="Segoe UI"/>
          <w:sz w:val="20"/>
          <w:szCs w:val="20"/>
        </w:rPr>
        <w:t>.</w:t>
      </w:r>
      <w:r w:rsidR="00755A52" w:rsidRPr="00237912">
        <w:rPr>
          <w:rFonts w:ascii="Segoe UI" w:hAnsi="Segoe UI" w:cs="Segoe UI"/>
          <w:sz w:val="20"/>
          <w:szCs w:val="20"/>
        </w:rPr>
        <w:t xml:space="preserve"> </w:t>
      </w:r>
      <w:r w:rsidR="007F5807">
        <w:rPr>
          <w:rFonts w:ascii="Segoe UI" w:hAnsi="Segoe UI" w:cs="Segoe UI"/>
          <w:sz w:val="20"/>
          <w:szCs w:val="20"/>
        </w:rPr>
        <w:t xml:space="preserve"> </w:t>
      </w:r>
      <w:r>
        <w:rPr>
          <w:rFonts w:ascii="Segoe UI" w:hAnsi="Segoe UI" w:cs="Segoe UI"/>
          <w:sz w:val="20"/>
          <w:szCs w:val="20"/>
        </w:rPr>
        <w:t xml:space="preserve">In mobile </w:t>
      </w:r>
      <w:r w:rsidR="002345C9">
        <w:rPr>
          <w:rFonts w:ascii="Segoe UI" w:hAnsi="Segoe UI" w:cs="Segoe UI"/>
          <w:sz w:val="20"/>
          <w:szCs w:val="20"/>
        </w:rPr>
        <w:t>payments</w:t>
      </w:r>
      <w:r>
        <w:rPr>
          <w:rFonts w:ascii="Segoe UI" w:hAnsi="Segoe UI" w:cs="Segoe UI"/>
          <w:sz w:val="20"/>
          <w:szCs w:val="20"/>
        </w:rPr>
        <w:t>, only one scheme application will be observable to the merchant/acquirer</w:t>
      </w:r>
      <w:r w:rsidR="00AA4F34">
        <w:rPr>
          <w:rFonts w:ascii="Segoe UI" w:hAnsi="Segoe UI" w:cs="Segoe UI"/>
          <w:sz w:val="20"/>
          <w:szCs w:val="20"/>
        </w:rPr>
        <w:t>,</w:t>
      </w:r>
      <w:r>
        <w:rPr>
          <w:rFonts w:ascii="Segoe UI" w:hAnsi="Segoe UI" w:cs="Segoe UI"/>
          <w:sz w:val="20"/>
          <w:szCs w:val="20"/>
        </w:rPr>
        <w:t xml:space="preserve"> eliminating any existing network choice that they may have</w:t>
      </w:r>
      <w:r w:rsidR="003C0E6E">
        <w:rPr>
          <w:rFonts w:ascii="Segoe UI" w:hAnsi="Segoe UI" w:cs="Segoe UI"/>
          <w:sz w:val="20"/>
          <w:szCs w:val="20"/>
        </w:rPr>
        <w:t xml:space="preserve"> from a card</w:t>
      </w:r>
      <w:r>
        <w:rPr>
          <w:rFonts w:ascii="Segoe UI" w:hAnsi="Segoe UI" w:cs="Segoe UI"/>
          <w:sz w:val="20"/>
          <w:szCs w:val="20"/>
        </w:rPr>
        <w:t xml:space="preserve">. </w:t>
      </w:r>
      <w:r w:rsidR="000E652E">
        <w:rPr>
          <w:rFonts w:ascii="Segoe UI" w:hAnsi="Segoe UI" w:cs="Segoe UI"/>
          <w:sz w:val="20"/>
          <w:szCs w:val="20"/>
        </w:rPr>
        <w:t xml:space="preserve"> </w:t>
      </w:r>
      <w:r w:rsidR="009259D4" w:rsidRPr="00237912">
        <w:rPr>
          <w:rFonts w:ascii="Segoe UI" w:hAnsi="Segoe UI" w:cs="Segoe UI"/>
          <w:sz w:val="20"/>
          <w:szCs w:val="20"/>
        </w:rPr>
        <w:t>In the absence of effective merchant choice, it is critical that merchants are provided with the capability to set different prices based on the underlying cost of the payment scheme presented by the consumer.</w:t>
      </w:r>
      <w:r w:rsidR="00E051F5" w:rsidRPr="003F10AD">
        <w:rPr>
          <w:rFonts w:ascii="Segoe UI" w:hAnsi="Segoe UI" w:cs="Segoe UI"/>
          <w:sz w:val="20"/>
          <w:szCs w:val="20"/>
          <w:lang w:val="en-AU"/>
        </w:rPr>
        <w:br/>
      </w:r>
    </w:p>
    <w:p w14:paraId="558F5978" w14:textId="51DBE40C" w:rsidR="00E051F5" w:rsidRPr="00F2124C" w:rsidRDefault="002345C9" w:rsidP="005C1E79">
      <w:pPr>
        <w:widowControl w:val="0"/>
        <w:rPr>
          <w:rFonts w:ascii="Segoe UI" w:hAnsi="Segoe UI" w:cs="Segoe UI"/>
          <w:sz w:val="20"/>
        </w:rPr>
      </w:pPr>
      <w:r>
        <w:rPr>
          <w:rFonts w:ascii="Segoe UI" w:hAnsi="Segoe UI" w:cs="Segoe UI"/>
          <w:sz w:val="20"/>
        </w:rPr>
        <w:t xml:space="preserve">Additionally, </w:t>
      </w:r>
      <w:r w:rsidR="007F5807">
        <w:rPr>
          <w:rFonts w:ascii="Segoe UI" w:hAnsi="Segoe UI" w:cs="Segoe UI"/>
          <w:sz w:val="20"/>
        </w:rPr>
        <w:t>c</w:t>
      </w:r>
      <w:r w:rsidR="007F5807" w:rsidRPr="00392352">
        <w:rPr>
          <w:rFonts w:ascii="Segoe UI" w:hAnsi="Segoe UI" w:cs="Segoe UI"/>
          <w:sz w:val="20"/>
        </w:rPr>
        <w:t xml:space="preserve">onsumer </w:t>
      </w:r>
      <w:r w:rsidR="00E051F5" w:rsidRPr="00392352">
        <w:rPr>
          <w:rFonts w:ascii="Segoe UI" w:hAnsi="Segoe UI" w:cs="Segoe UI"/>
          <w:sz w:val="20"/>
        </w:rPr>
        <w:t xml:space="preserve">research indicates that consumers expect eftpos as an available choice in mobile payments. All payment networks are on record supporting </w:t>
      </w:r>
      <w:r w:rsidR="00550737" w:rsidRPr="00392352">
        <w:rPr>
          <w:rFonts w:ascii="Segoe UI" w:hAnsi="Segoe UI" w:cs="Segoe UI"/>
          <w:sz w:val="20"/>
        </w:rPr>
        <w:t xml:space="preserve">competitive neutrality and </w:t>
      </w:r>
      <w:r w:rsidR="00E051F5" w:rsidRPr="00B03E81">
        <w:rPr>
          <w:rFonts w:ascii="Segoe UI" w:hAnsi="Segoe UI" w:cs="Segoe UI"/>
          <w:sz w:val="20"/>
        </w:rPr>
        <w:t xml:space="preserve">consumer choice </w:t>
      </w:r>
      <w:r w:rsidR="00E051F5" w:rsidRPr="00B03E81">
        <w:rPr>
          <w:rFonts w:ascii="Segoe UI" w:hAnsi="Segoe UI" w:cs="Segoe UI"/>
          <w:sz w:val="20"/>
        </w:rPr>
        <w:lastRenderedPageBreak/>
        <w:t>across all devices</w:t>
      </w:r>
      <w:r w:rsidR="00E051F5">
        <w:rPr>
          <w:rFonts w:ascii="Segoe UI" w:hAnsi="Segoe UI" w:cs="Segoe UI"/>
          <w:sz w:val="20"/>
        </w:rPr>
        <w:t xml:space="preserve"> and form factors</w:t>
      </w:r>
      <w:r w:rsidR="00E051F5">
        <w:rPr>
          <w:rStyle w:val="FootnoteReference"/>
          <w:rFonts w:ascii="Segoe UI" w:hAnsi="Segoe UI" w:cs="Segoe UI"/>
        </w:rPr>
        <w:footnoteReference w:id="2"/>
      </w:r>
      <w:r w:rsidR="00E051F5" w:rsidRPr="001D5202">
        <w:rPr>
          <w:rFonts w:ascii="Segoe UI" w:hAnsi="Segoe UI" w:cs="Segoe UI"/>
          <w:sz w:val="20"/>
        </w:rPr>
        <w:t>.</w:t>
      </w:r>
    </w:p>
    <w:p w14:paraId="77683452" w14:textId="77777777" w:rsidR="00E051F5" w:rsidRDefault="00E051F5" w:rsidP="00E051F5">
      <w:pPr>
        <w:rPr>
          <w:rFonts w:ascii="Segoe UI" w:hAnsi="Segoe UI" w:cs="Segoe UI"/>
          <w:sz w:val="20"/>
        </w:rPr>
      </w:pPr>
    </w:p>
    <w:p w14:paraId="73AC24EC" w14:textId="56D6733F" w:rsidR="00E051F5" w:rsidRPr="003F10AD" w:rsidRDefault="00E051F5" w:rsidP="00E051F5">
      <w:pPr>
        <w:rPr>
          <w:rFonts w:ascii="Segoe UI" w:hAnsi="Segoe UI" w:cs="Segoe UI"/>
          <w:sz w:val="20"/>
          <w:szCs w:val="20"/>
        </w:rPr>
      </w:pPr>
      <w:r w:rsidRPr="003F10AD">
        <w:rPr>
          <w:rFonts w:ascii="Segoe UI" w:hAnsi="Segoe UI" w:cs="Segoe UI"/>
          <w:sz w:val="20"/>
          <w:szCs w:val="20"/>
          <w:lang w:val="en-AU"/>
        </w:rPr>
        <w:t xml:space="preserve">Without open competition in consumer payments and a viable domestic payment network freely able to compete with its contactless and mobile products, interchange rates, merchant fees and consumer costs </w:t>
      </w:r>
      <w:r w:rsidR="003E7883">
        <w:rPr>
          <w:rFonts w:ascii="Segoe UI" w:hAnsi="Segoe UI" w:cs="Segoe UI"/>
          <w:sz w:val="20"/>
          <w:szCs w:val="20"/>
          <w:lang w:val="en-AU"/>
        </w:rPr>
        <w:t>may</w:t>
      </w:r>
      <w:r w:rsidRPr="003F10AD">
        <w:rPr>
          <w:rFonts w:ascii="Segoe UI" w:hAnsi="Segoe UI" w:cs="Segoe UI"/>
          <w:sz w:val="20"/>
          <w:szCs w:val="20"/>
          <w:lang w:val="en-AU"/>
        </w:rPr>
        <w:t xml:space="preserve"> rise.</w:t>
      </w:r>
      <w:r w:rsidR="00C14299">
        <w:rPr>
          <w:rStyle w:val="FootnoteReference"/>
          <w:rFonts w:ascii="Segoe UI" w:hAnsi="Segoe UI" w:cs="Segoe UI"/>
          <w:sz w:val="20"/>
          <w:szCs w:val="20"/>
          <w:lang w:val="en-AU"/>
        </w:rPr>
        <w:footnoteReference w:id="3"/>
      </w:r>
    </w:p>
    <w:p w14:paraId="2E116ABF" w14:textId="77777777" w:rsidR="00E051F5" w:rsidRDefault="00E051F5" w:rsidP="00E051F5">
      <w:pPr>
        <w:rPr>
          <w:rFonts w:ascii="Segoe UI" w:hAnsi="Segoe UI" w:cs="Segoe UI"/>
        </w:rPr>
      </w:pPr>
    </w:p>
    <w:p w14:paraId="6D38E259" w14:textId="0BB0E009" w:rsidR="00E051F5" w:rsidRPr="003F10AD" w:rsidRDefault="00E051F5" w:rsidP="00E051F5">
      <w:pPr>
        <w:pStyle w:val="ListParagraph"/>
        <w:numPr>
          <w:ilvl w:val="0"/>
          <w:numId w:val="32"/>
        </w:numPr>
        <w:rPr>
          <w:rFonts w:ascii="Segoe UI" w:hAnsi="Segoe UI" w:cs="Segoe UI"/>
          <w:b/>
        </w:rPr>
      </w:pPr>
      <w:r>
        <w:rPr>
          <w:rFonts w:ascii="Segoe UI" w:hAnsi="Segoe UI" w:cs="Segoe UI"/>
          <w:b/>
        </w:rPr>
        <w:t>Actual and p</w:t>
      </w:r>
      <w:r w:rsidRPr="003F10AD">
        <w:rPr>
          <w:rFonts w:ascii="Segoe UI" w:hAnsi="Segoe UI" w:cs="Segoe UI"/>
          <w:b/>
        </w:rPr>
        <w:t>lanned card scheme restrictions on mobile wallet provisioning of competing networks on DNCs</w:t>
      </w:r>
    </w:p>
    <w:p w14:paraId="3A505CAE" w14:textId="745CF7DA" w:rsidR="00E051F5" w:rsidRDefault="00E051F5" w:rsidP="00E051F5">
      <w:pPr>
        <w:rPr>
          <w:rFonts w:ascii="Segoe UI" w:hAnsi="Segoe UI" w:cs="Segoe UI"/>
          <w:sz w:val="20"/>
        </w:rPr>
      </w:pPr>
      <w:r>
        <w:rPr>
          <w:rFonts w:ascii="Segoe UI" w:hAnsi="Segoe UI" w:cs="Segoe UI"/>
          <w:sz w:val="20"/>
        </w:rPr>
        <w:t>Mobile payments rely on tokens to replace card numbers when cards are provisioned into the Mobile Wallet.</w:t>
      </w:r>
      <w:r w:rsidR="000136B3">
        <w:rPr>
          <w:rFonts w:ascii="Segoe UI" w:hAnsi="Segoe UI" w:cs="Segoe UI"/>
          <w:sz w:val="20"/>
        </w:rPr>
        <w:t xml:space="preserve"> </w:t>
      </w:r>
      <w:r w:rsidR="00ED421C">
        <w:rPr>
          <w:rFonts w:ascii="Segoe UI" w:hAnsi="Segoe UI" w:cs="Segoe UI"/>
          <w:sz w:val="20"/>
        </w:rPr>
        <w:t xml:space="preserve"> </w:t>
      </w:r>
      <w:r w:rsidR="00ED421C">
        <w:rPr>
          <w:rFonts w:ascii="Segoe UI" w:hAnsi="Segoe UI" w:cs="Segoe UI"/>
          <w:sz w:val="20"/>
          <w:szCs w:val="20"/>
        </w:rPr>
        <w:t>O</w:t>
      </w:r>
      <w:r w:rsidR="000136B3" w:rsidRPr="00960DCF">
        <w:rPr>
          <w:rFonts w:ascii="Segoe UI" w:hAnsi="Segoe UI" w:cs="Segoe UI"/>
          <w:sz w:val="20"/>
          <w:szCs w:val="20"/>
        </w:rPr>
        <w:t>ur concern that mobile payments will eliminate the ability of merchants to choose the network that best suits their needs</w:t>
      </w:r>
      <w:r w:rsidR="00ED421C">
        <w:rPr>
          <w:rFonts w:ascii="Segoe UI" w:hAnsi="Segoe UI" w:cs="Segoe UI"/>
          <w:sz w:val="20"/>
          <w:szCs w:val="20"/>
        </w:rPr>
        <w:t xml:space="preserve"> also applies to </w:t>
      </w:r>
      <w:r w:rsidR="000136B3" w:rsidRPr="00960DCF">
        <w:rPr>
          <w:rFonts w:ascii="Segoe UI" w:hAnsi="Segoe UI" w:cs="Segoe UI"/>
          <w:sz w:val="20"/>
          <w:szCs w:val="20"/>
        </w:rPr>
        <w:t xml:space="preserve">consumer choice. While it may be possible for a multinetwork debit card user to replicate their portfolio of payment and network instruments in a mobile wallet through multiple provisioning exercises, we are concerned that unless multinetwork provisioning is </w:t>
      </w:r>
      <w:r w:rsidR="00F53832">
        <w:rPr>
          <w:rFonts w:ascii="Segoe UI" w:hAnsi="Segoe UI" w:cs="Segoe UI"/>
          <w:sz w:val="20"/>
          <w:szCs w:val="20"/>
        </w:rPr>
        <w:t xml:space="preserve">unrestricted, </w:t>
      </w:r>
      <w:r w:rsidR="000136B3" w:rsidRPr="00960DCF">
        <w:rPr>
          <w:rFonts w:ascii="Segoe UI" w:hAnsi="Segoe UI" w:cs="Segoe UI"/>
          <w:sz w:val="20"/>
          <w:szCs w:val="20"/>
        </w:rPr>
        <w:t>made simple to understand, unbiased and easy for the consumer to execute, the</w:t>
      </w:r>
      <w:r w:rsidR="000136B3">
        <w:rPr>
          <w:rFonts w:ascii="Segoe UI" w:hAnsi="Segoe UI" w:cs="Segoe UI"/>
          <w:sz w:val="20"/>
          <w:szCs w:val="20"/>
        </w:rPr>
        <w:t xml:space="preserve"> only</w:t>
      </w:r>
      <w:r w:rsidR="000136B3" w:rsidRPr="00960DCF">
        <w:rPr>
          <w:rFonts w:ascii="Segoe UI" w:hAnsi="Segoe UI" w:cs="Segoe UI"/>
          <w:sz w:val="20"/>
          <w:szCs w:val="20"/>
        </w:rPr>
        <w:t xml:space="preserve"> networks represented within consumer wallets will be the more expensive networks</w:t>
      </w:r>
      <w:r w:rsidR="002D542C" w:rsidRPr="002D542C">
        <w:t xml:space="preserve"> </w:t>
      </w:r>
      <w:r w:rsidR="002D542C" w:rsidRPr="000F2FA4">
        <w:rPr>
          <w:rFonts w:ascii="Segoe UI" w:hAnsi="Segoe UI" w:cs="Segoe UI"/>
          <w:sz w:val="20"/>
          <w:szCs w:val="20"/>
        </w:rPr>
        <w:t>available on the card</w:t>
      </w:r>
      <w:r w:rsidR="000136B3" w:rsidRPr="00960DCF">
        <w:rPr>
          <w:rFonts w:ascii="Segoe UI" w:hAnsi="Segoe UI" w:cs="Segoe UI"/>
          <w:sz w:val="20"/>
          <w:szCs w:val="20"/>
        </w:rPr>
        <w:t>.</w:t>
      </w:r>
    </w:p>
    <w:p w14:paraId="38004BDD" w14:textId="77777777" w:rsidR="00E051F5" w:rsidRDefault="00E051F5" w:rsidP="00E051F5">
      <w:pPr>
        <w:rPr>
          <w:rFonts w:ascii="Segoe UI" w:hAnsi="Segoe UI" w:cs="Segoe UI"/>
          <w:sz w:val="20"/>
        </w:rPr>
      </w:pPr>
    </w:p>
    <w:p w14:paraId="7E6B3027" w14:textId="7C102833" w:rsidR="00E051F5" w:rsidRDefault="005A2EDE" w:rsidP="00E051F5">
      <w:pPr>
        <w:rPr>
          <w:rFonts w:ascii="Segoe UI" w:hAnsi="Segoe UI" w:cs="Segoe UI"/>
          <w:sz w:val="20"/>
        </w:rPr>
      </w:pPr>
      <w:r>
        <w:rPr>
          <w:rFonts w:ascii="Segoe UI" w:hAnsi="Segoe UI" w:cs="Segoe UI"/>
          <w:sz w:val="20"/>
        </w:rPr>
        <w:t>O</w:t>
      </w:r>
      <w:r w:rsidR="00E051F5">
        <w:rPr>
          <w:rFonts w:ascii="Segoe UI" w:hAnsi="Segoe UI" w:cs="Segoe UI"/>
          <w:sz w:val="20"/>
        </w:rPr>
        <w:t xml:space="preserve">ne international payment system has a rule that </w:t>
      </w:r>
      <w:r w:rsidR="00304D3B">
        <w:rPr>
          <w:rFonts w:ascii="Segoe UI" w:hAnsi="Segoe UI" w:cs="Segoe UI"/>
          <w:sz w:val="20"/>
        </w:rPr>
        <w:t>prohibits</w:t>
      </w:r>
      <w:r w:rsidR="00304D3B" w:rsidRPr="00324E2E">
        <w:rPr>
          <w:rFonts w:ascii="Segoe UI" w:hAnsi="Segoe UI" w:cs="Segoe UI"/>
          <w:sz w:val="20"/>
        </w:rPr>
        <w:t xml:space="preserve"> </w:t>
      </w:r>
      <w:r w:rsidR="00E051F5" w:rsidRPr="00324E2E">
        <w:rPr>
          <w:rFonts w:ascii="Segoe UI" w:hAnsi="Segoe UI" w:cs="Segoe UI"/>
          <w:sz w:val="20"/>
        </w:rPr>
        <w:t>I</w:t>
      </w:r>
      <w:r w:rsidR="00E051F5">
        <w:rPr>
          <w:rFonts w:ascii="Segoe UI" w:hAnsi="Segoe UI" w:cs="Segoe UI"/>
          <w:sz w:val="20"/>
        </w:rPr>
        <w:t>ssuers from generating a token from</w:t>
      </w:r>
      <w:r w:rsidR="00E051F5" w:rsidRPr="00324E2E">
        <w:rPr>
          <w:rFonts w:ascii="Segoe UI" w:hAnsi="Segoe UI" w:cs="Segoe UI"/>
          <w:sz w:val="20"/>
        </w:rPr>
        <w:t xml:space="preserve"> a competitive payment </w:t>
      </w:r>
      <w:r w:rsidR="00F17EF7">
        <w:rPr>
          <w:rFonts w:ascii="Segoe UI" w:hAnsi="Segoe UI" w:cs="Segoe UI"/>
          <w:sz w:val="20"/>
        </w:rPr>
        <w:t>network</w:t>
      </w:r>
      <w:r w:rsidR="00F17EF7" w:rsidRPr="00324E2E">
        <w:rPr>
          <w:rFonts w:ascii="Segoe UI" w:hAnsi="Segoe UI" w:cs="Segoe UI"/>
          <w:sz w:val="20"/>
        </w:rPr>
        <w:t xml:space="preserve"> </w:t>
      </w:r>
      <w:r w:rsidR="00E051F5">
        <w:rPr>
          <w:rFonts w:ascii="Segoe UI" w:hAnsi="Segoe UI" w:cs="Segoe UI"/>
          <w:sz w:val="20"/>
        </w:rPr>
        <w:t xml:space="preserve">on cards having a BIN allocated by that </w:t>
      </w:r>
      <w:r w:rsidR="00F17EF7">
        <w:rPr>
          <w:rFonts w:ascii="Segoe UI" w:hAnsi="Segoe UI" w:cs="Segoe UI"/>
          <w:sz w:val="20"/>
        </w:rPr>
        <w:t xml:space="preserve">international </w:t>
      </w:r>
      <w:r w:rsidR="00E051F5">
        <w:rPr>
          <w:rFonts w:ascii="Segoe UI" w:hAnsi="Segoe UI" w:cs="Segoe UI"/>
          <w:sz w:val="20"/>
        </w:rPr>
        <w:t>payment system</w:t>
      </w:r>
      <w:r w:rsidR="00A105F6">
        <w:rPr>
          <w:rStyle w:val="FootnoteReference"/>
          <w:rFonts w:ascii="Segoe UI" w:hAnsi="Segoe UI" w:cs="Segoe UI"/>
          <w:sz w:val="20"/>
        </w:rPr>
        <w:footnoteReference w:id="4"/>
      </w:r>
      <w:r w:rsidR="00E051F5">
        <w:rPr>
          <w:rFonts w:ascii="Segoe UI" w:hAnsi="Segoe UI" w:cs="Segoe UI"/>
          <w:sz w:val="20"/>
        </w:rPr>
        <w:t>, and contractual restraints that either prohibit or impose additional costs to Issuers if they elect to tokeni</w:t>
      </w:r>
      <w:r w:rsidR="00BA3405">
        <w:rPr>
          <w:rFonts w:ascii="Segoe UI" w:hAnsi="Segoe UI" w:cs="Segoe UI"/>
          <w:sz w:val="20"/>
        </w:rPr>
        <w:t>s</w:t>
      </w:r>
      <w:r w:rsidR="00E051F5">
        <w:rPr>
          <w:rFonts w:ascii="Segoe UI" w:hAnsi="Segoe UI" w:cs="Segoe UI"/>
          <w:sz w:val="20"/>
        </w:rPr>
        <w:t xml:space="preserve">e </w:t>
      </w:r>
      <w:r w:rsidR="00304D3B">
        <w:rPr>
          <w:rFonts w:ascii="Segoe UI" w:hAnsi="Segoe UI" w:cs="Segoe UI"/>
          <w:sz w:val="20"/>
        </w:rPr>
        <w:t xml:space="preserve">a </w:t>
      </w:r>
      <w:r w:rsidR="00E051F5">
        <w:rPr>
          <w:rFonts w:ascii="Segoe UI" w:hAnsi="Segoe UI" w:cs="Segoe UI"/>
          <w:sz w:val="20"/>
        </w:rPr>
        <w:t xml:space="preserve">competing payment network on </w:t>
      </w:r>
      <w:r w:rsidR="0079618F">
        <w:rPr>
          <w:rFonts w:ascii="Segoe UI" w:hAnsi="Segoe UI" w:cs="Segoe UI"/>
          <w:sz w:val="20"/>
        </w:rPr>
        <w:t>those cards</w:t>
      </w:r>
      <w:r w:rsidR="00E051F5">
        <w:rPr>
          <w:rFonts w:ascii="Segoe UI" w:hAnsi="Segoe UI" w:cs="Segoe UI"/>
          <w:sz w:val="20"/>
        </w:rPr>
        <w:t>.  These provisions apply even if another payment system is currently available on physical cards issued under those BINs in a market.</w:t>
      </w:r>
      <w:r w:rsidR="0079618F">
        <w:rPr>
          <w:rFonts w:ascii="Segoe UI" w:hAnsi="Segoe UI" w:cs="Segoe UI"/>
          <w:sz w:val="20"/>
        </w:rPr>
        <w:t xml:space="preserve">  </w:t>
      </w:r>
    </w:p>
    <w:p w14:paraId="71234452" w14:textId="77777777" w:rsidR="00E051F5" w:rsidRDefault="00E051F5" w:rsidP="00E051F5">
      <w:pPr>
        <w:rPr>
          <w:rFonts w:ascii="Segoe UI" w:hAnsi="Segoe UI" w:cs="Segoe UI"/>
          <w:sz w:val="20"/>
        </w:rPr>
      </w:pPr>
    </w:p>
    <w:p w14:paraId="7100FD3D" w14:textId="420F0C58" w:rsidR="00E051F5" w:rsidRPr="003F10AD" w:rsidRDefault="00E051F5" w:rsidP="00E051F5">
      <w:pPr>
        <w:rPr>
          <w:rFonts w:ascii="Segoe UI" w:hAnsi="Segoe UI" w:cs="Segoe UI"/>
        </w:rPr>
      </w:pPr>
      <w:r w:rsidRPr="003F10AD">
        <w:rPr>
          <w:rFonts w:ascii="Segoe UI" w:hAnsi="Segoe UI" w:cs="Segoe UI"/>
          <w:sz w:val="20"/>
          <w:szCs w:val="20"/>
        </w:rPr>
        <w:t xml:space="preserve">These payment network rules and contract obligations </w:t>
      </w:r>
      <w:r w:rsidRPr="003F10AD">
        <w:rPr>
          <w:rFonts w:ascii="Segoe UI" w:hAnsi="Segoe UI" w:cs="Segoe UI"/>
          <w:sz w:val="20"/>
          <w:szCs w:val="20"/>
          <w:lang w:val="en-AU"/>
        </w:rPr>
        <w:t>prevent or delay Issuer implementation of competing payment networks</w:t>
      </w:r>
      <w:r>
        <w:rPr>
          <w:rFonts w:ascii="Segoe UI" w:hAnsi="Segoe UI" w:cs="Segoe UI"/>
          <w:sz w:val="20"/>
          <w:szCs w:val="20"/>
          <w:lang w:val="en-AU"/>
        </w:rPr>
        <w:t xml:space="preserve"> within Mobile Wallet</w:t>
      </w:r>
      <w:r w:rsidR="00825E44">
        <w:rPr>
          <w:rFonts w:ascii="Segoe UI" w:hAnsi="Segoe UI" w:cs="Segoe UI"/>
          <w:sz w:val="20"/>
          <w:szCs w:val="20"/>
          <w:lang w:val="en-AU"/>
        </w:rPr>
        <w:t>,</w:t>
      </w:r>
      <w:r w:rsidRPr="001D5202">
        <w:rPr>
          <w:rFonts w:ascii="Segoe UI" w:hAnsi="Segoe UI" w:cs="Segoe UI"/>
          <w:sz w:val="20"/>
          <w:szCs w:val="20"/>
          <w:lang w:val="en-AU"/>
        </w:rPr>
        <w:t xml:space="preserve"> </w:t>
      </w:r>
      <w:r w:rsidRPr="003F10AD">
        <w:rPr>
          <w:rFonts w:ascii="Segoe UI" w:hAnsi="Segoe UI" w:cs="Segoe UI"/>
          <w:sz w:val="20"/>
          <w:szCs w:val="20"/>
          <w:lang w:val="en-AU"/>
        </w:rPr>
        <w:t xml:space="preserve">remove </w:t>
      </w:r>
      <w:r>
        <w:rPr>
          <w:rFonts w:ascii="Segoe UI" w:hAnsi="Segoe UI" w:cs="Segoe UI"/>
          <w:sz w:val="20"/>
          <w:szCs w:val="20"/>
          <w:lang w:val="en-AU"/>
        </w:rPr>
        <w:t xml:space="preserve">the </w:t>
      </w:r>
      <w:r w:rsidRPr="003F10AD">
        <w:rPr>
          <w:rFonts w:ascii="Segoe UI" w:hAnsi="Segoe UI" w:cs="Segoe UI"/>
          <w:sz w:val="20"/>
          <w:szCs w:val="20"/>
          <w:lang w:val="en-AU"/>
        </w:rPr>
        <w:t xml:space="preserve">existing choice </w:t>
      </w:r>
      <w:r>
        <w:rPr>
          <w:rFonts w:ascii="Segoe UI" w:hAnsi="Segoe UI" w:cs="Segoe UI"/>
          <w:sz w:val="20"/>
          <w:szCs w:val="20"/>
          <w:lang w:val="en-AU"/>
        </w:rPr>
        <w:t xml:space="preserve">available to consumers today and </w:t>
      </w:r>
      <w:r w:rsidR="001537CE">
        <w:rPr>
          <w:rFonts w:ascii="Segoe UI" w:hAnsi="Segoe UI" w:cs="Segoe UI"/>
          <w:sz w:val="20"/>
          <w:szCs w:val="20"/>
          <w:lang w:val="en-AU"/>
        </w:rPr>
        <w:t>add significant</w:t>
      </w:r>
      <w:r w:rsidRPr="003F10AD">
        <w:rPr>
          <w:rFonts w:ascii="Segoe UI" w:hAnsi="Segoe UI" w:cs="Segoe UI"/>
          <w:sz w:val="20"/>
          <w:szCs w:val="20"/>
          <w:lang w:val="en-AU"/>
        </w:rPr>
        <w:t xml:space="preserve"> costs of </w:t>
      </w:r>
      <w:r w:rsidR="001537CE">
        <w:rPr>
          <w:rFonts w:ascii="Segoe UI" w:hAnsi="Segoe UI" w:cs="Segoe UI"/>
          <w:sz w:val="20"/>
          <w:szCs w:val="20"/>
          <w:lang w:val="en-AU"/>
        </w:rPr>
        <w:t>the provisioning of</w:t>
      </w:r>
      <w:r w:rsidR="001537CE" w:rsidRPr="003F10AD">
        <w:rPr>
          <w:rFonts w:ascii="Segoe UI" w:hAnsi="Segoe UI" w:cs="Segoe UI"/>
          <w:sz w:val="20"/>
          <w:szCs w:val="20"/>
          <w:lang w:val="en-AU"/>
        </w:rPr>
        <w:t xml:space="preserve"> </w:t>
      </w:r>
      <w:r>
        <w:rPr>
          <w:rFonts w:ascii="Segoe UI" w:hAnsi="Segoe UI" w:cs="Segoe UI"/>
          <w:sz w:val="20"/>
          <w:szCs w:val="20"/>
          <w:lang w:val="en-AU"/>
        </w:rPr>
        <w:t>payment services to</w:t>
      </w:r>
      <w:r w:rsidRPr="003F10AD">
        <w:rPr>
          <w:rFonts w:ascii="Segoe UI" w:hAnsi="Segoe UI" w:cs="Segoe UI"/>
          <w:sz w:val="20"/>
          <w:szCs w:val="20"/>
          <w:lang w:val="en-AU"/>
        </w:rPr>
        <w:t xml:space="preserve"> consumers and merchants</w:t>
      </w:r>
      <w:r w:rsidRPr="001D5202">
        <w:rPr>
          <w:rFonts w:ascii="Segoe UI" w:hAnsi="Segoe UI" w:cs="Segoe UI"/>
          <w:sz w:val="20"/>
          <w:szCs w:val="20"/>
          <w:lang w:val="en-AU"/>
        </w:rPr>
        <w:t>.</w:t>
      </w:r>
      <w:r w:rsidR="00787043">
        <w:rPr>
          <w:rFonts w:ascii="Segoe UI" w:hAnsi="Segoe UI" w:cs="Segoe UI"/>
          <w:sz w:val="20"/>
          <w:szCs w:val="20"/>
          <w:lang w:val="en-AU"/>
        </w:rPr>
        <w:t xml:space="preserve">  </w:t>
      </w:r>
    </w:p>
    <w:p w14:paraId="4E000C50" w14:textId="77777777" w:rsidR="00E051F5" w:rsidRPr="003F10AD" w:rsidRDefault="00E051F5" w:rsidP="00E051F5">
      <w:pPr>
        <w:rPr>
          <w:rFonts w:ascii="Segoe UI" w:hAnsi="Segoe UI" w:cs="Segoe UI"/>
          <w:b/>
          <w:sz w:val="20"/>
        </w:rPr>
      </w:pPr>
    </w:p>
    <w:p w14:paraId="4B0326DF" w14:textId="05DDD409" w:rsidR="005E6632" w:rsidRPr="00392352" w:rsidRDefault="00E051F5" w:rsidP="005E6632">
      <w:pPr>
        <w:rPr>
          <w:rFonts w:ascii="Segoe UI" w:hAnsi="Segoe UI" w:cs="Segoe UI"/>
        </w:rPr>
      </w:pPr>
      <w:r w:rsidRPr="006438E9">
        <w:rPr>
          <w:rFonts w:ascii="Segoe UI" w:hAnsi="Segoe UI" w:cs="Segoe UI"/>
          <w:sz w:val="20"/>
        </w:rPr>
        <w:t xml:space="preserve">These rules and contract provisions cannot be justified. Having a separate token for each payment network associated with a card will not impact the </w:t>
      </w:r>
      <w:r>
        <w:rPr>
          <w:rFonts w:ascii="Segoe UI" w:hAnsi="Segoe UI" w:cs="Segoe UI"/>
          <w:sz w:val="20"/>
        </w:rPr>
        <w:t xml:space="preserve">security, </w:t>
      </w:r>
      <w:r w:rsidRPr="006438E9">
        <w:rPr>
          <w:rFonts w:ascii="Segoe UI" w:hAnsi="Segoe UI" w:cs="Segoe UI"/>
          <w:sz w:val="20"/>
        </w:rPr>
        <w:t>speed or efficiency of payments for either network</w:t>
      </w:r>
      <w:r w:rsidR="00BD6DC4">
        <w:rPr>
          <w:rFonts w:ascii="Segoe UI" w:hAnsi="Segoe UI" w:cs="Segoe UI"/>
          <w:sz w:val="20"/>
        </w:rPr>
        <w:t xml:space="preserve"> as can be seen by</w:t>
      </w:r>
      <w:r>
        <w:rPr>
          <w:rFonts w:ascii="Segoe UI" w:hAnsi="Segoe UI" w:cs="Segoe UI"/>
          <w:sz w:val="20"/>
        </w:rPr>
        <w:t xml:space="preserve"> </w:t>
      </w:r>
      <w:r w:rsidRPr="006438E9">
        <w:rPr>
          <w:rFonts w:ascii="Segoe UI" w:hAnsi="Segoe UI" w:cs="Segoe UI"/>
          <w:sz w:val="20"/>
        </w:rPr>
        <w:t>Visa and MasterCard announc</w:t>
      </w:r>
      <w:r w:rsidR="00C14299">
        <w:rPr>
          <w:rFonts w:ascii="Segoe UI" w:hAnsi="Segoe UI" w:cs="Segoe UI"/>
          <w:sz w:val="20"/>
        </w:rPr>
        <w:t>ing</w:t>
      </w:r>
      <w:r w:rsidRPr="006438E9">
        <w:rPr>
          <w:rFonts w:ascii="Segoe UI" w:hAnsi="Segoe UI" w:cs="Segoe UI"/>
          <w:sz w:val="20"/>
        </w:rPr>
        <w:t xml:space="preserve"> a co-operation agreement to allow each other’s tokens to be provisioned </w:t>
      </w:r>
      <w:r>
        <w:rPr>
          <w:rFonts w:ascii="Segoe UI" w:hAnsi="Segoe UI" w:cs="Segoe UI"/>
          <w:sz w:val="20"/>
        </w:rPr>
        <w:t xml:space="preserve">and shared </w:t>
      </w:r>
      <w:r w:rsidRPr="006438E9">
        <w:rPr>
          <w:rFonts w:ascii="Segoe UI" w:hAnsi="Segoe UI" w:cs="Segoe UI"/>
          <w:sz w:val="20"/>
        </w:rPr>
        <w:t>for online, in-app and in-store payments</w:t>
      </w:r>
      <w:r>
        <w:rPr>
          <w:rFonts w:ascii="Segoe UI" w:hAnsi="Segoe UI" w:cs="Segoe UI"/>
          <w:sz w:val="20"/>
        </w:rPr>
        <w:t xml:space="preserve">.  </w:t>
      </w:r>
      <w:r w:rsidRPr="006438E9">
        <w:rPr>
          <w:rFonts w:ascii="Segoe UI" w:hAnsi="Segoe UI" w:cs="Segoe UI"/>
          <w:sz w:val="20"/>
        </w:rPr>
        <w:t xml:space="preserve">This </w:t>
      </w:r>
      <w:r>
        <w:rPr>
          <w:rFonts w:ascii="Segoe UI" w:hAnsi="Segoe UI" w:cs="Segoe UI"/>
          <w:sz w:val="20"/>
        </w:rPr>
        <w:t xml:space="preserve">recent </w:t>
      </w:r>
      <w:r w:rsidRPr="006438E9">
        <w:rPr>
          <w:rFonts w:ascii="Segoe UI" w:hAnsi="Segoe UI" w:cs="Segoe UI"/>
          <w:sz w:val="20"/>
        </w:rPr>
        <w:t xml:space="preserve">agreement indicates that there is little commercial justification for a prohibition on tokens from </w:t>
      </w:r>
      <w:r>
        <w:rPr>
          <w:rFonts w:ascii="Segoe UI" w:hAnsi="Segoe UI" w:cs="Segoe UI"/>
          <w:sz w:val="20"/>
        </w:rPr>
        <w:t>competing</w:t>
      </w:r>
      <w:r w:rsidRPr="006438E9">
        <w:rPr>
          <w:rFonts w:ascii="Segoe UI" w:hAnsi="Segoe UI" w:cs="Segoe UI"/>
          <w:sz w:val="20"/>
        </w:rPr>
        <w:t xml:space="preserve"> </w:t>
      </w:r>
      <w:r>
        <w:rPr>
          <w:rFonts w:ascii="Segoe UI" w:hAnsi="Segoe UI" w:cs="Segoe UI"/>
          <w:sz w:val="20"/>
        </w:rPr>
        <w:t xml:space="preserve">domestic </w:t>
      </w:r>
      <w:r w:rsidRPr="00392352">
        <w:rPr>
          <w:rFonts w:ascii="Segoe UI" w:hAnsi="Segoe UI" w:cs="Segoe UI"/>
          <w:sz w:val="20"/>
        </w:rPr>
        <w:t>networks</w:t>
      </w:r>
      <w:r w:rsidRPr="00392352">
        <w:rPr>
          <w:rStyle w:val="FootnoteReference"/>
          <w:rFonts w:ascii="Segoe UI" w:hAnsi="Segoe UI" w:cs="Segoe UI"/>
        </w:rPr>
        <w:footnoteReference w:id="5"/>
      </w:r>
      <w:r w:rsidRPr="00392352">
        <w:rPr>
          <w:rFonts w:ascii="Segoe UI" w:hAnsi="Segoe UI" w:cs="Segoe UI"/>
          <w:sz w:val="20"/>
        </w:rPr>
        <w:t>.</w:t>
      </w:r>
      <w:r>
        <w:rPr>
          <w:rFonts w:ascii="Segoe UI" w:hAnsi="Segoe UI" w:cs="Segoe UI"/>
        </w:rPr>
        <w:t xml:space="preserve">  </w:t>
      </w:r>
    </w:p>
    <w:p w14:paraId="5F48C94B" w14:textId="77777777" w:rsidR="00E051F5" w:rsidRDefault="00E051F5" w:rsidP="00E051F5">
      <w:pPr>
        <w:rPr>
          <w:rFonts w:ascii="Segoe UI" w:hAnsi="Segoe UI" w:cs="Segoe UI"/>
        </w:rPr>
      </w:pPr>
    </w:p>
    <w:p w14:paraId="065F2D79" w14:textId="77777777" w:rsidR="00E051F5" w:rsidRPr="003F10AD" w:rsidRDefault="00E051F5" w:rsidP="00E051F5">
      <w:pPr>
        <w:pStyle w:val="ListParagraph"/>
        <w:numPr>
          <w:ilvl w:val="0"/>
          <w:numId w:val="32"/>
        </w:numPr>
        <w:rPr>
          <w:rFonts w:ascii="Segoe UI" w:hAnsi="Segoe UI" w:cs="Segoe UI"/>
          <w:b/>
        </w:rPr>
      </w:pPr>
      <w:r w:rsidRPr="003F10AD">
        <w:rPr>
          <w:rFonts w:ascii="Segoe UI" w:hAnsi="Segoe UI" w:cs="Segoe UI"/>
          <w:b/>
        </w:rPr>
        <w:t>Likely effect of actions above on competition and efficiency in the payments system and more broadly</w:t>
      </w:r>
    </w:p>
    <w:p w14:paraId="0C602BAA" w14:textId="53FADC0D" w:rsidR="00E051F5" w:rsidRPr="00ED376E" w:rsidRDefault="00E051F5" w:rsidP="00E051F5">
      <w:pPr>
        <w:rPr>
          <w:rFonts w:ascii="Segoe UI" w:hAnsi="Segoe UI" w:cs="Segoe UI"/>
          <w:lang w:val="en-AU"/>
        </w:rPr>
      </w:pPr>
      <w:r w:rsidRPr="003F10AD">
        <w:rPr>
          <w:rFonts w:ascii="Segoe UI" w:hAnsi="Segoe UI" w:cs="Segoe UI"/>
          <w:sz w:val="20"/>
          <w:szCs w:val="20"/>
        </w:rPr>
        <w:t xml:space="preserve">The </w:t>
      </w:r>
      <w:r>
        <w:rPr>
          <w:rFonts w:ascii="Segoe UI" w:hAnsi="Segoe UI" w:cs="Segoe UI"/>
          <w:sz w:val="20"/>
          <w:szCs w:val="20"/>
        </w:rPr>
        <w:t xml:space="preserve">restrictions </w:t>
      </w:r>
      <w:r w:rsidRPr="003F10AD">
        <w:rPr>
          <w:rFonts w:ascii="Segoe UI" w:hAnsi="Segoe UI" w:cs="Segoe UI"/>
          <w:sz w:val="20"/>
          <w:szCs w:val="20"/>
        </w:rPr>
        <w:t xml:space="preserve">outlined above convert a DNC to a Single Network Debit Cards within a Mobile Wallet by </w:t>
      </w:r>
      <w:r w:rsidRPr="003F10AD">
        <w:rPr>
          <w:rFonts w:ascii="Segoe UI" w:hAnsi="Segoe UI" w:cs="Segoe UI"/>
          <w:sz w:val="20"/>
          <w:szCs w:val="20"/>
          <w:lang w:val="en-AU"/>
        </w:rPr>
        <w:t>removing the ability for both consumers and merchants to select the best payment method for their needs, and also remove the option for consumers and merchants to manage the costs associated with different payment products and networks.</w:t>
      </w:r>
      <w:r>
        <w:rPr>
          <w:rStyle w:val="FootnoteReference"/>
          <w:rFonts w:ascii="Segoe UI" w:hAnsi="Segoe UI" w:cs="Segoe UI"/>
          <w:lang w:val="en-AU"/>
        </w:rPr>
        <w:footnoteReference w:id="6"/>
      </w:r>
      <w:r w:rsidR="00D432C9">
        <w:rPr>
          <w:rFonts w:ascii="Segoe UI" w:hAnsi="Segoe UI" w:cs="Segoe UI"/>
          <w:sz w:val="20"/>
          <w:szCs w:val="20"/>
          <w:lang w:val="en-AU"/>
        </w:rPr>
        <w:t xml:space="preserve"> </w:t>
      </w:r>
      <w:r w:rsidR="00D432C9">
        <w:rPr>
          <w:color w:val="000000"/>
        </w:rPr>
        <w:t>The broader consequences of removal of competition may impact pricing at both the wholesale and retail level for payments participants, as well as merchant and consumer goods and services.</w:t>
      </w:r>
    </w:p>
    <w:p w14:paraId="6077CEC8" w14:textId="77777777" w:rsidR="00E051F5" w:rsidRDefault="00E051F5" w:rsidP="00E051F5">
      <w:pPr>
        <w:rPr>
          <w:rFonts w:ascii="Segoe UI" w:hAnsi="Segoe UI" w:cs="Segoe UI"/>
        </w:rPr>
      </w:pPr>
    </w:p>
    <w:p w14:paraId="6F44A712" w14:textId="77777777" w:rsidR="00E051F5" w:rsidRPr="003F10AD" w:rsidRDefault="00E051F5" w:rsidP="00E051F5">
      <w:pPr>
        <w:pStyle w:val="ListParagraph"/>
        <w:numPr>
          <w:ilvl w:val="0"/>
          <w:numId w:val="32"/>
        </w:numPr>
        <w:rPr>
          <w:rFonts w:ascii="Segoe UI" w:hAnsi="Segoe UI" w:cs="Segoe UI"/>
          <w:b/>
        </w:rPr>
      </w:pPr>
      <w:r w:rsidRPr="003F10AD">
        <w:rPr>
          <w:rFonts w:ascii="Segoe UI" w:hAnsi="Segoe UI" w:cs="Segoe UI"/>
          <w:b/>
        </w:rPr>
        <w:t>Views on feasibility of different possible ways of provisioning DNCs</w:t>
      </w:r>
    </w:p>
    <w:p w14:paraId="37CA4444" w14:textId="2A53929A" w:rsidR="00E051F5" w:rsidRPr="00392352" w:rsidRDefault="00E051F5" w:rsidP="00E051F5">
      <w:pPr>
        <w:rPr>
          <w:rFonts w:ascii="Segoe UI" w:hAnsi="Segoe UI" w:cs="Segoe UI"/>
          <w:lang w:val="en-AU"/>
        </w:rPr>
      </w:pPr>
      <w:r w:rsidRPr="003F10AD">
        <w:rPr>
          <w:rFonts w:ascii="Segoe UI" w:hAnsi="Segoe UI" w:cs="Segoe UI"/>
          <w:sz w:val="20"/>
          <w:szCs w:val="20"/>
        </w:rPr>
        <w:t>There are several ways to provision DNCs into a Mobile Wallet, including Manual and In-App provisioning</w:t>
      </w:r>
      <w:r>
        <w:rPr>
          <w:rFonts w:ascii="Segoe UI" w:hAnsi="Segoe UI" w:cs="Segoe UI"/>
          <w:sz w:val="20"/>
          <w:szCs w:val="20"/>
        </w:rPr>
        <w:t xml:space="preserve"> from an Issuer’s Mobile Banking application</w:t>
      </w:r>
      <w:r w:rsidRPr="003F10AD">
        <w:rPr>
          <w:rFonts w:ascii="Segoe UI" w:hAnsi="Segoe UI" w:cs="Segoe UI"/>
          <w:sz w:val="20"/>
          <w:szCs w:val="20"/>
        </w:rPr>
        <w:t xml:space="preserve">.  In both cases, eftpos’ preference is for the </w:t>
      </w:r>
      <w:r w:rsidRPr="003F10AD">
        <w:rPr>
          <w:rFonts w:ascii="Segoe UI" w:hAnsi="Segoe UI" w:cs="Segoe UI"/>
          <w:sz w:val="20"/>
          <w:szCs w:val="20"/>
          <w:lang w:val="en-AU"/>
        </w:rPr>
        <w:lastRenderedPageBreak/>
        <w:t>provisioning of eftpos tokens to occur at the same time as the provisioning of any other payment network token.</w:t>
      </w:r>
      <w:r w:rsidRPr="003F10AD">
        <w:rPr>
          <w:rFonts w:ascii="Segoe UI" w:hAnsi="Segoe UI" w:cs="Segoe UI"/>
          <w:sz w:val="20"/>
          <w:szCs w:val="20"/>
        </w:rPr>
        <w:t xml:space="preserve">  </w:t>
      </w:r>
      <w:r w:rsidRPr="00FD28FE">
        <w:rPr>
          <w:rFonts w:ascii="Segoe UI" w:hAnsi="Segoe UI" w:cs="Segoe UI"/>
          <w:sz w:val="20"/>
          <w:szCs w:val="20"/>
          <w:lang w:val="en-AU"/>
        </w:rPr>
        <w:t>In addition,</w:t>
      </w:r>
      <w:r w:rsidR="00CF5310" w:rsidRPr="00FD28FE">
        <w:rPr>
          <w:rFonts w:ascii="Segoe UI" w:hAnsi="Segoe UI" w:cs="Segoe UI"/>
          <w:sz w:val="20"/>
          <w:szCs w:val="20"/>
          <w:lang w:val="en-AU"/>
        </w:rPr>
        <w:t xml:space="preserve"> either</w:t>
      </w:r>
      <w:r w:rsidRPr="00FD28FE">
        <w:rPr>
          <w:rFonts w:ascii="Segoe UI" w:hAnsi="Segoe UI" w:cs="Segoe UI"/>
          <w:sz w:val="20"/>
          <w:szCs w:val="20"/>
          <w:lang w:val="en-AU"/>
        </w:rPr>
        <w:t xml:space="preserve"> separate card art bearing the eftpos brand should be displayed within the mobile wallet, or card art with equivalence of eftpos branding alongside other payment network branding, and customer choice with regard to priority of payment network for default use at POS </w:t>
      </w:r>
      <w:r w:rsidR="00C14299">
        <w:rPr>
          <w:rFonts w:ascii="Segoe UI" w:hAnsi="Segoe UI" w:cs="Segoe UI"/>
          <w:sz w:val="20"/>
          <w:szCs w:val="20"/>
          <w:lang w:val="en-AU"/>
        </w:rPr>
        <w:t xml:space="preserve">should be </w:t>
      </w:r>
      <w:r w:rsidRPr="00FD28FE">
        <w:rPr>
          <w:rFonts w:ascii="Segoe UI" w:hAnsi="Segoe UI" w:cs="Segoe UI"/>
          <w:sz w:val="20"/>
          <w:szCs w:val="20"/>
          <w:lang w:val="en-AU"/>
        </w:rPr>
        <w:t>available</w:t>
      </w:r>
      <w:r w:rsidRPr="00392352">
        <w:rPr>
          <w:rFonts w:ascii="Segoe UI" w:hAnsi="Segoe UI" w:cs="Segoe UI"/>
          <w:sz w:val="20"/>
          <w:szCs w:val="20"/>
          <w:lang w:val="en-AU"/>
        </w:rPr>
        <w:t>.</w:t>
      </w:r>
    </w:p>
    <w:p w14:paraId="65A9BFBD" w14:textId="77777777" w:rsidR="00E051F5" w:rsidRPr="00392352" w:rsidRDefault="00E051F5" w:rsidP="00E051F5">
      <w:pPr>
        <w:rPr>
          <w:rFonts w:ascii="Segoe UI" w:hAnsi="Segoe UI" w:cs="Segoe UI"/>
          <w:lang w:val="en-AU"/>
        </w:rPr>
      </w:pPr>
    </w:p>
    <w:p w14:paraId="3C2DAA19" w14:textId="77777777" w:rsidR="00E051F5" w:rsidRPr="00B03E81" w:rsidRDefault="00E051F5" w:rsidP="00E051F5">
      <w:pPr>
        <w:rPr>
          <w:rFonts w:ascii="Segoe UI" w:hAnsi="Segoe UI" w:cs="Segoe UI"/>
          <w:sz w:val="20"/>
          <w:szCs w:val="20"/>
        </w:rPr>
      </w:pPr>
      <w:r w:rsidRPr="00B85470">
        <w:rPr>
          <w:rFonts w:ascii="Segoe UI" w:hAnsi="Segoe UI" w:cs="Segoe UI"/>
          <w:sz w:val="20"/>
          <w:szCs w:val="20"/>
        </w:rPr>
        <w:t>Any requirement for additional, subsequent or separate steps to be taken to provision a second available pa</w:t>
      </w:r>
      <w:r w:rsidRPr="00DD59C1">
        <w:rPr>
          <w:rFonts w:ascii="Segoe UI" w:hAnsi="Segoe UI" w:cs="Segoe UI"/>
          <w:sz w:val="20"/>
          <w:szCs w:val="20"/>
        </w:rPr>
        <w:t>yment network will greatly reduce the potential that the consumer will provision both networks on the DNC within the Mobile Wallet.  If provisioning has already occurred for DNCs with a single token within the Mobile Wallet</w:t>
      </w:r>
      <w:r w:rsidRPr="00B03E81">
        <w:rPr>
          <w:rFonts w:ascii="Segoe UI" w:hAnsi="Segoe UI" w:cs="Segoe UI"/>
          <w:sz w:val="20"/>
          <w:szCs w:val="20"/>
        </w:rPr>
        <w:t>, eftpos supports Issuer provisioning of eftpos tokens without any additional requests from cardholders to complete this task.</w:t>
      </w:r>
    </w:p>
    <w:p w14:paraId="3EE36543" w14:textId="77777777" w:rsidR="00E051F5" w:rsidRPr="00B03E81" w:rsidRDefault="00E051F5" w:rsidP="00E051F5">
      <w:pPr>
        <w:rPr>
          <w:rFonts w:ascii="Segoe UI" w:hAnsi="Segoe UI" w:cs="Segoe UI"/>
          <w:sz w:val="20"/>
          <w:szCs w:val="20"/>
        </w:rPr>
      </w:pPr>
    </w:p>
    <w:p w14:paraId="34B08F8F" w14:textId="2A1BFE8B" w:rsidR="00E051F5" w:rsidRPr="008B4EBA" w:rsidRDefault="00E051F5" w:rsidP="00E051F5">
      <w:pPr>
        <w:rPr>
          <w:rFonts w:ascii="Segoe UI" w:hAnsi="Segoe UI" w:cs="Segoe UI"/>
        </w:rPr>
      </w:pPr>
      <w:r w:rsidRPr="00FD28FE">
        <w:rPr>
          <w:rFonts w:ascii="Segoe UI" w:hAnsi="Segoe UI" w:cs="Segoe UI"/>
          <w:sz w:val="20"/>
        </w:rPr>
        <w:t xml:space="preserve">Any potential consumer confusion or concerns about duplicated provisioning and having two networks available from the same DNC are addressed by simultaneous provisioning of tokens and </w:t>
      </w:r>
      <w:r w:rsidR="00AD3E6F">
        <w:rPr>
          <w:rFonts w:ascii="Segoe UI" w:hAnsi="Segoe UI" w:cs="Segoe UI"/>
          <w:sz w:val="20"/>
        </w:rPr>
        <w:t>clear</w:t>
      </w:r>
      <w:r w:rsidR="00AD3E6F" w:rsidRPr="00FD28FE">
        <w:rPr>
          <w:rFonts w:ascii="Segoe UI" w:hAnsi="Segoe UI" w:cs="Segoe UI"/>
          <w:sz w:val="20"/>
        </w:rPr>
        <w:t xml:space="preserve"> </w:t>
      </w:r>
      <w:r w:rsidRPr="00FD28FE">
        <w:rPr>
          <w:rFonts w:ascii="Segoe UI" w:hAnsi="Segoe UI" w:cs="Segoe UI"/>
          <w:sz w:val="20"/>
        </w:rPr>
        <w:t>branding being displayed within the mobile wallet for each available payment network</w:t>
      </w:r>
      <w:r w:rsidRPr="00392352">
        <w:rPr>
          <w:rFonts w:ascii="Segoe UI" w:hAnsi="Segoe UI" w:cs="Segoe UI"/>
          <w:sz w:val="20"/>
        </w:rPr>
        <w:t>.</w:t>
      </w:r>
      <w:r>
        <w:rPr>
          <w:rFonts w:ascii="Segoe UI" w:hAnsi="Segoe UI" w:cs="Segoe UI"/>
          <w:sz w:val="20"/>
        </w:rPr>
        <w:t xml:space="preserve"> </w:t>
      </w:r>
    </w:p>
    <w:p w14:paraId="74804114" w14:textId="77777777" w:rsidR="00E051F5" w:rsidRDefault="00E051F5" w:rsidP="00E051F5">
      <w:pPr>
        <w:rPr>
          <w:rFonts w:ascii="Segoe UI" w:hAnsi="Segoe UI" w:cs="Segoe UI"/>
        </w:rPr>
      </w:pPr>
    </w:p>
    <w:p w14:paraId="774D9E30" w14:textId="77777777" w:rsidR="00E051F5" w:rsidRPr="003F10AD" w:rsidRDefault="00E051F5" w:rsidP="00E051F5">
      <w:pPr>
        <w:pStyle w:val="ListParagraph"/>
        <w:numPr>
          <w:ilvl w:val="0"/>
          <w:numId w:val="32"/>
        </w:numPr>
        <w:rPr>
          <w:rFonts w:ascii="Segoe UI" w:hAnsi="Segoe UI" w:cs="Segoe UI"/>
          <w:b/>
        </w:rPr>
      </w:pPr>
      <w:r w:rsidRPr="003F10AD">
        <w:rPr>
          <w:rFonts w:ascii="Segoe UI" w:hAnsi="Segoe UI" w:cs="Segoe UI"/>
          <w:b/>
        </w:rPr>
        <w:t xml:space="preserve">Have the </w:t>
      </w:r>
      <w:r w:rsidRPr="001D5202">
        <w:rPr>
          <w:rFonts w:ascii="Segoe UI" w:hAnsi="Segoe UI" w:cs="Segoe UI"/>
          <w:b/>
        </w:rPr>
        <w:t>existing</w:t>
      </w:r>
      <w:r w:rsidRPr="003F10AD">
        <w:rPr>
          <w:rFonts w:ascii="Segoe UI" w:hAnsi="Segoe UI" w:cs="Segoe UI"/>
          <w:b/>
        </w:rPr>
        <w:t xml:space="preserve"> undertakings been an effective response to competitive issues that arose earlier</w:t>
      </w:r>
      <w:r>
        <w:rPr>
          <w:rFonts w:ascii="Segoe UI" w:hAnsi="Segoe UI" w:cs="Segoe UI"/>
          <w:b/>
        </w:rPr>
        <w:t>?</w:t>
      </w:r>
    </w:p>
    <w:p w14:paraId="77BA9670" w14:textId="1291D66E" w:rsidR="00E051F5" w:rsidRPr="00ED376E" w:rsidRDefault="009B3DE6" w:rsidP="00E051F5">
      <w:pPr>
        <w:rPr>
          <w:rFonts w:ascii="Segoe UI" w:hAnsi="Segoe UI" w:cs="Segoe UI"/>
        </w:rPr>
      </w:pPr>
      <w:r>
        <w:rPr>
          <w:rFonts w:ascii="Segoe UI" w:hAnsi="Segoe UI" w:cs="Segoe UI"/>
          <w:sz w:val="20"/>
          <w:szCs w:val="20"/>
        </w:rPr>
        <w:t>Confidential undertakings are not as effective as public regulation</w:t>
      </w:r>
      <w:r w:rsidR="00E051F5" w:rsidRPr="003F10AD">
        <w:rPr>
          <w:rFonts w:ascii="Segoe UI" w:hAnsi="Segoe UI" w:cs="Segoe UI"/>
          <w:sz w:val="20"/>
          <w:szCs w:val="20"/>
        </w:rPr>
        <w:t xml:space="preserve">.  The current undertakings are not public documents and the entities providing these undertakings are not publicly accountable for compliance.  Specifically, the undertakings cover a number of issues with regard to DNCs, including Issuance, Data Provision, Technical Matters, Merchant Choice and the Levying of Fees </w:t>
      </w:r>
      <w:r w:rsidR="00E051F5">
        <w:rPr>
          <w:rFonts w:ascii="Segoe UI" w:hAnsi="Segoe UI" w:cs="Segoe UI"/>
          <w:sz w:val="20"/>
          <w:szCs w:val="20"/>
        </w:rPr>
        <w:t>on Competing Networks</w:t>
      </w:r>
      <w:r w:rsidR="002F469A">
        <w:rPr>
          <w:rFonts w:ascii="Segoe UI" w:hAnsi="Segoe UI" w:cs="Segoe UI"/>
          <w:sz w:val="20"/>
          <w:szCs w:val="20"/>
        </w:rPr>
        <w:t>. A</w:t>
      </w:r>
      <w:r w:rsidR="00E051F5" w:rsidRPr="003F10AD">
        <w:rPr>
          <w:rFonts w:ascii="Segoe UI" w:hAnsi="Segoe UI" w:cs="Segoe UI"/>
          <w:sz w:val="20"/>
          <w:szCs w:val="20"/>
        </w:rPr>
        <w:t xml:space="preserve">s a result of these undertakings, eftpos branding has been relegated to the rear of DNCs, eftpos contactless is the secondary application </w:t>
      </w:r>
      <w:r w:rsidR="00E051F5">
        <w:rPr>
          <w:rFonts w:ascii="Segoe UI" w:hAnsi="Segoe UI" w:cs="Segoe UI"/>
          <w:sz w:val="20"/>
          <w:szCs w:val="20"/>
        </w:rPr>
        <w:t xml:space="preserve">AID </w:t>
      </w:r>
      <w:r w:rsidR="00E051F5" w:rsidRPr="001D5202">
        <w:rPr>
          <w:rFonts w:ascii="Segoe UI" w:hAnsi="Segoe UI" w:cs="Segoe UI"/>
          <w:sz w:val="20"/>
          <w:szCs w:val="20"/>
        </w:rPr>
        <w:t>on</w:t>
      </w:r>
      <w:r w:rsidR="00E051F5" w:rsidRPr="003F10AD">
        <w:rPr>
          <w:rFonts w:ascii="Segoe UI" w:hAnsi="Segoe UI" w:cs="Segoe UI"/>
          <w:sz w:val="20"/>
          <w:szCs w:val="20"/>
        </w:rPr>
        <w:t xml:space="preserve"> DNCs, and</w:t>
      </w:r>
      <w:r w:rsidR="002F469A">
        <w:rPr>
          <w:rFonts w:ascii="Segoe UI" w:hAnsi="Segoe UI" w:cs="Segoe UI"/>
          <w:sz w:val="20"/>
          <w:szCs w:val="20"/>
        </w:rPr>
        <w:t xml:space="preserve">, </w:t>
      </w:r>
      <w:r w:rsidR="00377D3D">
        <w:rPr>
          <w:rFonts w:ascii="Segoe UI" w:hAnsi="Segoe UI" w:cs="Segoe UI"/>
          <w:sz w:val="20"/>
          <w:szCs w:val="20"/>
        </w:rPr>
        <w:t>due to the confidentiality of the undertakings</w:t>
      </w:r>
      <w:r w:rsidR="002F469A">
        <w:rPr>
          <w:rFonts w:ascii="Segoe UI" w:hAnsi="Segoe UI" w:cs="Segoe UI"/>
          <w:sz w:val="20"/>
          <w:szCs w:val="20"/>
        </w:rPr>
        <w:t>,</w:t>
      </w:r>
      <w:r w:rsidR="00E051F5" w:rsidRPr="003F10AD">
        <w:rPr>
          <w:rFonts w:ascii="Segoe UI" w:hAnsi="Segoe UI" w:cs="Segoe UI"/>
          <w:sz w:val="20"/>
          <w:szCs w:val="20"/>
        </w:rPr>
        <w:t xml:space="preserve"> Australian merchants </w:t>
      </w:r>
      <w:r w:rsidR="00D47F23">
        <w:rPr>
          <w:rFonts w:ascii="Segoe UI" w:hAnsi="Segoe UI" w:cs="Segoe UI"/>
          <w:sz w:val="20"/>
          <w:szCs w:val="20"/>
        </w:rPr>
        <w:t>remain unaware that they have a</w:t>
      </w:r>
      <w:r w:rsidR="00E051F5" w:rsidRPr="003F10AD">
        <w:rPr>
          <w:rFonts w:ascii="Segoe UI" w:hAnsi="Segoe UI" w:cs="Segoe UI"/>
          <w:sz w:val="20"/>
          <w:szCs w:val="20"/>
        </w:rPr>
        <w:t xml:space="preserve"> choice in relation to the routing of contactless debit transactions</w:t>
      </w:r>
      <w:r w:rsidR="00E051F5">
        <w:rPr>
          <w:rFonts w:ascii="Segoe UI" w:hAnsi="Segoe UI" w:cs="Segoe UI"/>
          <w:sz w:val="20"/>
          <w:szCs w:val="20"/>
        </w:rPr>
        <w:t xml:space="preserve"> to the eftpos payment network</w:t>
      </w:r>
      <w:r w:rsidR="00E051F5" w:rsidRPr="003F10AD">
        <w:rPr>
          <w:rFonts w:ascii="Segoe UI" w:hAnsi="Segoe UI" w:cs="Segoe UI"/>
          <w:sz w:val="20"/>
          <w:szCs w:val="20"/>
        </w:rPr>
        <w:t>.  The above outcomes are not in support of competition and efficiency in the Australian payment system.</w:t>
      </w:r>
    </w:p>
    <w:p w14:paraId="4C2A4265" w14:textId="77777777" w:rsidR="00E051F5" w:rsidRDefault="00E051F5" w:rsidP="00E051F5">
      <w:pPr>
        <w:rPr>
          <w:rFonts w:ascii="Segoe UI" w:hAnsi="Segoe UI" w:cs="Segoe UI"/>
        </w:rPr>
      </w:pPr>
    </w:p>
    <w:p w14:paraId="0C41F257" w14:textId="77777777" w:rsidR="00E051F5" w:rsidRDefault="00E051F5" w:rsidP="00E051F5">
      <w:pPr>
        <w:ind w:left="720"/>
        <w:rPr>
          <w:rFonts w:ascii="Segoe UI" w:hAnsi="Segoe UI" w:cs="Segoe UI"/>
          <w:b/>
          <w:sz w:val="20"/>
        </w:rPr>
      </w:pPr>
      <w:r w:rsidRPr="003F10AD">
        <w:rPr>
          <w:rFonts w:ascii="Segoe UI" w:hAnsi="Segoe UI" w:cs="Segoe UI"/>
          <w:b/>
          <w:sz w:val="20"/>
        </w:rPr>
        <w:t xml:space="preserve">Would an extension of the undertakings be </w:t>
      </w:r>
      <w:r>
        <w:rPr>
          <w:rFonts w:ascii="Segoe UI" w:hAnsi="Segoe UI" w:cs="Segoe UI"/>
          <w:b/>
          <w:sz w:val="20"/>
        </w:rPr>
        <w:t>a</w:t>
      </w:r>
      <w:r w:rsidRPr="003F10AD">
        <w:rPr>
          <w:rFonts w:ascii="Segoe UI" w:hAnsi="Segoe UI" w:cs="Segoe UI"/>
          <w:b/>
          <w:sz w:val="20"/>
        </w:rPr>
        <w:t>ppropriate</w:t>
      </w:r>
      <w:r>
        <w:rPr>
          <w:rFonts w:ascii="Segoe UI" w:hAnsi="Segoe UI" w:cs="Segoe UI"/>
          <w:b/>
          <w:sz w:val="20"/>
        </w:rPr>
        <w:t xml:space="preserve"> for the current issues</w:t>
      </w:r>
      <w:r w:rsidRPr="003F10AD">
        <w:rPr>
          <w:rFonts w:ascii="Segoe UI" w:hAnsi="Segoe UI" w:cs="Segoe UI"/>
          <w:b/>
          <w:sz w:val="20"/>
        </w:rPr>
        <w:t>?</w:t>
      </w:r>
    </w:p>
    <w:p w14:paraId="58FA9852" w14:textId="77777777" w:rsidR="00E051F5" w:rsidRPr="003F10AD" w:rsidRDefault="00E051F5" w:rsidP="00E051F5">
      <w:pPr>
        <w:ind w:left="720"/>
        <w:rPr>
          <w:rFonts w:ascii="Segoe UI" w:hAnsi="Segoe UI" w:cs="Segoe UI"/>
          <w:b/>
          <w:sz w:val="20"/>
        </w:rPr>
      </w:pPr>
    </w:p>
    <w:p w14:paraId="20B25BC8" w14:textId="3D5F9269" w:rsidR="00E051F5" w:rsidRPr="003F10AD" w:rsidRDefault="00E051F5" w:rsidP="00E051F5">
      <w:pPr>
        <w:rPr>
          <w:rFonts w:ascii="Segoe UI" w:hAnsi="Segoe UI" w:cs="Segoe UI"/>
          <w:sz w:val="20"/>
          <w:szCs w:val="20"/>
        </w:rPr>
      </w:pPr>
      <w:r w:rsidRPr="003F10AD">
        <w:rPr>
          <w:rFonts w:ascii="Segoe UI" w:hAnsi="Segoe UI" w:cs="Segoe UI"/>
          <w:sz w:val="20"/>
          <w:szCs w:val="20"/>
        </w:rPr>
        <w:t>Yes - as an interim measure pending the necessary notice period needed for standards to become effective</w:t>
      </w:r>
      <w:r w:rsidR="00D213FB">
        <w:rPr>
          <w:rFonts w:ascii="Segoe UI" w:hAnsi="Segoe UI" w:cs="Segoe UI"/>
          <w:sz w:val="20"/>
          <w:szCs w:val="20"/>
        </w:rPr>
        <w:t>, provided the extended undertakings are made public</w:t>
      </w:r>
      <w:r w:rsidR="004127BE">
        <w:rPr>
          <w:rFonts w:ascii="Segoe UI" w:hAnsi="Segoe UI" w:cs="Segoe UI"/>
          <w:sz w:val="20"/>
          <w:szCs w:val="20"/>
        </w:rPr>
        <w:t>, with appropriate education to merchants and consumers</w:t>
      </w:r>
      <w:r w:rsidR="009B095A">
        <w:rPr>
          <w:rFonts w:ascii="Segoe UI" w:hAnsi="Segoe UI" w:cs="Segoe UI"/>
          <w:sz w:val="20"/>
          <w:szCs w:val="20"/>
        </w:rPr>
        <w:t xml:space="preserve"> and actively monitored </w:t>
      </w:r>
      <w:r w:rsidR="004127BE">
        <w:rPr>
          <w:rFonts w:ascii="Segoe UI" w:hAnsi="Segoe UI" w:cs="Segoe UI"/>
          <w:sz w:val="20"/>
          <w:szCs w:val="20"/>
        </w:rPr>
        <w:t>for compliance</w:t>
      </w:r>
      <w:r w:rsidRPr="003F10AD">
        <w:rPr>
          <w:rFonts w:ascii="Segoe UI" w:hAnsi="Segoe UI" w:cs="Segoe UI"/>
          <w:sz w:val="20"/>
          <w:szCs w:val="20"/>
        </w:rPr>
        <w:t>.  Any extension to the current undertakings should cover the following:</w:t>
      </w:r>
    </w:p>
    <w:p w14:paraId="7577C0E6" w14:textId="77777777" w:rsidR="00E051F5" w:rsidRDefault="00E051F5" w:rsidP="00E051F5">
      <w:pPr>
        <w:pStyle w:val="ListParagraph"/>
        <w:numPr>
          <w:ilvl w:val="0"/>
          <w:numId w:val="31"/>
        </w:numPr>
        <w:rPr>
          <w:rFonts w:ascii="Segoe UI" w:hAnsi="Segoe UI" w:cs="Segoe UI"/>
          <w:lang w:val="en-AU"/>
        </w:rPr>
      </w:pPr>
      <w:r>
        <w:rPr>
          <w:rFonts w:ascii="Segoe UI" w:hAnsi="Segoe UI" w:cs="Segoe UI"/>
          <w:lang w:val="en-AU"/>
        </w:rPr>
        <w:t>no prohibition/restriction/fettering of issuers provisioning all payment networks within a mobile wallet,</w:t>
      </w:r>
    </w:p>
    <w:p w14:paraId="0E302F12" w14:textId="77777777" w:rsidR="00E051F5" w:rsidRDefault="00E051F5" w:rsidP="00E051F5">
      <w:pPr>
        <w:pStyle w:val="ListParagraph"/>
        <w:numPr>
          <w:ilvl w:val="0"/>
          <w:numId w:val="31"/>
        </w:numPr>
        <w:rPr>
          <w:rFonts w:ascii="Segoe UI" w:hAnsi="Segoe UI" w:cs="Segoe UI"/>
          <w:lang w:val="en-AU"/>
        </w:rPr>
      </w:pPr>
      <w:r>
        <w:rPr>
          <w:rFonts w:ascii="Segoe UI" w:hAnsi="Segoe UI" w:cs="Segoe UI"/>
          <w:lang w:val="en-AU"/>
        </w:rPr>
        <w:t>co-residency of available payment functionality on cards in mobile wallets and devices,</w:t>
      </w:r>
    </w:p>
    <w:p w14:paraId="698A6E39" w14:textId="77777777" w:rsidR="00E051F5" w:rsidRDefault="00E051F5" w:rsidP="00E051F5">
      <w:pPr>
        <w:pStyle w:val="ListParagraph"/>
        <w:numPr>
          <w:ilvl w:val="0"/>
          <w:numId w:val="31"/>
        </w:numPr>
        <w:rPr>
          <w:rFonts w:ascii="Segoe UI" w:hAnsi="Segoe UI" w:cs="Segoe UI"/>
          <w:lang w:val="en-AU"/>
        </w:rPr>
      </w:pPr>
      <w:r>
        <w:rPr>
          <w:rFonts w:ascii="Segoe UI" w:hAnsi="Segoe UI" w:cs="Segoe UI"/>
          <w:lang w:val="en-AU"/>
        </w:rPr>
        <w:t>parity of representation of card images for all available networks (including brand) in mobile wallets,</w:t>
      </w:r>
      <w:r w:rsidRPr="003F10AD">
        <w:rPr>
          <w:rFonts w:ascii="Segoe UI" w:hAnsi="Segoe UI" w:cs="Segoe UI"/>
          <w:lang w:val="en-AU"/>
        </w:rPr>
        <w:t xml:space="preserve"> and</w:t>
      </w:r>
    </w:p>
    <w:p w14:paraId="7EB372BF" w14:textId="3893B798" w:rsidR="00E051F5" w:rsidRDefault="00E051F5" w:rsidP="00E051F5">
      <w:pPr>
        <w:pStyle w:val="ListParagraph"/>
        <w:numPr>
          <w:ilvl w:val="0"/>
          <w:numId w:val="31"/>
        </w:numPr>
        <w:rPr>
          <w:rFonts w:ascii="Segoe UI" w:hAnsi="Segoe UI" w:cs="Segoe UI"/>
          <w:lang w:val="en-AU"/>
        </w:rPr>
      </w:pPr>
      <w:r>
        <w:rPr>
          <w:rFonts w:ascii="Segoe UI" w:hAnsi="Segoe UI" w:cs="Segoe UI"/>
          <w:lang w:val="en-AU"/>
        </w:rPr>
        <w:t>consumer control of default settings and choice of payment network within the mobile wallet</w:t>
      </w:r>
      <w:r w:rsidRPr="003F10AD">
        <w:rPr>
          <w:rFonts w:ascii="Segoe UI" w:hAnsi="Segoe UI" w:cs="Segoe UI"/>
          <w:lang w:val="en-AU"/>
        </w:rPr>
        <w:t>.</w:t>
      </w:r>
      <w:r w:rsidR="00D02511">
        <w:rPr>
          <w:rFonts w:ascii="Segoe UI" w:hAnsi="Segoe UI" w:cs="Segoe UI"/>
          <w:lang w:val="en-AU"/>
        </w:rPr>
        <w:br/>
      </w:r>
    </w:p>
    <w:p w14:paraId="27CB9B8E" w14:textId="77777777" w:rsidR="00E051F5" w:rsidRPr="003F10AD" w:rsidRDefault="00E051F5" w:rsidP="00E051F5">
      <w:pPr>
        <w:pStyle w:val="ListParagraph"/>
        <w:numPr>
          <w:ilvl w:val="0"/>
          <w:numId w:val="32"/>
        </w:numPr>
        <w:rPr>
          <w:rFonts w:ascii="Segoe UI" w:hAnsi="Segoe UI" w:cs="Segoe UI"/>
          <w:b/>
        </w:rPr>
      </w:pPr>
      <w:r w:rsidRPr="003F10AD">
        <w:rPr>
          <w:rFonts w:ascii="Segoe UI" w:hAnsi="Segoe UI" w:cs="Segoe UI"/>
          <w:b/>
        </w:rPr>
        <w:t>Foreign precedents</w:t>
      </w:r>
    </w:p>
    <w:p w14:paraId="491B71B3" w14:textId="4EDB5C1D" w:rsidR="00E051F5" w:rsidRPr="00D02511" w:rsidRDefault="00E051F5" w:rsidP="00E051F5">
      <w:pPr>
        <w:rPr>
          <w:rFonts w:ascii="Segoe UI" w:hAnsi="Segoe UI" w:cs="Segoe UI"/>
          <w:color w:val="auto"/>
          <w:sz w:val="20"/>
          <w:szCs w:val="20"/>
          <w:lang w:val="en-AU"/>
        </w:rPr>
      </w:pPr>
      <w:r w:rsidRPr="00D02511">
        <w:rPr>
          <w:rFonts w:ascii="Segoe UI" w:hAnsi="Segoe UI" w:cs="Segoe UI"/>
          <w:color w:val="auto"/>
          <w:sz w:val="20"/>
          <w:szCs w:val="20"/>
          <w:lang w:val="en-AU"/>
        </w:rPr>
        <w:t>The consultation paper already refers to regulations and undertakings in Canada, Denmark, the European Union and France.  Additional relevant jurisdictions are Malaysia, where the regulator is actively ensuring choice of the lowest cost debit network.  Also, regulators in the USA have recently taken action against technology lockout activity that confuses consumers at the point of sale with regard to EMV chip technology and consumer selection of competing payment networks.</w:t>
      </w:r>
      <w:r w:rsidRPr="002E7548">
        <w:rPr>
          <w:rFonts w:ascii="Segoe UI" w:hAnsi="Segoe UI"/>
          <w:color w:val="auto"/>
          <w:szCs w:val="20"/>
          <w:vertAlign w:val="superscript"/>
          <w:lang w:val="en-AU"/>
        </w:rPr>
        <w:footnoteReference w:id="7"/>
      </w:r>
    </w:p>
    <w:p w14:paraId="3CE5B512" w14:textId="7C7FD1A0" w:rsidR="00E051F5" w:rsidRDefault="00E051F5" w:rsidP="00E051F5">
      <w:pPr>
        <w:rPr>
          <w:rFonts w:ascii="Segoe UI" w:hAnsi="Segoe UI" w:cs="Segoe UI"/>
        </w:rPr>
      </w:pPr>
    </w:p>
    <w:p w14:paraId="4E99E707" w14:textId="0140D3C9" w:rsidR="00E06F59" w:rsidRDefault="00E06F59" w:rsidP="00E051F5">
      <w:pPr>
        <w:rPr>
          <w:rFonts w:ascii="Segoe UI" w:hAnsi="Segoe UI" w:cs="Segoe UI"/>
        </w:rPr>
      </w:pPr>
    </w:p>
    <w:p w14:paraId="2F096A23" w14:textId="17398953" w:rsidR="00E06F59" w:rsidRDefault="00E06F59" w:rsidP="00E051F5">
      <w:pPr>
        <w:rPr>
          <w:rFonts w:ascii="Segoe UI" w:hAnsi="Segoe UI" w:cs="Segoe UI"/>
        </w:rPr>
      </w:pPr>
    </w:p>
    <w:p w14:paraId="1555F482" w14:textId="77777777" w:rsidR="00E06F59" w:rsidRDefault="00E06F59" w:rsidP="00E051F5">
      <w:pPr>
        <w:rPr>
          <w:rFonts w:ascii="Segoe UI" w:hAnsi="Segoe UI" w:cs="Segoe UI"/>
        </w:rPr>
      </w:pPr>
    </w:p>
    <w:p w14:paraId="53605399" w14:textId="77777777" w:rsidR="00E051F5" w:rsidRPr="003F10AD" w:rsidRDefault="00E051F5" w:rsidP="00E051F5">
      <w:pPr>
        <w:pStyle w:val="ListParagraph"/>
        <w:numPr>
          <w:ilvl w:val="0"/>
          <w:numId w:val="32"/>
        </w:numPr>
        <w:rPr>
          <w:rFonts w:ascii="Segoe UI" w:hAnsi="Segoe UI" w:cs="Segoe UI"/>
          <w:b/>
        </w:rPr>
      </w:pPr>
      <w:r w:rsidRPr="003F10AD">
        <w:rPr>
          <w:rFonts w:ascii="Segoe UI" w:hAnsi="Segoe UI" w:cs="Segoe UI"/>
          <w:b/>
        </w:rPr>
        <w:t>Do the DNC competition issues also apply to combo cards</w:t>
      </w:r>
      <w:r>
        <w:rPr>
          <w:rFonts w:ascii="Segoe UI" w:hAnsi="Segoe UI" w:cs="Segoe UI"/>
          <w:b/>
        </w:rPr>
        <w:t>?</w:t>
      </w:r>
    </w:p>
    <w:p w14:paraId="3173E92D" w14:textId="77777777" w:rsidR="00E051F5" w:rsidRDefault="00E051F5" w:rsidP="00E051F5">
      <w:pPr>
        <w:rPr>
          <w:rFonts w:ascii="Segoe UI" w:hAnsi="Segoe UI" w:cs="Segoe UI"/>
        </w:rPr>
      </w:pPr>
      <w:r>
        <w:rPr>
          <w:rFonts w:ascii="Segoe UI" w:hAnsi="Segoe UI" w:cs="Segoe UI"/>
          <w:sz w:val="20"/>
        </w:rPr>
        <w:lastRenderedPageBreak/>
        <w:t>Yes, but with the additional consideration that when more than one payment network’s functionality is available on a combo card, separate payment tokens are required to ensure funds are debited from the correct account.</w:t>
      </w:r>
    </w:p>
    <w:p w14:paraId="46C53FF5" w14:textId="77777777" w:rsidR="00E051F5" w:rsidRDefault="00E051F5" w:rsidP="00E051F5">
      <w:pPr>
        <w:rPr>
          <w:rFonts w:ascii="Segoe UI" w:hAnsi="Segoe UI" w:cs="Segoe UI"/>
        </w:rPr>
      </w:pPr>
    </w:p>
    <w:p w14:paraId="18338754" w14:textId="77777777" w:rsidR="00E051F5" w:rsidRPr="003F10AD" w:rsidRDefault="00E051F5" w:rsidP="00E051F5">
      <w:pPr>
        <w:pStyle w:val="ListParagraph"/>
        <w:numPr>
          <w:ilvl w:val="0"/>
          <w:numId w:val="32"/>
        </w:numPr>
        <w:rPr>
          <w:rFonts w:ascii="Segoe UI" w:hAnsi="Segoe UI" w:cs="Segoe UI"/>
          <w:b/>
        </w:rPr>
      </w:pPr>
      <w:r w:rsidRPr="003F10AD">
        <w:rPr>
          <w:rFonts w:ascii="Segoe UI" w:hAnsi="Segoe UI" w:cs="Segoe UI"/>
          <w:b/>
        </w:rPr>
        <w:t>Prospective developments in payment card technology relevant to these issues</w:t>
      </w:r>
    </w:p>
    <w:p w14:paraId="0BDB5585" w14:textId="397FF738" w:rsidR="00E051F5" w:rsidRDefault="00E051F5" w:rsidP="00E051F5">
      <w:pPr>
        <w:rPr>
          <w:rFonts w:ascii="Segoe UI" w:hAnsi="Segoe UI" w:cs="Segoe UI"/>
        </w:rPr>
      </w:pPr>
      <w:r>
        <w:rPr>
          <w:rFonts w:ascii="Segoe UI" w:hAnsi="Segoe UI" w:cs="Segoe UI"/>
          <w:sz w:val="20"/>
        </w:rPr>
        <w:t xml:space="preserve">Any development of functionality that is available through more than one payment network will potentially lead to competition issues and the opportunity for one payment network to control/limit technology access in the same way as occurred for DNCs.  Current examples where technology lockout is being experienced </w:t>
      </w:r>
      <w:r w:rsidR="00AD11BC">
        <w:rPr>
          <w:rFonts w:ascii="Segoe UI" w:hAnsi="Segoe UI" w:cs="Segoe UI"/>
          <w:sz w:val="20"/>
        </w:rPr>
        <w:t xml:space="preserve">in addition to contactless POS </w:t>
      </w:r>
      <w:r>
        <w:rPr>
          <w:rFonts w:ascii="Segoe UI" w:hAnsi="Segoe UI" w:cs="Segoe UI"/>
          <w:sz w:val="20"/>
        </w:rPr>
        <w:t xml:space="preserve">include tokenization (Mobile, In-App, Online), closed loop payments (Transit) and Primary Account Reference (PAR) values.  </w:t>
      </w:r>
    </w:p>
    <w:p w14:paraId="786C8509" w14:textId="77777777" w:rsidR="00E051F5" w:rsidRDefault="00E051F5" w:rsidP="00E051F5">
      <w:pPr>
        <w:rPr>
          <w:rFonts w:ascii="Segoe UI" w:hAnsi="Segoe UI" w:cs="Segoe UI"/>
        </w:rPr>
      </w:pPr>
    </w:p>
    <w:p w14:paraId="7638B389" w14:textId="77777777" w:rsidR="00E051F5" w:rsidRPr="003F10AD" w:rsidRDefault="00E051F5" w:rsidP="00E051F5">
      <w:pPr>
        <w:pStyle w:val="ListParagraph"/>
        <w:numPr>
          <w:ilvl w:val="0"/>
          <w:numId w:val="32"/>
        </w:numPr>
        <w:rPr>
          <w:rFonts w:ascii="Segoe UI" w:hAnsi="Segoe UI" w:cs="Segoe UI"/>
          <w:b/>
        </w:rPr>
      </w:pPr>
      <w:r w:rsidRPr="003F10AD">
        <w:rPr>
          <w:rFonts w:ascii="Segoe UI" w:hAnsi="Segoe UI" w:cs="Segoe UI"/>
          <w:b/>
        </w:rPr>
        <w:t>What are the particular compliance costs that would aris</w:t>
      </w:r>
      <w:r w:rsidRPr="001D5202">
        <w:rPr>
          <w:rFonts w:ascii="Segoe UI" w:hAnsi="Segoe UI" w:cs="Segoe UI"/>
          <w:b/>
        </w:rPr>
        <w:t>e for industry if a Standard were</w:t>
      </w:r>
      <w:r w:rsidRPr="003F10AD">
        <w:rPr>
          <w:rFonts w:ascii="Segoe UI" w:hAnsi="Segoe UI" w:cs="Segoe UI"/>
          <w:b/>
        </w:rPr>
        <w:t xml:space="preserve"> introduced</w:t>
      </w:r>
      <w:r>
        <w:rPr>
          <w:rFonts w:ascii="Segoe UI" w:hAnsi="Segoe UI" w:cs="Segoe UI"/>
          <w:b/>
        </w:rPr>
        <w:t>?</w:t>
      </w:r>
    </w:p>
    <w:p w14:paraId="784C85FA" w14:textId="77777777" w:rsidR="00E051F5" w:rsidRPr="003F10AD" w:rsidRDefault="00E051F5" w:rsidP="00E051F5">
      <w:pPr>
        <w:rPr>
          <w:rFonts w:ascii="Segoe UI" w:hAnsi="Segoe UI" w:cs="Segoe UI"/>
          <w:sz w:val="20"/>
        </w:rPr>
      </w:pPr>
      <w:r>
        <w:rPr>
          <w:rFonts w:ascii="Segoe UI" w:hAnsi="Segoe UI" w:cs="Segoe UI"/>
          <w:sz w:val="20"/>
        </w:rPr>
        <w:t>Compliance costs arise with undertakings as well as for standards. eftpos does not consider that the compliance costs would exponentially increase from compliance with the undertakings if standards were introduced. There would also be additional benefits from publication of standards rather than confidential undertakings.  Having no regulation or ineffective undertakings will have a far greater impact on the long term competitive environment for retail payments in Australia.</w:t>
      </w:r>
    </w:p>
    <w:p w14:paraId="2ABCC7B9" w14:textId="77777777" w:rsidR="00E051F5" w:rsidRDefault="00E051F5" w:rsidP="00E051F5">
      <w:pPr>
        <w:rPr>
          <w:rFonts w:ascii="Segoe UI" w:hAnsi="Segoe UI" w:cs="Segoe UI"/>
          <w:sz w:val="20"/>
          <w:szCs w:val="20"/>
        </w:rPr>
      </w:pPr>
    </w:p>
    <w:p w14:paraId="2746E072" w14:textId="77777777" w:rsidR="00E051F5" w:rsidRDefault="00E051F5" w:rsidP="00E051F5">
      <w:pPr>
        <w:rPr>
          <w:rFonts w:ascii="Segoe UI" w:hAnsi="Segoe UI" w:cs="Segoe UI"/>
          <w:sz w:val="20"/>
          <w:szCs w:val="20"/>
        </w:rPr>
      </w:pPr>
    </w:p>
    <w:p w14:paraId="651D3FE4" w14:textId="77777777" w:rsidR="00E051F5" w:rsidRDefault="00E051F5" w:rsidP="00E051F5">
      <w:pPr>
        <w:rPr>
          <w:rFonts w:ascii="Segoe UI" w:hAnsi="Segoe UI" w:cs="Segoe UI"/>
          <w:sz w:val="20"/>
          <w:szCs w:val="20"/>
        </w:rPr>
      </w:pPr>
      <w:r>
        <w:rPr>
          <w:rFonts w:ascii="Segoe UI" w:hAnsi="Segoe UI" w:cs="Segoe UI"/>
          <w:sz w:val="20"/>
          <w:szCs w:val="20"/>
        </w:rPr>
        <w:t>eftpos would be pleased to meet with the RBA to discuss any of these matters in more detail.</w:t>
      </w:r>
    </w:p>
    <w:p w14:paraId="2E28FCCC" w14:textId="77777777" w:rsidR="00E051F5" w:rsidRDefault="00E051F5" w:rsidP="00E051F5">
      <w:pPr>
        <w:rPr>
          <w:rFonts w:ascii="Segoe UI" w:hAnsi="Segoe UI" w:cs="Segoe UI"/>
          <w:sz w:val="20"/>
          <w:szCs w:val="20"/>
        </w:rPr>
      </w:pPr>
    </w:p>
    <w:p w14:paraId="7576F852" w14:textId="77777777" w:rsidR="00E051F5" w:rsidRDefault="00E051F5" w:rsidP="00E051F5">
      <w:pPr>
        <w:rPr>
          <w:rFonts w:ascii="Segoe UI" w:hAnsi="Segoe UI" w:cs="Segoe UI"/>
          <w:sz w:val="20"/>
          <w:szCs w:val="20"/>
        </w:rPr>
      </w:pPr>
    </w:p>
    <w:p w14:paraId="7021564D" w14:textId="77777777" w:rsidR="00E051F5" w:rsidRDefault="00E051F5" w:rsidP="00E051F5">
      <w:pPr>
        <w:rPr>
          <w:rFonts w:ascii="Segoe UI" w:hAnsi="Segoe UI" w:cs="Segoe UI"/>
          <w:sz w:val="20"/>
          <w:szCs w:val="20"/>
        </w:rPr>
      </w:pPr>
      <w:r>
        <w:rPr>
          <w:rFonts w:ascii="Segoe UI" w:hAnsi="Segoe UI" w:cs="Segoe UI"/>
          <w:sz w:val="20"/>
          <w:szCs w:val="20"/>
        </w:rPr>
        <w:t>Yours faithfully,</w:t>
      </w:r>
    </w:p>
    <w:p w14:paraId="49F8B332" w14:textId="77777777" w:rsidR="00E051F5" w:rsidRDefault="00E051F5" w:rsidP="00E051F5">
      <w:pPr>
        <w:rPr>
          <w:rFonts w:ascii="Segoe UI" w:hAnsi="Segoe UI" w:cs="Segoe UI"/>
          <w:sz w:val="20"/>
          <w:szCs w:val="20"/>
        </w:rPr>
      </w:pPr>
    </w:p>
    <w:p w14:paraId="64FF5C4E" w14:textId="77777777" w:rsidR="00E051F5" w:rsidRDefault="00E051F5" w:rsidP="00E051F5">
      <w:pPr>
        <w:rPr>
          <w:rFonts w:ascii="Segoe UI" w:hAnsi="Segoe UI" w:cs="Segoe UI"/>
          <w:sz w:val="20"/>
          <w:szCs w:val="20"/>
        </w:rPr>
      </w:pPr>
    </w:p>
    <w:p w14:paraId="3384FFB1" w14:textId="77777777" w:rsidR="00E051F5" w:rsidRDefault="00E051F5" w:rsidP="00E051F5">
      <w:pPr>
        <w:rPr>
          <w:rFonts w:ascii="Segoe UI" w:hAnsi="Segoe UI" w:cs="Segoe UI"/>
          <w:sz w:val="20"/>
          <w:szCs w:val="20"/>
        </w:rPr>
      </w:pPr>
    </w:p>
    <w:p w14:paraId="1051FD99" w14:textId="77777777" w:rsidR="00E051F5" w:rsidRDefault="00E051F5" w:rsidP="00E051F5">
      <w:pPr>
        <w:rPr>
          <w:rFonts w:ascii="Segoe UI" w:hAnsi="Segoe UI" w:cs="Segoe UI"/>
          <w:sz w:val="20"/>
          <w:szCs w:val="20"/>
        </w:rPr>
      </w:pPr>
    </w:p>
    <w:p w14:paraId="347A9752" w14:textId="77777777" w:rsidR="00E051F5" w:rsidRDefault="00E051F5" w:rsidP="00E051F5">
      <w:pPr>
        <w:rPr>
          <w:rFonts w:ascii="Segoe UI" w:hAnsi="Segoe UI" w:cs="Segoe UI"/>
          <w:sz w:val="20"/>
          <w:szCs w:val="20"/>
        </w:rPr>
      </w:pPr>
      <w:r>
        <w:rPr>
          <w:rFonts w:ascii="Segoe UI" w:hAnsi="Segoe UI" w:cs="Segoe UI"/>
          <w:sz w:val="20"/>
          <w:szCs w:val="20"/>
        </w:rPr>
        <w:t>Bruce Mansfield</w:t>
      </w:r>
    </w:p>
    <w:p w14:paraId="5E0BFC3B" w14:textId="77777777" w:rsidR="00E051F5" w:rsidRDefault="00E051F5" w:rsidP="00E051F5">
      <w:pPr>
        <w:rPr>
          <w:rFonts w:ascii="Calibri" w:hAnsi="Calibri"/>
          <w:color w:val="auto"/>
          <w:sz w:val="22"/>
        </w:rPr>
      </w:pPr>
      <w:r w:rsidRPr="00E33AF8">
        <w:rPr>
          <w:rFonts w:ascii="Segoe UI" w:hAnsi="Segoe UI" w:cs="Segoe UI"/>
          <w:b/>
          <w:sz w:val="20"/>
          <w:szCs w:val="20"/>
        </w:rPr>
        <w:t>Managing Directo</w:t>
      </w:r>
      <w:r>
        <w:rPr>
          <w:rFonts w:ascii="Segoe UI" w:hAnsi="Segoe UI" w:cs="Segoe UI"/>
          <w:b/>
          <w:sz w:val="20"/>
          <w:szCs w:val="20"/>
        </w:rPr>
        <w:t>r</w:t>
      </w:r>
    </w:p>
    <w:p w14:paraId="0CD83C4D" w14:textId="77777777" w:rsidR="003848A1" w:rsidRPr="00756371" w:rsidRDefault="003848A1" w:rsidP="00756371"/>
    <w:sectPr w:rsidR="003848A1" w:rsidRPr="00756371" w:rsidSect="00106CB2">
      <w:headerReference w:type="default" r:id="rId10"/>
      <w:footerReference w:type="default" r:id="rId11"/>
      <w:headerReference w:type="first" r:id="rId12"/>
      <w:footerReference w:type="first" r:id="rId13"/>
      <w:type w:val="continuous"/>
      <w:pgSz w:w="11900" w:h="16840"/>
      <w:pgMar w:top="295" w:right="1361" w:bottom="1440" w:left="1361" w:header="476" w:footer="51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3C1672" w14:textId="77777777" w:rsidR="000F69EC" w:rsidRDefault="000F69EC">
      <w:pPr>
        <w:spacing w:line="240" w:lineRule="auto"/>
      </w:pPr>
      <w:r>
        <w:separator/>
      </w:r>
    </w:p>
  </w:endnote>
  <w:endnote w:type="continuationSeparator" w:id="0">
    <w:p w14:paraId="0A755D84" w14:textId="77777777" w:rsidR="000F69EC" w:rsidRDefault="000F69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WP TypographicSymbols">
    <w:charset w:val="02"/>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Frutiger 65 Bold">
    <w:altName w:val="Cambria"/>
    <w:charset w:val="00"/>
    <w:family w:val="auto"/>
    <w:pitch w:val="variable"/>
    <w:sig w:usb0="00000003" w:usb1="00000000" w:usb2="00000000" w:usb3="00000000" w:csb0="00000001" w:csb1="00000000"/>
  </w:font>
  <w:font w:name="Frutiger 55 Roman">
    <w:altName w:val="Cambria"/>
    <w:charset w:val="00"/>
    <w:family w:val="auto"/>
    <w:pitch w:val="variable"/>
    <w:sig w:usb0="00000003" w:usb1="00000000" w:usb2="00000000" w:usb3="00000000" w:csb0="00000001" w:csb1="00000000"/>
  </w:font>
  <w:font w:name="Frutiger 45 Light">
    <w:altName w:val="Calibri"/>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Frutiger-Bold">
    <w:altName w:val="Cambria"/>
    <w:panose1 w:val="00000000000000000000"/>
    <w:charset w:val="4D"/>
    <w:family w:val="auto"/>
    <w:notTrueType/>
    <w:pitch w:val="default"/>
    <w:sig w:usb0="00000003" w:usb1="00000000" w:usb2="00000000" w:usb3="00000000" w:csb0="00000001" w:csb1="00000000"/>
  </w:font>
  <w:font w:name="Frutiger-Light">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71DDE" w14:textId="77777777" w:rsidR="00A55CD8" w:rsidRPr="0036448C" w:rsidRDefault="00A55CD8" w:rsidP="00785DDA">
    <w:pPr>
      <w:suppressAutoHyphens/>
      <w:rPr>
        <w:rFonts w:ascii="Frutiger-Light" w:hAnsi="Frutiger-Light" w:cs="Frutiger-Light"/>
        <w:color w:val="5A5B5E"/>
        <w:spacing w:val="-3"/>
        <w:sz w:val="14"/>
        <w:szCs w:val="14"/>
      </w:rPr>
    </w:pPr>
    <w:r w:rsidRPr="0036448C">
      <w:rPr>
        <w:rFonts w:ascii="Frutiger-Light" w:hAnsi="Frutiger-Light" w:cs="Frutiger-Light"/>
        <w:color w:val="5A5B5E"/>
        <w:spacing w:val="-3"/>
        <w:sz w:val="14"/>
        <w:szCs w:val="14"/>
      </w:rPr>
      <w:t>eftpos Payments Australia Limited</w:t>
    </w:r>
  </w:p>
  <w:p w14:paraId="456196C7" w14:textId="77777777" w:rsidR="00A55CD8" w:rsidRPr="00785DDA" w:rsidRDefault="00A55CD8">
    <w:pPr>
      <w:pStyle w:val="Footer"/>
      <w:rPr>
        <w:color w:val="5A5B5E"/>
      </w:rPr>
    </w:pPr>
    <w:r w:rsidRPr="0036448C">
      <w:rPr>
        <w:rFonts w:ascii="Frutiger-Light" w:hAnsi="Frutiger-Light" w:cs="Frutiger-Light"/>
        <w:color w:val="5A5B5E"/>
        <w:spacing w:val="-3"/>
        <w:sz w:val="14"/>
        <w:szCs w:val="14"/>
      </w:rPr>
      <w:t>ABN 37 136 180 366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1971D" w14:textId="77777777" w:rsidR="00A55CD8" w:rsidRPr="0036448C" w:rsidRDefault="00A55CD8" w:rsidP="00253C70">
    <w:pPr>
      <w:suppressAutoHyphens/>
      <w:rPr>
        <w:rFonts w:ascii="Frutiger-Light" w:hAnsi="Frutiger-Light" w:cs="Frutiger-Light"/>
        <w:color w:val="5A5B5E"/>
        <w:spacing w:val="-3"/>
        <w:sz w:val="14"/>
        <w:szCs w:val="14"/>
      </w:rPr>
    </w:pPr>
    <w:r w:rsidRPr="0036448C">
      <w:rPr>
        <w:rFonts w:ascii="Frutiger-Light" w:hAnsi="Frutiger-Light" w:cs="Frutiger-Light"/>
        <w:color w:val="5A5B5E"/>
        <w:spacing w:val="-3"/>
        <w:sz w:val="14"/>
        <w:szCs w:val="14"/>
      </w:rPr>
      <w:t>eftpos Payments Australia Limited</w:t>
    </w:r>
  </w:p>
  <w:p w14:paraId="33EF1C96" w14:textId="77777777" w:rsidR="00A55CD8" w:rsidRPr="00253C70" w:rsidRDefault="00A55CD8" w:rsidP="00253C70">
    <w:pPr>
      <w:pStyle w:val="Footer"/>
      <w:rPr>
        <w:color w:val="5A5B5E"/>
      </w:rPr>
    </w:pPr>
    <w:r w:rsidRPr="0036448C">
      <w:rPr>
        <w:rFonts w:ascii="Frutiger-Light" w:hAnsi="Frutiger-Light" w:cs="Frutiger-Light"/>
        <w:color w:val="5A5B5E"/>
        <w:spacing w:val="-3"/>
        <w:sz w:val="14"/>
        <w:szCs w:val="14"/>
      </w:rPr>
      <w:t>ABN 37 136 180 366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D9865" w14:textId="77777777" w:rsidR="000F69EC" w:rsidRDefault="000F69EC">
      <w:pPr>
        <w:spacing w:line="240" w:lineRule="auto"/>
      </w:pPr>
      <w:r>
        <w:separator/>
      </w:r>
    </w:p>
  </w:footnote>
  <w:footnote w:type="continuationSeparator" w:id="0">
    <w:p w14:paraId="46981D3B" w14:textId="77777777" w:rsidR="000F69EC" w:rsidRDefault="000F69EC">
      <w:pPr>
        <w:spacing w:line="240" w:lineRule="auto"/>
      </w:pPr>
      <w:r>
        <w:continuationSeparator/>
      </w:r>
    </w:p>
  </w:footnote>
  <w:footnote w:id="1">
    <w:p w14:paraId="59F0041C" w14:textId="77777777" w:rsidR="00755A52" w:rsidRPr="00237912" w:rsidRDefault="00755A52" w:rsidP="00755A52">
      <w:pPr>
        <w:pStyle w:val="FootnoteText"/>
        <w:rPr>
          <w:lang w:val="en-AU"/>
        </w:rPr>
      </w:pPr>
      <w:r>
        <w:rPr>
          <w:rStyle w:val="FootnoteReference"/>
        </w:rPr>
        <w:footnoteRef/>
      </w:r>
      <w:r>
        <w:t xml:space="preserve"> </w:t>
      </w:r>
      <w:r w:rsidRPr="00237912">
        <w:rPr>
          <w:sz w:val="16"/>
          <w:szCs w:val="16"/>
        </w:rPr>
        <w:t>See RBA Research Discussion Paper December 2014, The Evolution of Payment Costs in Australia Chris Stewart, Iris Chan, Crystal Ossolinski, David Halperin and Paul Ryan</w:t>
      </w:r>
    </w:p>
  </w:footnote>
  <w:footnote w:id="2">
    <w:p w14:paraId="62B566C2" w14:textId="2F277ADF" w:rsidR="00E051F5" w:rsidRPr="00392352" w:rsidRDefault="00E051F5" w:rsidP="00E051F5">
      <w:pPr>
        <w:pStyle w:val="FootnoteText"/>
        <w:rPr>
          <w:lang w:val="en-AU"/>
        </w:rPr>
      </w:pPr>
      <w:r>
        <w:rPr>
          <w:rStyle w:val="FootnoteReference"/>
        </w:rPr>
        <w:footnoteRef/>
      </w:r>
      <w:r>
        <w:t xml:space="preserve"> </w:t>
      </w:r>
      <w:r w:rsidR="00C67813" w:rsidRPr="00392352">
        <w:rPr>
          <w:sz w:val="16"/>
          <w:szCs w:val="16"/>
        </w:rPr>
        <w:t xml:space="preserve">Refer Visa and MasterCard submissions </w:t>
      </w:r>
      <w:r w:rsidR="00094B51">
        <w:rPr>
          <w:sz w:val="16"/>
          <w:szCs w:val="16"/>
        </w:rPr>
        <w:t xml:space="preserve">to </w:t>
      </w:r>
      <w:r w:rsidR="0030740E">
        <w:rPr>
          <w:sz w:val="16"/>
          <w:szCs w:val="16"/>
        </w:rPr>
        <w:t xml:space="preserve">RBA on previous card payments system reviews and to </w:t>
      </w:r>
      <w:r w:rsidR="00094B51">
        <w:rPr>
          <w:sz w:val="16"/>
          <w:szCs w:val="16"/>
        </w:rPr>
        <w:t xml:space="preserve">ACCC </w:t>
      </w:r>
      <w:r w:rsidR="00C67813" w:rsidRPr="00392352">
        <w:rPr>
          <w:sz w:val="16"/>
          <w:szCs w:val="16"/>
        </w:rPr>
        <w:t xml:space="preserve">at </w:t>
      </w:r>
      <w:hyperlink r:id="rId1" w:history="1">
        <w:r w:rsidR="00120F1C" w:rsidRPr="00392352">
          <w:rPr>
            <w:rStyle w:val="Hyperlink"/>
            <w:sz w:val="16"/>
            <w:szCs w:val="16"/>
          </w:rPr>
          <w:t>http://registers.accc.gov.au/content/index.phtml/itemId/1197444/fromItemId/278039/display/submission</w:t>
        </w:r>
      </w:hyperlink>
      <w:r w:rsidR="0030740E">
        <w:rPr>
          <w:sz w:val="16"/>
          <w:szCs w:val="16"/>
        </w:rPr>
        <w:t>.</w:t>
      </w:r>
    </w:p>
  </w:footnote>
  <w:footnote w:id="3">
    <w:p w14:paraId="27FEB501" w14:textId="19EF7E8D" w:rsidR="00C14299" w:rsidRPr="000F2FA4" w:rsidRDefault="00C14299">
      <w:pPr>
        <w:pStyle w:val="FootnoteText"/>
        <w:rPr>
          <w:lang w:val="en-AU"/>
        </w:rPr>
      </w:pPr>
      <w:r>
        <w:rPr>
          <w:rStyle w:val="FootnoteReference"/>
        </w:rPr>
        <w:footnoteRef/>
      </w:r>
      <w:r>
        <w:t xml:space="preserve"> </w:t>
      </w:r>
      <w:r w:rsidR="00AF1003" w:rsidRPr="000525C9">
        <w:rPr>
          <w:sz w:val="16"/>
          <w:szCs w:val="16"/>
        </w:rPr>
        <w:t xml:space="preserve">See recommendation 17 </w:t>
      </w:r>
      <w:hyperlink r:id="rId2" w:history="1">
        <w:r w:rsidR="00AF1003" w:rsidRPr="000525C9">
          <w:rPr>
            <w:color w:val="auto"/>
            <w:sz w:val="16"/>
            <w:szCs w:val="16"/>
          </w:rPr>
          <w:t>http://fsi.gov.au/publications/final-report/chapter-3/interchange-fees/</w:t>
        </w:r>
      </w:hyperlink>
      <w:r w:rsidR="00AF1003">
        <w:rPr>
          <w:sz w:val="16"/>
          <w:szCs w:val="16"/>
        </w:rPr>
        <w:t>.  See also</w:t>
      </w:r>
      <w:r w:rsidR="00AF1003">
        <w:t xml:space="preserve"> </w:t>
      </w:r>
      <w:r w:rsidR="009330D6">
        <w:rPr>
          <w:sz w:val="16"/>
          <w:szCs w:val="16"/>
        </w:rPr>
        <w:t xml:space="preserve">rationale for the 2007/2008 review of card payments </w:t>
      </w:r>
      <w:r w:rsidR="004400A4">
        <w:rPr>
          <w:sz w:val="16"/>
          <w:szCs w:val="16"/>
        </w:rPr>
        <w:t>regulation</w:t>
      </w:r>
      <w:r w:rsidR="004400A4" w:rsidRPr="009330D6" w:rsidDel="003E7883">
        <w:rPr>
          <w:sz w:val="16"/>
          <w:szCs w:val="16"/>
        </w:rPr>
        <w:t>;</w:t>
      </w:r>
      <w:r w:rsidR="006A1E4C" w:rsidRPr="003E7883">
        <w:t xml:space="preserve"> </w:t>
      </w:r>
      <w:r w:rsidR="005D31CC" w:rsidRPr="003E7883">
        <w:rPr>
          <w:sz w:val="16"/>
          <w:szCs w:val="16"/>
          <w:lang w:val="en-AU"/>
        </w:rPr>
        <w:t>http://www.reuters.com/article/us-mastercard-lawsuit-britain-idUSKCN11E2S9</w:t>
      </w:r>
      <w:r w:rsidR="00C0798C" w:rsidRPr="00C0798C">
        <w:t xml:space="preserve"> </w:t>
      </w:r>
      <w:r w:rsidR="00C0798C">
        <w:t xml:space="preserve"> </w:t>
      </w:r>
    </w:p>
  </w:footnote>
  <w:footnote w:id="4">
    <w:p w14:paraId="5909AE4B" w14:textId="4A261FDE" w:rsidR="00F97BF9" w:rsidRPr="00C14299" w:rsidRDefault="00A105F6" w:rsidP="00C14299">
      <w:pPr>
        <w:rPr>
          <w:sz w:val="16"/>
          <w:szCs w:val="16"/>
          <w:lang w:val="en-AU"/>
        </w:rPr>
      </w:pPr>
      <w:r>
        <w:rPr>
          <w:rStyle w:val="FootnoteReference"/>
        </w:rPr>
        <w:footnoteRef/>
      </w:r>
      <w:r>
        <w:t xml:space="preserve"> </w:t>
      </w:r>
      <w:r w:rsidR="00F97BF9">
        <w:rPr>
          <w:rFonts w:ascii="Segoe UI" w:hAnsi="Segoe UI" w:cs="Segoe UI"/>
          <w:sz w:val="16"/>
          <w:szCs w:val="16"/>
        </w:rPr>
        <w:t xml:space="preserve">Rules 4.1.1.1., </w:t>
      </w:r>
      <w:r w:rsidR="00FF23CF">
        <w:rPr>
          <w:rFonts w:ascii="Segoe UI" w:hAnsi="Segoe UI" w:cs="Segoe UI"/>
          <w:sz w:val="16"/>
          <w:szCs w:val="16"/>
        </w:rPr>
        <w:t>4.1.2.2, 4.1.24.1 and definitions</w:t>
      </w:r>
      <w:r w:rsidR="00F97BF9">
        <w:rPr>
          <w:rFonts w:ascii="Segoe UI" w:hAnsi="Segoe UI" w:cs="Segoe UI"/>
          <w:sz w:val="16"/>
          <w:szCs w:val="16"/>
        </w:rPr>
        <w:t xml:space="preserve"> at </w:t>
      </w:r>
      <w:hyperlink r:id="rId3" w:history="1">
        <w:r w:rsidR="00F97BF9" w:rsidRPr="005524DF">
          <w:rPr>
            <w:rStyle w:val="Hyperlink"/>
            <w:rFonts w:ascii="Segoe UI" w:hAnsi="Segoe UI" w:cs="Segoe UI"/>
            <w:sz w:val="16"/>
            <w:szCs w:val="16"/>
          </w:rPr>
          <w:t>https://usa.visa.com/dam/VCOM/download/about-visa/visa-rules-public.pdf</w:t>
        </w:r>
      </w:hyperlink>
      <w:r w:rsidR="00F97BF9">
        <w:rPr>
          <w:rFonts w:ascii="Segoe UI" w:hAnsi="Segoe UI" w:cs="Segoe UI"/>
          <w:sz w:val="16"/>
          <w:szCs w:val="16"/>
        </w:rPr>
        <w:t xml:space="preserve"> (</w:t>
      </w:r>
      <w:r w:rsidR="00F97BF9" w:rsidRPr="00F97BF9">
        <w:rPr>
          <w:sz w:val="16"/>
          <w:szCs w:val="16"/>
        </w:rPr>
        <w:t>cut and paste into browser to open</w:t>
      </w:r>
      <w:r w:rsidR="00F97BF9">
        <w:rPr>
          <w:rFonts w:ascii="Segoe UI" w:hAnsi="Segoe UI" w:cs="Segoe UI"/>
          <w:sz w:val="16"/>
          <w:szCs w:val="16"/>
        </w:rPr>
        <w:t>)</w:t>
      </w:r>
    </w:p>
  </w:footnote>
  <w:footnote w:id="5">
    <w:p w14:paraId="64340135" w14:textId="77777777" w:rsidR="00E051F5" w:rsidRPr="00785F21" w:rsidRDefault="00E051F5" w:rsidP="00E051F5">
      <w:pPr>
        <w:rPr>
          <w:lang w:val="en-AU"/>
        </w:rPr>
      </w:pPr>
      <w:r>
        <w:rPr>
          <w:rStyle w:val="FootnoteReference"/>
        </w:rPr>
        <w:footnoteRef/>
      </w:r>
      <w:r>
        <w:t xml:space="preserve"> </w:t>
      </w:r>
      <w:hyperlink r:id="rId4" w:history="1">
        <w:r w:rsidRPr="00521846">
          <w:rPr>
            <w:rStyle w:val="Hyperlink"/>
            <w:rFonts w:ascii="Segoe UI" w:eastAsia="Times New Roman" w:hAnsi="Segoe UI" w:cs="Segoe UI"/>
            <w:sz w:val="16"/>
            <w:szCs w:val="16"/>
          </w:rPr>
          <w:t>http://www.pymnts.com/news/mobile-payments/2016/mastercard-and-visa-tag-team-tokens</w:t>
        </w:r>
      </w:hyperlink>
      <w:r w:rsidRPr="00521846">
        <w:rPr>
          <w:rFonts w:ascii="Segoe UI" w:eastAsia="Times New Roman" w:hAnsi="Segoe UI" w:cs="Segoe UI"/>
          <w:color w:val="000000"/>
          <w:sz w:val="16"/>
          <w:szCs w:val="16"/>
        </w:rPr>
        <w:t>/</w:t>
      </w:r>
    </w:p>
  </w:footnote>
  <w:footnote w:id="6">
    <w:p w14:paraId="3A1F3B33" w14:textId="77777777" w:rsidR="00E051F5" w:rsidRPr="00D64277" w:rsidRDefault="00E051F5" w:rsidP="00E051F5">
      <w:pPr>
        <w:pStyle w:val="FootnoteText"/>
        <w:rPr>
          <w:lang w:val="en-AU"/>
        </w:rPr>
      </w:pPr>
      <w:r>
        <w:rPr>
          <w:rStyle w:val="FootnoteReference"/>
        </w:rPr>
        <w:footnoteRef/>
      </w:r>
      <w:r>
        <w:t xml:space="preserve"> </w:t>
      </w:r>
      <w:hyperlink r:id="rId5" w:history="1">
        <w:r w:rsidRPr="00521846">
          <w:rPr>
            <w:rStyle w:val="Hyperlink"/>
            <w:rFonts w:ascii="Segoe UI" w:eastAsia="Times New Roman" w:hAnsi="Segoe UI" w:cs="Segoe UI"/>
            <w:sz w:val="16"/>
            <w:szCs w:val="16"/>
          </w:rPr>
          <w:t>http://www.fcac-acfc.gc.ca/Eng/forIndustry/publications/lawsReg/Pages/CodeofCo-Codedeco.aspx</w:t>
        </w:r>
      </w:hyperlink>
    </w:p>
  </w:footnote>
  <w:footnote w:id="7">
    <w:p w14:paraId="5B2EF169" w14:textId="77777777" w:rsidR="00E051F5" w:rsidRPr="00DD2741" w:rsidRDefault="00E051F5" w:rsidP="00E051F5">
      <w:pPr>
        <w:pStyle w:val="FootnoteText"/>
        <w:rPr>
          <w:lang w:val="en-AU"/>
        </w:rPr>
      </w:pPr>
      <w:r>
        <w:rPr>
          <w:rStyle w:val="FootnoteReference"/>
        </w:rPr>
        <w:footnoteRef/>
      </w:r>
      <w:r>
        <w:t xml:space="preserve"> </w:t>
      </w:r>
      <w:hyperlink r:id="rId6" w:history="1">
        <w:r w:rsidRPr="00DD2741">
          <w:rPr>
            <w:rStyle w:val="Hyperlink"/>
            <w:rFonts w:ascii="Segoe UI" w:hAnsi="Segoe UI" w:cs="Segoe UI"/>
            <w:sz w:val="16"/>
            <w:szCs w:val="16"/>
          </w:rPr>
          <w:t>https://www.paymentssource.com/opinion/feds-debit-pressure-on-visa-a-welcome-move-for-competition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75" w:type="dxa"/>
      <w:tblLook w:val="00A0" w:firstRow="1" w:lastRow="0" w:firstColumn="1" w:lastColumn="0" w:noHBand="0" w:noVBand="0"/>
    </w:tblPr>
    <w:tblGrid>
      <w:gridCol w:w="6030"/>
      <w:gridCol w:w="2645"/>
    </w:tblGrid>
    <w:tr w:rsidR="00A55CD8" w:rsidRPr="0036448C" w14:paraId="57A69857" w14:textId="77777777">
      <w:tc>
        <w:tcPr>
          <w:tcW w:w="5557" w:type="dxa"/>
        </w:tcPr>
        <w:p w14:paraId="05B63040" w14:textId="77777777" w:rsidR="00A55CD8" w:rsidRPr="009E7F07" w:rsidRDefault="00A55CD8" w:rsidP="0036448C">
          <w:pPr>
            <w:tabs>
              <w:tab w:val="left" w:pos="283"/>
            </w:tabs>
            <w:suppressAutoHyphens/>
            <w:spacing w:after="20"/>
            <w:jc w:val="right"/>
            <w:rPr>
              <w:rFonts w:ascii="Frutiger-Bold" w:hAnsi="Frutiger-Bold" w:cs="Frutiger-Bold"/>
              <w:b/>
              <w:bCs/>
              <w:noProof/>
              <w:color w:val="5A5B5E"/>
              <w:spacing w:val="-2"/>
              <w:sz w:val="15"/>
              <w:szCs w:val="15"/>
            </w:rPr>
          </w:pPr>
        </w:p>
        <w:p w14:paraId="3965BF99" w14:textId="77777777" w:rsidR="00A55CD8" w:rsidRPr="00465147" w:rsidRDefault="00A55CD8" w:rsidP="00465147"/>
        <w:p w14:paraId="0F741AD7" w14:textId="77777777" w:rsidR="00A55CD8" w:rsidRPr="00465147" w:rsidRDefault="00A55CD8" w:rsidP="00465147"/>
        <w:p w14:paraId="74365DCE" w14:textId="77777777" w:rsidR="00A55CD8" w:rsidRPr="00465147" w:rsidRDefault="00A55CD8" w:rsidP="00465147">
          <w:pPr>
            <w:tabs>
              <w:tab w:val="left" w:pos="4430"/>
            </w:tabs>
          </w:pPr>
          <w:r>
            <w:rPr>
              <w:noProof/>
              <w:lang w:val="en-AU" w:eastAsia="en-AU"/>
            </w:rPr>
            <w:drawing>
              <wp:anchor distT="0" distB="0" distL="114300" distR="114300" simplePos="0" relativeHeight="251661312" behindDoc="0" locked="0" layoutInCell="1" allowOverlap="1" wp14:anchorId="3FEF17A3" wp14:editId="526AA1FA">
                <wp:simplePos x="0" y="0"/>
                <wp:positionH relativeFrom="column">
                  <wp:posOffset>-19050</wp:posOffset>
                </wp:positionH>
                <wp:positionV relativeFrom="paragraph">
                  <wp:posOffset>-432435</wp:posOffset>
                </wp:positionV>
                <wp:extent cx="1024890" cy="361315"/>
                <wp:effectExtent l="19050" t="0" r="3810" b="0"/>
                <wp:wrapThrough wrapText="bothSides">
                  <wp:wrapPolygon edited="0">
                    <wp:start x="-401" y="0"/>
                    <wp:lineTo x="-401" y="20499"/>
                    <wp:lineTo x="21680" y="20499"/>
                    <wp:lineTo x="21680" y="0"/>
                    <wp:lineTo x="-401" y="0"/>
                  </wp:wrapPolygon>
                </wp:wrapThrough>
                <wp:docPr id="23" name="Picture 23" descr="Work In Progress: • CLIENTS:EFTPOS:• EFTPOS logos:• New Brand Mark:eftpos Brand Mark:Red:eftpos_BM_Red_RGB_1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 In Progress: • CLIENTS:EFTPOS:• EFTPOS logos:• New Brand Mark:eftpos Brand Mark:Red:eftpos_BM_Red_RGB_10mm.jpg"/>
                        <pic:cNvPicPr>
                          <a:picLocks noChangeAspect="1" noChangeArrowheads="1"/>
                        </pic:cNvPicPr>
                      </pic:nvPicPr>
                      <pic:blipFill>
                        <a:blip r:embed="rId1"/>
                        <a:srcRect/>
                        <a:stretch>
                          <a:fillRect/>
                        </a:stretch>
                      </pic:blipFill>
                      <pic:spPr bwMode="auto">
                        <a:xfrm>
                          <a:off x="0" y="0"/>
                          <a:ext cx="1024890" cy="361315"/>
                        </a:xfrm>
                        <a:prstGeom prst="rect">
                          <a:avLst/>
                        </a:prstGeom>
                        <a:noFill/>
                        <a:ln w="9525">
                          <a:noFill/>
                          <a:miter lim="800000"/>
                          <a:headEnd/>
                          <a:tailEnd/>
                        </a:ln>
                      </pic:spPr>
                    </pic:pic>
                  </a:graphicData>
                </a:graphic>
              </wp:anchor>
            </w:drawing>
          </w:r>
          <w:r>
            <w:tab/>
          </w:r>
        </w:p>
      </w:tc>
      <w:tc>
        <w:tcPr>
          <w:tcW w:w="2438" w:type="dxa"/>
        </w:tcPr>
        <w:p w14:paraId="64B98E69" w14:textId="77777777" w:rsidR="00A55CD8" w:rsidRDefault="00A55CD8" w:rsidP="0036448C">
          <w:pPr>
            <w:tabs>
              <w:tab w:val="left" w:pos="700"/>
            </w:tabs>
            <w:suppressAutoHyphens/>
            <w:spacing w:before="60"/>
            <w:rPr>
              <w:rFonts w:cs="Frutiger-Light"/>
              <w:color w:val="5A5B5E"/>
              <w:spacing w:val="-1"/>
              <w:sz w:val="15"/>
              <w:szCs w:val="15"/>
            </w:rPr>
          </w:pPr>
        </w:p>
        <w:p w14:paraId="3D99459C" w14:textId="77777777" w:rsidR="00A55CD8" w:rsidRDefault="00A55CD8" w:rsidP="0036448C">
          <w:pPr>
            <w:tabs>
              <w:tab w:val="left" w:pos="700"/>
            </w:tabs>
            <w:suppressAutoHyphens/>
            <w:spacing w:before="60"/>
            <w:rPr>
              <w:rFonts w:cs="Frutiger-Light"/>
              <w:color w:val="5A5B5E"/>
              <w:spacing w:val="-1"/>
              <w:sz w:val="15"/>
              <w:szCs w:val="15"/>
            </w:rPr>
          </w:pPr>
        </w:p>
        <w:p w14:paraId="3C1047FD" w14:textId="77777777" w:rsidR="00A55CD8" w:rsidRPr="0036448C" w:rsidRDefault="00A55CD8" w:rsidP="0036448C">
          <w:pPr>
            <w:tabs>
              <w:tab w:val="left" w:pos="700"/>
            </w:tabs>
            <w:suppressAutoHyphens/>
            <w:spacing w:before="60"/>
            <w:rPr>
              <w:rFonts w:cs="Frutiger-Light"/>
              <w:color w:val="5A5B5E"/>
              <w:spacing w:val="-1"/>
              <w:sz w:val="15"/>
              <w:szCs w:val="15"/>
            </w:rPr>
          </w:pPr>
        </w:p>
      </w:tc>
    </w:tr>
  </w:tbl>
  <w:p w14:paraId="2D2F1CDF" w14:textId="77777777" w:rsidR="00A55CD8" w:rsidRPr="0036448C" w:rsidRDefault="00A55CD8" w:rsidP="00DC2C98">
    <w:pPr>
      <w:tabs>
        <w:tab w:val="left" w:pos="283"/>
      </w:tabs>
      <w:suppressAutoHyphens/>
      <w:spacing w:after="20"/>
      <w:jc w:val="right"/>
      <w:rPr>
        <w:rFonts w:ascii="Frutiger-Bold" w:hAnsi="Frutiger-Bold" w:cs="Frutiger-Bold"/>
        <w:b/>
        <w:bCs/>
        <w:color w:val="5A5B5E"/>
        <w:spacing w:val="-2"/>
        <w:sz w:val="15"/>
        <w:szCs w:val="15"/>
      </w:rPr>
    </w:pPr>
  </w:p>
  <w:p w14:paraId="037353A2" w14:textId="77777777" w:rsidR="00A55CD8" w:rsidRPr="00DC2C98" w:rsidRDefault="00A55CD8" w:rsidP="00DC2C98">
    <w:pPr>
      <w:rPr>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61" w:type="dxa"/>
      <w:tblLook w:val="00A0" w:firstRow="1" w:lastRow="0" w:firstColumn="1" w:lastColumn="0" w:noHBand="0" w:noVBand="0"/>
    </w:tblPr>
    <w:tblGrid>
      <w:gridCol w:w="6785"/>
      <w:gridCol w:w="2976"/>
    </w:tblGrid>
    <w:tr w:rsidR="00A55CD8" w:rsidRPr="0036448C" w14:paraId="72E736B1" w14:textId="77777777" w:rsidTr="003848A1">
      <w:trPr>
        <w:trHeight w:val="2978"/>
      </w:trPr>
      <w:tc>
        <w:tcPr>
          <w:tcW w:w="6785" w:type="dxa"/>
        </w:tcPr>
        <w:p w14:paraId="40151967" w14:textId="77777777" w:rsidR="00A55CD8" w:rsidRPr="009E7F07" w:rsidRDefault="00A55CD8" w:rsidP="0036448C">
          <w:pPr>
            <w:tabs>
              <w:tab w:val="left" w:pos="283"/>
            </w:tabs>
            <w:suppressAutoHyphens/>
            <w:spacing w:after="20"/>
            <w:jc w:val="right"/>
            <w:rPr>
              <w:rFonts w:ascii="Frutiger-Bold" w:hAnsi="Frutiger-Bold" w:cs="Frutiger-Bold"/>
              <w:b/>
              <w:bCs/>
              <w:noProof/>
              <w:color w:val="5A5B5E"/>
              <w:spacing w:val="-2"/>
              <w:sz w:val="15"/>
              <w:szCs w:val="15"/>
            </w:rPr>
          </w:pPr>
          <w:r>
            <w:rPr>
              <w:rFonts w:ascii="Frutiger-Bold" w:hAnsi="Frutiger-Bold" w:cs="Frutiger-Bold"/>
              <w:b/>
              <w:bCs/>
              <w:noProof/>
              <w:color w:val="5A5B5E"/>
              <w:spacing w:val="-2"/>
              <w:sz w:val="15"/>
              <w:szCs w:val="15"/>
            </w:rPr>
            <w:t xml:space="preserve"> </w:t>
          </w:r>
        </w:p>
        <w:p w14:paraId="047C4BD4" w14:textId="77777777" w:rsidR="00A55CD8" w:rsidRPr="00465147" w:rsidRDefault="00A55CD8" w:rsidP="00465147"/>
        <w:p w14:paraId="2F75BB77" w14:textId="77777777" w:rsidR="00A55CD8" w:rsidRPr="00465147" w:rsidRDefault="00A55CD8" w:rsidP="00465147"/>
        <w:p w14:paraId="52A58797" w14:textId="77777777" w:rsidR="00A55CD8" w:rsidRPr="00465147" w:rsidRDefault="00A55CD8" w:rsidP="00465147">
          <w:pPr>
            <w:tabs>
              <w:tab w:val="left" w:pos="4430"/>
            </w:tabs>
          </w:pPr>
          <w:r>
            <w:rPr>
              <w:noProof/>
              <w:lang w:val="en-AU" w:eastAsia="en-AU"/>
            </w:rPr>
            <w:drawing>
              <wp:anchor distT="0" distB="0" distL="114300" distR="114300" simplePos="0" relativeHeight="251663360" behindDoc="0" locked="0" layoutInCell="1" allowOverlap="1" wp14:anchorId="5FD4E4E3" wp14:editId="055DB5FB">
                <wp:simplePos x="0" y="0"/>
                <wp:positionH relativeFrom="column">
                  <wp:posOffset>-74930</wp:posOffset>
                </wp:positionH>
                <wp:positionV relativeFrom="paragraph">
                  <wp:posOffset>-434340</wp:posOffset>
                </wp:positionV>
                <wp:extent cx="1031240" cy="361315"/>
                <wp:effectExtent l="19050" t="0" r="0" b="0"/>
                <wp:wrapThrough wrapText="bothSides">
                  <wp:wrapPolygon edited="0">
                    <wp:start x="-399" y="0"/>
                    <wp:lineTo x="-399" y="20499"/>
                    <wp:lineTo x="21547" y="20499"/>
                    <wp:lineTo x="21547" y="0"/>
                    <wp:lineTo x="-399" y="0"/>
                  </wp:wrapPolygon>
                </wp:wrapThrough>
                <wp:docPr id="24" name="Picture 24" descr="Work In Progress: • CLIENTS:EFTPOS:• EFTPOS logos:• New Brand Mark:eftpos Brand Mark:Red:eftpos_BM_Red_RGB_1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 In Progress: • CLIENTS:EFTPOS:• EFTPOS logos:• New Brand Mark:eftpos Brand Mark:Red:eftpos_BM_Red_RGB_10mm.jpg"/>
                        <pic:cNvPicPr>
                          <a:picLocks noChangeAspect="1" noChangeArrowheads="1"/>
                        </pic:cNvPicPr>
                      </pic:nvPicPr>
                      <pic:blipFill>
                        <a:blip r:embed="rId1"/>
                        <a:srcRect/>
                        <a:stretch>
                          <a:fillRect/>
                        </a:stretch>
                      </pic:blipFill>
                      <pic:spPr bwMode="auto">
                        <a:xfrm>
                          <a:off x="0" y="0"/>
                          <a:ext cx="1031240" cy="361315"/>
                        </a:xfrm>
                        <a:prstGeom prst="rect">
                          <a:avLst/>
                        </a:prstGeom>
                        <a:noFill/>
                        <a:ln w="9525">
                          <a:noFill/>
                          <a:miter lim="800000"/>
                          <a:headEnd/>
                          <a:tailEnd/>
                        </a:ln>
                      </pic:spPr>
                    </pic:pic>
                  </a:graphicData>
                </a:graphic>
              </wp:anchor>
            </w:drawing>
          </w:r>
          <w:r>
            <w:tab/>
          </w:r>
        </w:p>
      </w:tc>
      <w:tc>
        <w:tcPr>
          <w:tcW w:w="2976" w:type="dxa"/>
        </w:tcPr>
        <w:p w14:paraId="334F9102" w14:textId="77777777" w:rsidR="00A55CD8" w:rsidRPr="0036448C" w:rsidRDefault="00A55CD8" w:rsidP="0036448C">
          <w:pPr>
            <w:tabs>
              <w:tab w:val="left" w:pos="283"/>
            </w:tabs>
            <w:suppressAutoHyphens/>
            <w:rPr>
              <w:rFonts w:cs="Frutiger-Light"/>
              <w:color w:val="5A5B5E"/>
              <w:spacing w:val="-1"/>
              <w:sz w:val="15"/>
              <w:szCs w:val="15"/>
            </w:rPr>
          </w:pPr>
          <w:r w:rsidRPr="0036448C">
            <w:rPr>
              <w:rFonts w:ascii="Frutiger 65 Bold" w:hAnsi="Frutiger 65 Bold" w:cs="Frutiger-Bold"/>
              <w:bCs/>
              <w:color w:val="5A5B5E"/>
              <w:spacing w:val="-2"/>
              <w:sz w:val="15"/>
              <w:szCs w:val="15"/>
            </w:rPr>
            <w:t>eftpos Payments Australia Limited</w:t>
          </w:r>
          <w:r w:rsidRPr="0036448C">
            <w:rPr>
              <w:rFonts w:ascii="Frutiger-Bold" w:hAnsi="Frutiger-Bold" w:cs="Frutiger-Bold"/>
              <w:b/>
              <w:bCs/>
              <w:color w:val="5A5B5E"/>
              <w:spacing w:val="-2"/>
              <w:sz w:val="15"/>
              <w:szCs w:val="15"/>
            </w:rPr>
            <w:br/>
          </w:r>
          <w:r w:rsidR="002E749B">
            <w:rPr>
              <w:rFonts w:cs="Frutiger-Light"/>
              <w:color w:val="5A5B5E"/>
              <w:spacing w:val="-1"/>
              <w:sz w:val="15"/>
              <w:szCs w:val="15"/>
            </w:rPr>
            <w:t>Suite 1, Level 9</w:t>
          </w:r>
          <w:r w:rsidRPr="0036448C">
            <w:rPr>
              <w:rFonts w:cs="Frutiger-Light"/>
              <w:color w:val="5A5B5E"/>
              <w:spacing w:val="-1"/>
              <w:sz w:val="15"/>
              <w:szCs w:val="15"/>
            </w:rPr>
            <w:t xml:space="preserve"> </w:t>
          </w:r>
          <w:r w:rsidRPr="0036448C">
            <w:rPr>
              <w:rFonts w:cs="Frutiger-Light"/>
              <w:color w:val="5A5B5E"/>
              <w:spacing w:val="-1"/>
              <w:sz w:val="15"/>
              <w:szCs w:val="15"/>
            </w:rPr>
            <w:br/>
          </w:r>
          <w:r w:rsidR="002E749B">
            <w:rPr>
              <w:rFonts w:cs="Frutiger-Light"/>
              <w:color w:val="5A5B5E"/>
              <w:spacing w:val="-1"/>
              <w:sz w:val="15"/>
              <w:szCs w:val="15"/>
            </w:rPr>
            <w:t xml:space="preserve">60 Carrington </w:t>
          </w:r>
          <w:r w:rsidRPr="0036448C">
            <w:rPr>
              <w:rFonts w:cs="Frutiger-Light"/>
              <w:color w:val="5A5B5E"/>
              <w:spacing w:val="-1"/>
              <w:sz w:val="15"/>
              <w:szCs w:val="15"/>
            </w:rPr>
            <w:t xml:space="preserve">Street </w:t>
          </w:r>
          <w:r w:rsidRPr="0036448C">
            <w:rPr>
              <w:rFonts w:cs="Frutiger-Light"/>
              <w:color w:val="5A5B5E"/>
              <w:spacing w:val="-1"/>
              <w:sz w:val="15"/>
              <w:szCs w:val="15"/>
            </w:rPr>
            <w:br/>
            <w:t>Sydney NSW 2000</w:t>
          </w:r>
        </w:p>
        <w:p w14:paraId="0E7ADBD0" w14:textId="77777777" w:rsidR="00A55CD8" w:rsidRPr="0036448C" w:rsidRDefault="00A55CD8" w:rsidP="0036448C">
          <w:pPr>
            <w:tabs>
              <w:tab w:val="left" w:pos="283"/>
            </w:tabs>
            <w:suppressAutoHyphens/>
            <w:spacing w:before="60"/>
            <w:rPr>
              <w:rFonts w:cs="Frutiger-Light"/>
              <w:color w:val="5A5B5E"/>
              <w:spacing w:val="-3"/>
              <w:sz w:val="15"/>
              <w:szCs w:val="15"/>
            </w:rPr>
          </w:pPr>
          <w:r w:rsidRPr="0036448C">
            <w:rPr>
              <w:rFonts w:cs="Frutiger-Light"/>
              <w:color w:val="5A5B5E"/>
              <w:spacing w:val="-1"/>
              <w:sz w:val="15"/>
              <w:szCs w:val="15"/>
            </w:rPr>
            <w:t>GPO Box 126</w:t>
          </w:r>
          <w:r w:rsidRPr="0036448C">
            <w:rPr>
              <w:rFonts w:cs="Frutiger-Light"/>
              <w:color w:val="5A5B5E"/>
              <w:spacing w:val="-1"/>
              <w:sz w:val="15"/>
              <w:szCs w:val="15"/>
            </w:rPr>
            <w:br/>
            <w:t>Sydney NSW 2001</w:t>
          </w:r>
        </w:p>
        <w:p w14:paraId="1A4F6520" w14:textId="77777777" w:rsidR="00A55CD8" w:rsidRPr="0036448C" w:rsidRDefault="00A55CD8" w:rsidP="00732949">
          <w:pPr>
            <w:tabs>
              <w:tab w:val="left" w:pos="700"/>
            </w:tabs>
            <w:suppressAutoHyphens/>
            <w:spacing w:before="60"/>
            <w:rPr>
              <w:rFonts w:cs="Frutiger-Light"/>
              <w:color w:val="5A5B5E"/>
              <w:spacing w:val="-1"/>
              <w:sz w:val="15"/>
              <w:szCs w:val="15"/>
            </w:rPr>
          </w:pPr>
          <w:r w:rsidRPr="0036448C">
            <w:rPr>
              <w:rFonts w:cs="Frutiger-Light"/>
              <w:color w:val="5A5B5E"/>
              <w:spacing w:val="-3"/>
              <w:sz w:val="15"/>
              <w:szCs w:val="15"/>
            </w:rPr>
            <w:t>Telephone</w:t>
          </w:r>
          <w:r w:rsidRPr="0036448C">
            <w:rPr>
              <w:rFonts w:cs="Frutiger-Light"/>
              <w:color w:val="5A5B5E"/>
              <w:spacing w:val="-3"/>
              <w:sz w:val="15"/>
              <w:szCs w:val="15"/>
            </w:rPr>
            <w:tab/>
          </w:r>
          <w:r>
            <w:rPr>
              <w:rFonts w:cs="Frutiger-Light"/>
              <w:color w:val="5A5B5E"/>
              <w:spacing w:val="-3"/>
              <w:sz w:val="15"/>
              <w:szCs w:val="15"/>
            </w:rPr>
            <w:t xml:space="preserve"> </w:t>
          </w:r>
          <w:r w:rsidRPr="0036448C">
            <w:rPr>
              <w:rFonts w:cs="Frutiger-Light"/>
              <w:color w:val="5A5B5E"/>
              <w:spacing w:val="-3"/>
              <w:sz w:val="15"/>
              <w:szCs w:val="15"/>
            </w:rPr>
            <w:t>+61 2 8270 1800</w:t>
          </w:r>
          <w:r w:rsidRPr="0036448C">
            <w:rPr>
              <w:rFonts w:cs="Frutiger-Light"/>
              <w:color w:val="5A5B5E"/>
              <w:spacing w:val="-3"/>
              <w:sz w:val="15"/>
              <w:szCs w:val="15"/>
            </w:rPr>
            <w:br/>
            <w:t>Facsimile</w:t>
          </w:r>
          <w:r w:rsidRPr="0036448C">
            <w:rPr>
              <w:rFonts w:cs="Frutiger-Light"/>
              <w:color w:val="5A5B5E"/>
              <w:spacing w:val="-3"/>
              <w:sz w:val="15"/>
              <w:szCs w:val="15"/>
            </w:rPr>
            <w:tab/>
            <w:t>+61 2 9299 2885</w:t>
          </w:r>
          <w:r w:rsidRPr="0036448C">
            <w:rPr>
              <w:rFonts w:cs="Frutiger-Light"/>
              <w:color w:val="5A5B5E"/>
              <w:spacing w:val="-1"/>
              <w:sz w:val="15"/>
              <w:szCs w:val="15"/>
            </w:rPr>
            <w:br/>
            <w:t>eftpos</w:t>
          </w:r>
          <w:r>
            <w:rPr>
              <w:rFonts w:cs="Frutiger-Light"/>
              <w:color w:val="5A5B5E"/>
              <w:spacing w:val="-1"/>
              <w:sz w:val="15"/>
              <w:szCs w:val="15"/>
            </w:rPr>
            <w:t>australia</w:t>
          </w:r>
          <w:r w:rsidRPr="0036448C">
            <w:rPr>
              <w:rFonts w:cs="Frutiger-Light"/>
              <w:color w:val="5A5B5E"/>
              <w:spacing w:val="-1"/>
              <w:sz w:val="15"/>
              <w:szCs w:val="15"/>
            </w:rPr>
            <w:t>.com.au</w:t>
          </w:r>
        </w:p>
      </w:tc>
    </w:tr>
  </w:tbl>
  <w:p w14:paraId="2B2A1BBD" w14:textId="77777777" w:rsidR="00A55CD8" w:rsidRPr="00213C6A" w:rsidRDefault="00A55CD8" w:rsidP="00213C6A">
    <w:pPr>
      <w:pStyle w:val="Header"/>
      <w:rPr>
        <w:rFonts w:ascii="Segoe UI" w:hAnsi="Segoe UI" w:cs="Segoe U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4EE62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8C82636"/>
    <w:lvl w:ilvl="0">
      <w:start w:val="1"/>
      <w:numFmt w:val="decimal"/>
      <w:lvlText w:val="%1."/>
      <w:lvlJc w:val="left"/>
      <w:pPr>
        <w:tabs>
          <w:tab w:val="num" w:pos="1492"/>
        </w:tabs>
        <w:ind w:left="1492" w:hanging="360"/>
      </w:pPr>
    </w:lvl>
  </w:abstractNum>
  <w:abstractNum w:abstractNumId="2">
    <w:nsid w:val="FFFFFF7D"/>
    <w:multiLevelType w:val="singleLevel"/>
    <w:tmpl w:val="5FD0453A"/>
    <w:lvl w:ilvl="0">
      <w:start w:val="1"/>
      <w:numFmt w:val="decimal"/>
      <w:lvlText w:val="%1."/>
      <w:lvlJc w:val="left"/>
      <w:pPr>
        <w:tabs>
          <w:tab w:val="num" w:pos="1209"/>
        </w:tabs>
        <w:ind w:left="1209" w:hanging="360"/>
      </w:pPr>
    </w:lvl>
  </w:abstractNum>
  <w:abstractNum w:abstractNumId="3">
    <w:nsid w:val="FFFFFF7E"/>
    <w:multiLevelType w:val="singleLevel"/>
    <w:tmpl w:val="65863706"/>
    <w:lvl w:ilvl="0">
      <w:start w:val="1"/>
      <w:numFmt w:val="decimal"/>
      <w:lvlText w:val="%1."/>
      <w:lvlJc w:val="left"/>
      <w:pPr>
        <w:tabs>
          <w:tab w:val="num" w:pos="926"/>
        </w:tabs>
        <w:ind w:left="926" w:hanging="360"/>
      </w:pPr>
    </w:lvl>
  </w:abstractNum>
  <w:abstractNum w:abstractNumId="4">
    <w:nsid w:val="FFFFFF7F"/>
    <w:multiLevelType w:val="singleLevel"/>
    <w:tmpl w:val="353A662E"/>
    <w:lvl w:ilvl="0">
      <w:start w:val="1"/>
      <w:numFmt w:val="decimal"/>
      <w:lvlText w:val="%1."/>
      <w:lvlJc w:val="left"/>
      <w:pPr>
        <w:tabs>
          <w:tab w:val="num" w:pos="643"/>
        </w:tabs>
        <w:ind w:left="643" w:hanging="360"/>
      </w:pPr>
    </w:lvl>
  </w:abstractNum>
  <w:abstractNum w:abstractNumId="5">
    <w:nsid w:val="FFFFFF80"/>
    <w:multiLevelType w:val="singleLevel"/>
    <w:tmpl w:val="31EC79E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DF6ED60"/>
    <w:lvl w:ilvl="0">
      <w:start w:val="1"/>
      <w:numFmt w:val="bullet"/>
      <w:lvlText w:val=""/>
      <w:lvlJc w:val="left"/>
      <w:pPr>
        <w:tabs>
          <w:tab w:val="num" w:pos="1209"/>
        </w:tabs>
        <w:ind w:left="1209" w:hanging="360"/>
      </w:pPr>
      <w:rPr>
        <w:rFonts w:ascii="Symbol" w:hAnsi="Symbol" w:hint="default"/>
      </w:rPr>
    </w:lvl>
  </w:abstractNum>
  <w:abstractNum w:abstractNumId="7">
    <w:nsid w:val="FFFFFF88"/>
    <w:multiLevelType w:val="singleLevel"/>
    <w:tmpl w:val="5BB2384C"/>
    <w:lvl w:ilvl="0">
      <w:start w:val="1"/>
      <w:numFmt w:val="decimal"/>
      <w:lvlText w:val="%1."/>
      <w:lvlJc w:val="left"/>
      <w:pPr>
        <w:tabs>
          <w:tab w:val="num" w:pos="360"/>
        </w:tabs>
        <w:ind w:left="360" w:hanging="360"/>
      </w:pPr>
    </w:lvl>
  </w:abstractNum>
  <w:abstractNum w:abstractNumId="8">
    <w:nsid w:val="FFFFFF89"/>
    <w:multiLevelType w:val="singleLevel"/>
    <w:tmpl w:val="6658D338"/>
    <w:lvl w:ilvl="0">
      <w:start w:val="1"/>
      <w:numFmt w:val="bullet"/>
      <w:lvlText w:val=""/>
      <w:lvlJc w:val="left"/>
      <w:pPr>
        <w:tabs>
          <w:tab w:val="num" w:pos="360"/>
        </w:tabs>
        <w:ind w:left="360" w:hanging="360"/>
      </w:pPr>
      <w:rPr>
        <w:rFonts w:ascii="Symbol" w:hAnsi="Symbol" w:hint="default"/>
      </w:rPr>
    </w:lvl>
  </w:abstractNum>
  <w:abstractNum w:abstractNumId="9">
    <w:nsid w:val="01AD7E73"/>
    <w:multiLevelType w:val="singleLevel"/>
    <w:tmpl w:val="04090019"/>
    <w:lvl w:ilvl="0">
      <w:start w:val="1"/>
      <w:numFmt w:val="lowerLetter"/>
      <w:lvlText w:val="(%1)"/>
      <w:lvlJc w:val="left"/>
      <w:pPr>
        <w:tabs>
          <w:tab w:val="num" w:pos="360"/>
        </w:tabs>
        <w:ind w:left="360" w:hanging="360"/>
      </w:pPr>
    </w:lvl>
  </w:abstractNum>
  <w:abstractNum w:abstractNumId="10">
    <w:nsid w:val="05873FD6"/>
    <w:multiLevelType w:val="hybridMultilevel"/>
    <w:tmpl w:val="8982C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11">
    <w:nsid w:val="0E296FD3"/>
    <w:multiLevelType w:val="multilevel"/>
    <w:tmpl w:val="2474C4B0"/>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2">
    <w:nsid w:val="0E7136BD"/>
    <w:multiLevelType w:val="multilevel"/>
    <w:tmpl w:val="2514C58C"/>
    <w:lvl w:ilvl="0">
      <w:start w:val="1"/>
      <w:numFmt w:val="decimal"/>
      <w:lvlText w:val="%1"/>
      <w:lvlJc w:val="left"/>
      <w:pPr>
        <w:tabs>
          <w:tab w:val="num" w:pos="720"/>
        </w:tabs>
        <w:ind w:left="720" w:hanging="720"/>
      </w:pPr>
      <w:rPr>
        <w:rFonts w:ascii="Verdana" w:hAnsi="Verdana" w:hint="default"/>
        <w:b w:val="0"/>
        <w:i w:val="0"/>
        <w:sz w:val="20"/>
      </w:rPr>
    </w:lvl>
    <w:lvl w:ilvl="1">
      <w:start w:val="1"/>
      <w:numFmt w:val="decimal"/>
      <w:lvlText w:val="%1.%2"/>
      <w:lvlJc w:val="left"/>
      <w:pPr>
        <w:tabs>
          <w:tab w:val="num" w:pos="720"/>
        </w:tabs>
        <w:ind w:left="720" w:hanging="720"/>
      </w:pPr>
      <w:rPr>
        <w:rFonts w:ascii="Verdana" w:hAnsi="Verdana" w:hint="default"/>
        <w:b w:val="0"/>
        <w:i w:val="0"/>
        <w:sz w:val="20"/>
      </w:rPr>
    </w:lvl>
    <w:lvl w:ilvl="2">
      <w:start w:val="1"/>
      <w:numFmt w:val="lowerLetter"/>
      <w:lvlText w:val="(%3)"/>
      <w:lvlJc w:val="left"/>
      <w:pPr>
        <w:tabs>
          <w:tab w:val="num" w:pos="1440"/>
        </w:tabs>
        <w:ind w:left="1440" w:hanging="720"/>
      </w:pPr>
      <w:rPr>
        <w:rFonts w:ascii="Verdana" w:hAnsi="Verdana" w:hint="default"/>
        <w:b w:val="0"/>
        <w:i w:val="0"/>
        <w:sz w:val="20"/>
      </w:rPr>
    </w:lvl>
    <w:lvl w:ilvl="3">
      <w:start w:val="1"/>
      <w:numFmt w:val="lowerRoman"/>
      <w:lvlText w:val="(%4)"/>
      <w:lvlJc w:val="left"/>
      <w:pPr>
        <w:tabs>
          <w:tab w:val="num" w:pos="2160"/>
        </w:tabs>
        <w:ind w:left="2160" w:hanging="720"/>
      </w:pPr>
      <w:rPr>
        <w:rFonts w:ascii="Verdana" w:hAnsi="Verdana" w:hint="default"/>
        <w:b w:val="0"/>
        <w:i w:val="0"/>
        <w:sz w:val="20"/>
      </w:rPr>
    </w:lvl>
    <w:lvl w:ilvl="4">
      <w:start w:val="1"/>
      <w:numFmt w:val="upperLetter"/>
      <w:lvlText w:val="(%5)"/>
      <w:lvlJc w:val="left"/>
      <w:pPr>
        <w:tabs>
          <w:tab w:val="num" w:pos="2880"/>
        </w:tabs>
        <w:ind w:left="2880" w:hanging="720"/>
      </w:pPr>
      <w:rPr>
        <w:rFonts w:ascii="Verdana" w:hAnsi="Verdana" w:hint="default"/>
        <w:b w:val="0"/>
        <w:i w:val="0"/>
        <w:sz w:val="20"/>
      </w:rPr>
    </w:lvl>
    <w:lvl w:ilvl="5">
      <w:start w:val="1"/>
      <w:numFmt w:val="decimal"/>
      <w:lvlText w:val="(%6)"/>
      <w:lvlJc w:val="left"/>
      <w:pPr>
        <w:tabs>
          <w:tab w:val="num" w:pos="3600"/>
        </w:tabs>
        <w:ind w:left="3600" w:hanging="720"/>
      </w:pPr>
      <w:rPr>
        <w:rFonts w:ascii="Verdana" w:hAnsi="Verdana" w:hint="default"/>
        <w:b w:val="0"/>
        <w:i w:val="0"/>
        <w:sz w:val="20"/>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113C4B44"/>
    <w:multiLevelType w:val="multilevel"/>
    <w:tmpl w:val="4E5C847A"/>
    <w:styleLink w:val="Indents"/>
    <w:lvl w:ilvl="0">
      <w:start w:val="1"/>
      <w:numFmt w:val="none"/>
      <w:pStyle w:val="PwCNormal"/>
      <w:suff w:val="nothing"/>
      <w:lvlText w:val=""/>
      <w:lvlJc w:val="left"/>
      <w:pPr>
        <w:ind w:left="0" w:firstLine="0"/>
      </w:pPr>
      <w:rPr>
        <w:rFonts w:hint="default"/>
        <w:color w:val="auto"/>
      </w:rPr>
    </w:lvl>
    <w:lvl w:ilvl="1">
      <w:start w:val="1"/>
      <w:numFmt w:val="none"/>
      <w:pStyle w:val="Indent1"/>
      <w:suff w:val="nothing"/>
      <w:lvlText w:val=""/>
      <w:lvlJc w:val="left"/>
      <w:pPr>
        <w:ind w:left="567" w:firstLine="0"/>
      </w:pPr>
      <w:rPr>
        <w:rFonts w:hint="default"/>
      </w:rPr>
    </w:lvl>
    <w:lvl w:ilvl="2">
      <w:start w:val="1"/>
      <w:numFmt w:val="none"/>
      <w:pStyle w:val="Indent2"/>
      <w:suff w:val="nothing"/>
      <w:lvlText w:val=""/>
      <w:lvlJc w:val="left"/>
      <w:pPr>
        <w:ind w:left="1134" w:firstLine="0"/>
      </w:pPr>
      <w:rPr>
        <w:rFonts w:hint="default"/>
      </w:rPr>
    </w:lvl>
    <w:lvl w:ilvl="3">
      <w:start w:val="1"/>
      <w:numFmt w:val="none"/>
      <w:pStyle w:val="Indent3"/>
      <w:suff w:val="nothing"/>
      <w:lvlText w:val=""/>
      <w:lvlJc w:val="left"/>
      <w:pPr>
        <w:ind w:left="1701" w:firstLine="0"/>
      </w:pPr>
      <w:rPr>
        <w:rFonts w:hint="default"/>
      </w:rPr>
    </w:lvl>
    <w:lvl w:ilvl="4">
      <w:start w:val="1"/>
      <w:numFmt w:val="none"/>
      <w:pStyle w:val="Indent4"/>
      <w:suff w:val="nothing"/>
      <w:lvlText w:val=""/>
      <w:lvlJc w:val="left"/>
      <w:pPr>
        <w:ind w:left="2268" w:firstLine="0"/>
      </w:pPr>
      <w:rPr>
        <w:rFonts w:hint="default"/>
      </w:rPr>
    </w:lvl>
    <w:lvl w:ilvl="5">
      <w:start w:val="1"/>
      <w:numFmt w:val="none"/>
      <w:pStyle w:val="Indent5"/>
      <w:suff w:val="nothing"/>
      <w:lvlText w:val=""/>
      <w:lvlJc w:val="left"/>
      <w:pPr>
        <w:ind w:left="2835" w:firstLine="0"/>
      </w:pPr>
      <w:rPr>
        <w:rFonts w:hint="default"/>
      </w:rPr>
    </w:lvl>
    <w:lvl w:ilvl="6">
      <w:start w:val="1"/>
      <w:numFmt w:val="none"/>
      <w:pStyle w:val="Indent6"/>
      <w:suff w:val="nothing"/>
      <w:lvlText w:val=""/>
      <w:lvlJc w:val="left"/>
      <w:pPr>
        <w:ind w:left="3402" w:firstLine="0"/>
      </w:pPr>
      <w:rPr>
        <w:rFonts w:hint="default"/>
      </w:rPr>
    </w:lvl>
    <w:lvl w:ilvl="7">
      <w:start w:val="1"/>
      <w:numFmt w:val="none"/>
      <w:pStyle w:val="Indent7"/>
      <w:suff w:val="nothing"/>
      <w:lvlText w:val=""/>
      <w:lvlJc w:val="left"/>
      <w:pPr>
        <w:ind w:left="3969" w:firstLine="0"/>
      </w:pPr>
      <w:rPr>
        <w:rFonts w:hint="default"/>
      </w:rPr>
    </w:lvl>
    <w:lvl w:ilvl="8">
      <w:start w:val="1"/>
      <w:numFmt w:val="none"/>
      <w:pStyle w:val="Indent8"/>
      <w:suff w:val="nothing"/>
      <w:lvlText w:val=""/>
      <w:lvlJc w:val="left"/>
      <w:pPr>
        <w:ind w:left="4536" w:firstLine="0"/>
      </w:pPr>
      <w:rPr>
        <w:rFonts w:hint="default"/>
      </w:rPr>
    </w:lvl>
  </w:abstractNum>
  <w:abstractNum w:abstractNumId="14">
    <w:nsid w:val="1F7A536A"/>
    <w:multiLevelType w:val="multilevel"/>
    <w:tmpl w:val="F54871D6"/>
    <w:lvl w:ilvl="0">
      <w:start w:val="1"/>
      <w:numFmt w:val="decimal"/>
      <w:pStyle w:val="NumberLetter2"/>
      <w:lvlText w:val="%1."/>
      <w:lvlJc w:val="left"/>
      <w:pPr>
        <w:tabs>
          <w:tab w:val="num" w:pos="432"/>
        </w:tabs>
        <w:ind w:left="43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288"/>
      </w:pPr>
      <w:rPr>
        <w:rFonts w:ascii="Arial" w:hAnsi="Arial" w:hint="default"/>
        <w:b w:val="0"/>
        <w:i w:val="0"/>
        <w:color w:val="auto"/>
        <w:sz w:val="20"/>
      </w:rPr>
    </w:lvl>
    <w:lvl w:ilvl="2">
      <w:start w:val="1"/>
      <w:numFmt w:val="decimal"/>
      <w:lvlText w:val="(%3)"/>
      <w:lvlJc w:val="left"/>
      <w:pPr>
        <w:tabs>
          <w:tab w:val="num" w:pos="1080"/>
        </w:tabs>
        <w:ind w:left="1080" w:hanging="432"/>
      </w:pPr>
      <w:rPr>
        <w:rFonts w:ascii="Arial" w:hAnsi="Arial" w:hint="default"/>
        <w:b w:val="0"/>
        <w:i w:val="0"/>
        <w:sz w:val="20"/>
      </w:rPr>
    </w:lvl>
    <w:lvl w:ilvl="3">
      <w:start w:val="1"/>
      <w:numFmt w:val="none"/>
      <w:lvlText w:val=""/>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5">
    <w:nsid w:val="200805F8"/>
    <w:multiLevelType w:val="hybridMultilevel"/>
    <w:tmpl w:val="1FCE9CC8"/>
    <w:lvl w:ilvl="0" w:tplc="EE980572">
      <w:numFmt w:val="bullet"/>
      <w:lvlText w:val=""/>
      <w:lvlJc w:val="left"/>
      <w:pPr>
        <w:ind w:left="720" w:hanging="360"/>
      </w:pPr>
      <w:rPr>
        <w:rFonts w:ascii="WP TypographicSymbols" w:eastAsiaTheme="minorHAnsi" w:hAnsi="WP TypographicSymbol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1E87FE8"/>
    <w:multiLevelType w:val="hybridMultilevel"/>
    <w:tmpl w:val="8E8069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7DF5082"/>
    <w:multiLevelType w:val="hybridMultilevel"/>
    <w:tmpl w:val="B338EE9C"/>
    <w:lvl w:ilvl="0" w:tplc="B008CEF2">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8864E9D"/>
    <w:multiLevelType w:val="multilevel"/>
    <w:tmpl w:val="E0B6592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303636EF"/>
    <w:multiLevelType w:val="hybridMultilevel"/>
    <w:tmpl w:val="E7148F06"/>
    <w:lvl w:ilvl="0" w:tplc="EB7812A6">
      <w:start w:val="8"/>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24649D2"/>
    <w:multiLevelType w:val="hybridMultilevel"/>
    <w:tmpl w:val="044A019C"/>
    <w:lvl w:ilvl="0" w:tplc="93B06520">
      <w:start w:val="1"/>
      <w:numFmt w:val="lowerLetter"/>
      <w:lvlText w:val="(%1)"/>
      <w:lvlJc w:val="left"/>
      <w:pPr>
        <w:tabs>
          <w:tab w:val="num" w:pos="987"/>
        </w:tabs>
        <w:ind w:left="987" w:hanging="360"/>
      </w:pPr>
      <w:rPr>
        <w:rFonts w:hint="default"/>
      </w:rPr>
    </w:lvl>
    <w:lvl w:ilvl="1" w:tplc="0C090019" w:tentative="1">
      <w:start w:val="1"/>
      <w:numFmt w:val="lowerLetter"/>
      <w:lvlText w:val="%2."/>
      <w:lvlJc w:val="left"/>
      <w:pPr>
        <w:tabs>
          <w:tab w:val="num" w:pos="1707"/>
        </w:tabs>
        <w:ind w:left="1707" w:hanging="360"/>
      </w:pPr>
    </w:lvl>
    <w:lvl w:ilvl="2" w:tplc="0C09001B" w:tentative="1">
      <w:start w:val="1"/>
      <w:numFmt w:val="lowerRoman"/>
      <w:lvlText w:val="%3."/>
      <w:lvlJc w:val="right"/>
      <w:pPr>
        <w:tabs>
          <w:tab w:val="num" w:pos="2427"/>
        </w:tabs>
        <w:ind w:left="2427" w:hanging="180"/>
      </w:pPr>
    </w:lvl>
    <w:lvl w:ilvl="3" w:tplc="0C09000F" w:tentative="1">
      <w:start w:val="1"/>
      <w:numFmt w:val="decimal"/>
      <w:lvlText w:val="%4."/>
      <w:lvlJc w:val="left"/>
      <w:pPr>
        <w:tabs>
          <w:tab w:val="num" w:pos="3147"/>
        </w:tabs>
        <w:ind w:left="3147" w:hanging="360"/>
      </w:pPr>
    </w:lvl>
    <w:lvl w:ilvl="4" w:tplc="0C090019" w:tentative="1">
      <w:start w:val="1"/>
      <w:numFmt w:val="lowerLetter"/>
      <w:lvlText w:val="%5."/>
      <w:lvlJc w:val="left"/>
      <w:pPr>
        <w:tabs>
          <w:tab w:val="num" w:pos="3867"/>
        </w:tabs>
        <w:ind w:left="3867" w:hanging="360"/>
      </w:pPr>
    </w:lvl>
    <w:lvl w:ilvl="5" w:tplc="0C09001B" w:tentative="1">
      <w:start w:val="1"/>
      <w:numFmt w:val="lowerRoman"/>
      <w:lvlText w:val="%6."/>
      <w:lvlJc w:val="right"/>
      <w:pPr>
        <w:tabs>
          <w:tab w:val="num" w:pos="4587"/>
        </w:tabs>
        <w:ind w:left="4587" w:hanging="180"/>
      </w:pPr>
    </w:lvl>
    <w:lvl w:ilvl="6" w:tplc="0C09000F" w:tentative="1">
      <w:start w:val="1"/>
      <w:numFmt w:val="decimal"/>
      <w:lvlText w:val="%7."/>
      <w:lvlJc w:val="left"/>
      <w:pPr>
        <w:tabs>
          <w:tab w:val="num" w:pos="5307"/>
        </w:tabs>
        <w:ind w:left="5307" w:hanging="360"/>
      </w:pPr>
    </w:lvl>
    <w:lvl w:ilvl="7" w:tplc="0C090019" w:tentative="1">
      <w:start w:val="1"/>
      <w:numFmt w:val="lowerLetter"/>
      <w:lvlText w:val="%8."/>
      <w:lvlJc w:val="left"/>
      <w:pPr>
        <w:tabs>
          <w:tab w:val="num" w:pos="6027"/>
        </w:tabs>
        <w:ind w:left="6027" w:hanging="360"/>
      </w:pPr>
    </w:lvl>
    <w:lvl w:ilvl="8" w:tplc="0C09001B" w:tentative="1">
      <w:start w:val="1"/>
      <w:numFmt w:val="lowerRoman"/>
      <w:lvlText w:val="%9."/>
      <w:lvlJc w:val="right"/>
      <w:pPr>
        <w:tabs>
          <w:tab w:val="num" w:pos="6747"/>
        </w:tabs>
        <w:ind w:left="6747" w:hanging="180"/>
      </w:pPr>
    </w:lvl>
  </w:abstractNum>
  <w:abstractNum w:abstractNumId="21">
    <w:nsid w:val="47E851E3"/>
    <w:multiLevelType w:val="hybridMultilevel"/>
    <w:tmpl w:val="C91E3C6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4B4D11B1"/>
    <w:multiLevelType w:val="hybridMultilevel"/>
    <w:tmpl w:val="45925B9C"/>
    <w:lvl w:ilvl="0" w:tplc="27506BDC">
      <w:start w:val="8"/>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6A7022A"/>
    <w:multiLevelType w:val="hybridMultilevel"/>
    <w:tmpl w:val="B54A4F84"/>
    <w:lvl w:ilvl="0" w:tplc="DE0C17A0">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E4E31F4"/>
    <w:multiLevelType w:val="multilevel"/>
    <w:tmpl w:val="B06CA7A0"/>
    <w:lvl w:ilvl="0">
      <w:start w:val="8"/>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nsid w:val="5F675013"/>
    <w:multiLevelType w:val="singleLevel"/>
    <w:tmpl w:val="F36E7860"/>
    <w:lvl w:ilvl="0">
      <w:start w:val="1"/>
      <w:numFmt w:val="decimal"/>
      <w:lvlText w:val="%1."/>
      <w:lvlJc w:val="left"/>
      <w:pPr>
        <w:tabs>
          <w:tab w:val="num" w:pos="360"/>
        </w:tabs>
        <w:ind w:left="360" w:hanging="360"/>
      </w:pPr>
      <w:rPr>
        <w:rFonts w:hint="default"/>
        <w:b w:val="0"/>
        <w:i w:val="0"/>
      </w:rPr>
    </w:lvl>
  </w:abstractNum>
  <w:abstractNum w:abstractNumId="26">
    <w:nsid w:val="618E5723"/>
    <w:multiLevelType w:val="hybridMultilevel"/>
    <w:tmpl w:val="F0940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3917BB9"/>
    <w:multiLevelType w:val="multilevel"/>
    <w:tmpl w:val="4E5C847A"/>
    <w:numStyleLink w:val="Indents"/>
  </w:abstractNum>
  <w:abstractNum w:abstractNumId="28">
    <w:nsid w:val="76A32A1E"/>
    <w:multiLevelType w:val="hybridMultilevel"/>
    <w:tmpl w:val="F3B2BD82"/>
    <w:lvl w:ilvl="0" w:tplc="D1624B44">
      <w:start w:val="8"/>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6BB2562"/>
    <w:multiLevelType w:val="multilevel"/>
    <w:tmpl w:val="38149F0A"/>
    <w:lvl w:ilvl="0">
      <w:start w:val="4"/>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0">
    <w:nsid w:val="79B316E0"/>
    <w:multiLevelType w:val="multilevel"/>
    <w:tmpl w:val="7D44302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nsid w:val="7D2418D9"/>
    <w:multiLevelType w:val="hybridMultilevel"/>
    <w:tmpl w:val="FE746294"/>
    <w:lvl w:ilvl="0" w:tplc="5F687514">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5"/>
  </w:num>
  <w:num w:numId="3">
    <w:abstractNumId w:val="7"/>
  </w:num>
  <w:num w:numId="4">
    <w:abstractNumId w:val="4"/>
  </w:num>
  <w:num w:numId="5">
    <w:abstractNumId w:val="3"/>
  </w:num>
  <w:num w:numId="6">
    <w:abstractNumId w:val="2"/>
  </w:num>
  <w:num w:numId="7">
    <w:abstractNumId w:val="1"/>
  </w:num>
  <w:num w:numId="8">
    <w:abstractNumId w:val="0"/>
  </w:num>
  <w:num w:numId="9">
    <w:abstractNumId w:val="6"/>
  </w:num>
  <w:num w:numId="10">
    <w:abstractNumId w:val="8"/>
  </w:num>
  <w:num w:numId="11">
    <w:abstractNumId w:val="12"/>
  </w:num>
  <w:num w:numId="12">
    <w:abstractNumId w:val="30"/>
  </w:num>
  <w:num w:numId="13">
    <w:abstractNumId w:val="29"/>
  </w:num>
  <w:num w:numId="14">
    <w:abstractNumId w:val="21"/>
  </w:num>
  <w:num w:numId="15">
    <w:abstractNumId w:val="22"/>
  </w:num>
  <w:num w:numId="16">
    <w:abstractNumId w:val="28"/>
  </w:num>
  <w:num w:numId="17">
    <w:abstractNumId w:val="18"/>
  </w:num>
  <w:num w:numId="18">
    <w:abstractNumId w:val="19"/>
  </w:num>
  <w:num w:numId="19">
    <w:abstractNumId w:val="24"/>
  </w:num>
  <w:num w:numId="20">
    <w:abstractNumId w:val="17"/>
  </w:num>
  <w:num w:numId="21">
    <w:abstractNumId w:val="31"/>
  </w:num>
  <w:num w:numId="22">
    <w:abstractNumId w:val="23"/>
  </w:num>
  <w:num w:numId="23">
    <w:abstractNumId w:val="25"/>
  </w:num>
  <w:num w:numId="24">
    <w:abstractNumId w:val="20"/>
  </w:num>
  <w:num w:numId="25">
    <w:abstractNumId w:val="9"/>
  </w:num>
  <w:num w:numId="26">
    <w:abstractNumId w:val="14"/>
  </w:num>
  <w:num w:numId="27">
    <w:abstractNumId w:val="13"/>
  </w:num>
  <w:num w:numId="28">
    <w:abstractNumId w:val="27"/>
  </w:num>
  <w:num w:numId="29">
    <w:abstractNumId w:val="11"/>
  </w:num>
  <w:num w:numId="30">
    <w:abstractNumId w:val="15"/>
  </w:num>
  <w:num w:numId="31">
    <w:abstractNumId w:val="26"/>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removeDateAndTime/>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48C"/>
    <w:rsid w:val="000136B3"/>
    <w:rsid w:val="00035E76"/>
    <w:rsid w:val="00094B51"/>
    <w:rsid w:val="000964A5"/>
    <w:rsid w:val="000B5C69"/>
    <w:rsid w:val="000C46B5"/>
    <w:rsid w:val="000C6C4D"/>
    <w:rsid w:val="000E652E"/>
    <w:rsid w:val="000F0E1C"/>
    <w:rsid w:val="000F2FA4"/>
    <w:rsid w:val="000F69EC"/>
    <w:rsid w:val="00106CB2"/>
    <w:rsid w:val="00115287"/>
    <w:rsid w:val="00120F1C"/>
    <w:rsid w:val="001506C8"/>
    <w:rsid w:val="001537CE"/>
    <w:rsid w:val="00194EA1"/>
    <w:rsid w:val="001A21F6"/>
    <w:rsid w:val="001B3B85"/>
    <w:rsid w:val="001B4CF3"/>
    <w:rsid w:val="001C01E0"/>
    <w:rsid w:val="001D1BDD"/>
    <w:rsid w:val="001D3D5B"/>
    <w:rsid w:val="00213C6A"/>
    <w:rsid w:val="00215F90"/>
    <w:rsid w:val="002345C9"/>
    <w:rsid w:val="0023499D"/>
    <w:rsid w:val="00237912"/>
    <w:rsid w:val="00237D64"/>
    <w:rsid w:val="00240C8B"/>
    <w:rsid w:val="0024687E"/>
    <w:rsid w:val="00247FE4"/>
    <w:rsid w:val="00253C70"/>
    <w:rsid w:val="0029228A"/>
    <w:rsid w:val="002B6D0E"/>
    <w:rsid w:val="002C42A5"/>
    <w:rsid w:val="002C7C61"/>
    <w:rsid w:val="002D542C"/>
    <w:rsid w:val="002E109A"/>
    <w:rsid w:val="002E749B"/>
    <w:rsid w:val="002E7548"/>
    <w:rsid w:val="002F469A"/>
    <w:rsid w:val="00303AA7"/>
    <w:rsid w:val="00304D3B"/>
    <w:rsid w:val="0030740E"/>
    <w:rsid w:val="003156DF"/>
    <w:rsid w:val="00324715"/>
    <w:rsid w:val="0036448C"/>
    <w:rsid w:val="00371CC4"/>
    <w:rsid w:val="0037355E"/>
    <w:rsid w:val="00377D3D"/>
    <w:rsid w:val="003848A1"/>
    <w:rsid w:val="00392352"/>
    <w:rsid w:val="0039321D"/>
    <w:rsid w:val="003964BE"/>
    <w:rsid w:val="003C0E6E"/>
    <w:rsid w:val="003E7883"/>
    <w:rsid w:val="003F1997"/>
    <w:rsid w:val="004127BE"/>
    <w:rsid w:val="004243FD"/>
    <w:rsid w:val="004315EB"/>
    <w:rsid w:val="00434C82"/>
    <w:rsid w:val="004400A4"/>
    <w:rsid w:val="00452B33"/>
    <w:rsid w:val="00463C9E"/>
    <w:rsid w:val="00465147"/>
    <w:rsid w:val="004747B0"/>
    <w:rsid w:val="00493B93"/>
    <w:rsid w:val="00493C78"/>
    <w:rsid w:val="00497DB3"/>
    <w:rsid w:val="004A7069"/>
    <w:rsid w:val="004B09EB"/>
    <w:rsid w:val="004B666F"/>
    <w:rsid w:val="004C2DAE"/>
    <w:rsid w:val="004E2F38"/>
    <w:rsid w:val="00550737"/>
    <w:rsid w:val="00554B28"/>
    <w:rsid w:val="00570DB1"/>
    <w:rsid w:val="005713EF"/>
    <w:rsid w:val="00572729"/>
    <w:rsid w:val="005A2720"/>
    <w:rsid w:val="005A2EDE"/>
    <w:rsid w:val="005A7FDA"/>
    <w:rsid w:val="005C1E79"/>
    <w:rsid w:val="005D31CC"/>
    <w:rsid w:val="005D47EB"/>
    <w:rsid w:val="005E6632"/>
    <w:rsid w:val="005E69B4"/>
    <w:rsid w:val="00607D6F"/>
    <w:rsid w:val="006317ED"/>
    <w:rsid w:val="00643643"/>
    <w:rsid w:val="0069408D"/>
    <w:rsid w:val="006A1E4C"/>
    <w:rsid w:val="006D3A9F"/>
    <w:rsid w:val="006E3797"/>
    <w:rsid w:val="00732949"/>
    <w:rsid w:val="00755A52"/>
    <w:rsid w:val="00756371"/>
    <w:rsid w:val="007666AB"/>
    <w:rsid w:val="00785DDA"/>
    <w:rsid w:val="00787043"/>
    <w:rsid w:val="0079618F"/>
    <w:rsid w:val="007F5807"/>
    <w:rsid w:val="008029D6"/>
    <w:rsid w:val="008102C8"/>
    <w:rsid w:val="0082020D"/>
    <w:rsid w:val="00825E44"/>
    <w:rsid w:val="00831BFC"/>
    <w:rsid w:val="0083576A"/>
    <w:rsid w:val="00851240"/>
    <w:rsid w:val="008806E5"/>
    <w:rsid w:val="008849B5"/>
    <w:rsid w:val="008972C3"/>
    <w:rsid w:val="008B51C5"/>
    <w:rsid w:val="008D1AFF"/>
    <w:rsid w:val="009014DB"/>
    <w:rsid w:val="009259D4"/>
    <w:rsid w:val="009330D6"/>
    <w:rsid w:val="0095124F"/>
    <w:rsid w:val="00972C2A"/>
    <w:rsid w:val="00977C57"/>
    <w:rsid w:val="009813D8"/>
    <w:rsid w:val="00981F0F"/>
    <w:rsid w:val="009923B9"/>
    <w:rsid w:val="009B095A"/>
    <w:rsid w:val="009B3DE6"/>
    <w:rsid w:val="009E26F0"/>
    <w:rsid w:val="009E7F07"/>
    <w:rsid w:val="00A105F6"/>
    <w:rsid w:val="00A50A7B"/>
    <w:rsid w:val="00A54F74"/>
    <w:rsid w:val="00A55CD8"/>
    <w:rsid w:val="00AA4F34"/>
    <w:rsid w:val="00AC6C7E"/>
    <w:rsid w:val="00AD11BC"/>
    <w:rsid w:val="00AD3E6F"/>
    <w:rsid w:val="00AF1003"/>
    <w:rsid w:val="00AF78F8"/>
    <w:rsid w:val="00B03E81"/>
    <w:rsid w:val="00B14943"/>
    <w:rsid w:val="00B255D0"/>
    <w:rsid w:val="00B56B4C"/>
    <w:rsid w:val="00B750AA"/>
    <w:rsid w:val="00B85470"/>
    <w:rsid w:val="00BA3405"/>
    <w:rsid w:val="00BD6DC4"/>
    <w:rsid w:val="00BF4AFA"/>
    <w:rsid w:val="00C0798C"/>
    <w:rsid w:val="00C14299"/>
    <w:rsid w:val="00C222F4"/>
    <w:rsid w:val="00C307F0"/>
    <w:rsid w:val="00C67813"/>
    <w:rsid w:val="00C710AB"/>
    <w:rsid w:val="00CA3880"/>
    <w:rsid w:val="00CA479F"/>
    <w:rsid w:val="00CB0F77"/>
    <w:rsid w:val="00CB6422"/>
    <w:rsid w:val="00CE7403"/>
    <w:rsid w:val="00CF5041"/>
    <w:rsid w:val="00CF5310"/>
    <w:rsid w:val="00D012D1"/>
    <w:rsid w:val="00D01ACC"/>
    <w:rsid w:val="00D02511"/>
    <w:rsid w:val="00D213FB"/>
    <w:rsid w:val="00D432C9"/>
    <w:rsid w:val="00D47F23"/>
    <w:rsid w:val="00D55C42"/>
    <w:rsid w:val="00D56BBD"/>
    <w:rsid w:val="00D62120"/>
    <w:rsid w:val="00D77F06"/>
    <w:rsid w:val="00D930EC"/>
    <w:rsid w:val="00DC2C98"/>
    <w:rsid w:val="00DC43DE"/>
    <w:rsid w:val="00DD59C1"/>
    <w:rsid w:val="00E051F5"/>
    <w:rsid w:val="00E06F59"/>
    <w:rsid w:val="00E46D43"/>
    <w:rsid w:val="00E61F32"/>
    <w:rsid w:val="00EA6995"/>
    <w:rsid w:val="00EB0723"/>
    <w:rsid w:val="00ED421C"/>
    <w:rsid w:val="00ED7E7F"/>
    <w:rsid w:val="00F135AD"/>
    <w:rsid w:val="00F14739"/>
    <w:rsid w:val="00F17EF7"/>
    <w:rsid w:val="00F342FF"/>
    <w:rsid w:val="00F44158"/>
    <w:rsid w:val="00F47FC2"/>
    <w:rsid w:val="00F53832"/>
    <w:rsid w:val="00F64A38"/>
    <w:rsid w:val="00F75481"/>
    <w:rsid w:val="00F77042"/>
    <w:rsid w:val="00F85966"/>
    <w:rsid w:val="00F93B41"/>
    <w:rsid w:val="00F97BF9"/>
    <w:rsid w:val="00FD28FE"/>
    <w:rsid w:val="00FE61FA"/>
    <w:rsid w:val="00FE747F"/>
    <w:rsid w:val="00FF23CF"/>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26243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qFormat="1"/>
    <w:lsdException w:name="toa heading" w:semiHidden="0" w:unhideWhenUsed="0"/>
    <w:lsdException w:name="List Number" w:semiHidden="0" w:uiPriority="13" w:unhideWhenUsed="0" w:qFormat="1"/>
    <w:lsdException w:name="List 2" w:semiHidden="0" w:unhideWhenUsed="0"/>
    <w:lsdException w:name="List Number 2" w:uiPriority="13" w:qFormat="1"/>
    <w:lsdException w:name="List Number 3" w:uiPriority="13" w:qFormat="1"/>
    <w:lsdException w:name="List Number 4" w:uiPriority="13"/>
    <w:lsdException w:name="List Number 5" w:uiPriority="13"/>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Plain Text" w:uiPriority="99"/>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643643"/>
    <w:pPr>
      <w:spacing w:line="230" w:lineRule="exact"/>
    </w:pPr>
    <w:rPr>
      <w:rFonts w:ascii="Arial" w:hAnsi="Arial"/>
      <w:color w:val="000000" w:themeColor="text1"/>
      <w:sz w:val="19"/>
    </w:rPr>
  </w:style>
  <w:style w:type="paragraph" w:styleId="Heading2">
    <w:name w:val="heading 2"/>
    <w:basedOn w:val="Normal"/>
    <w:next w:val="Normal"/>
    <w:link w:val="Heading2Char"/>
    <w:rsid w:val="00D012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97DB3"/>
    <w:pPr>
      <w:keepNext/>
      <w:spacing w:before="360" w:line="240" w:lineRule="auto"/>
      <w:outlineLvl w:val="2"/>
    </w:pPr>
    <w:rPr>
      <w:rFonts w:ascii="Arial Narrow" w:eastAsia="Times New Roman" w:hAnsi="Arial Narrow" w:cs="Times New Roman"/>
      <w:b/>
      <w:color w:val="auto"/>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ject">
    <w:name w:val="Subject"/>
    <w:basedOn w:val="Normal"/>
    <w:qFormat/>
    <w:rsid w:val="002B6D0E"/>
    <w:rPr>
      <w:rFonts w:ascii="Frutiger 65 Bold" w:hAnsi="Frutiger 65 Bold"/>
      <w:lang w:val="en-AU"/>
    </w:rPr>
  </w:style>
  <w:style w:type="paragraph" w:customStyle="1" w:styleId="Subheading">
    <w:name w:val="Subheading"/>
    <w:basedOn w:val="Normal"/>
    <w:qFormat/>
    <w:rsid w:val="002B6D0E"/>
    <w:rPr>
      <w:rFonts w:ascii="Frutiger 55 Roman" w:hAnsi="Frutiger 55 Roman"/>
      <w:lang w:val="en-AU"/>
    </w:rPr>
  </w:style>
  <w:style w:type="paragraph" w:styleId="Footer">
    <w:name w:val="footer"/>
    <w:basedOn w:val="Normal"/>
    <w:link w:val="FooterChar"/>
    <w:uiPriority w:val="99"/>
    <w:unhideWhenUsed/>
    <w:rsid w:val="0036448C"/>
    <w:pPr>
      <w:tabs>
        <w:tab w:val="center" w:pos="4320"/>
        <w:tab w:val="right" w:pos="8640"/>
      </w:tabs>
    </w:pPr>
  </w:style>
  <w:style w:type="character" w:customStyle="1" w:styleId="FooterChar">
    <w:name w:val="Footer Char"/>
    <w:basedOn w:val="DefaultParagraphFont"/>
    <w:link w:val="Footer"/>
    <w:uiPriority w:val="99"/>
    <w:rsid w:val="0036448C"/>
  </w:style>
  <w:style w:type="paragraph" w:styleId="Header">
    <w:name w:val="header"/>
    <w:basedOn w:val="Normal"/>
    <w:link w:val="HeaderChar"/>
    <w:rsid w:val="00D930EC"/>
    <w:pPr>
      <w:tabs>
        <w:tab w:val="center" w:pos="4320"/>
        <w:tab w:val="right" w:pos="8640"/>
      </w:tabs>
      <w:spacing w:line="240" w:lineRule="auto"/>
    </w:pPr>
  </w:style>
  <w:style w:type="character" w:customStyle="1" w:styleId="HeaderChar">
    <w:name w:val="Header Char"/>
    <w:basedOn w:val="DefaultParagraphFont"/>
    <w:link w:val="Header"/>
    <w:rsid w:val="00D930EC"/>
    <w:rPr>
      <w:rFonts w:ascii="Frutiger 45 Light" w:hAnsi="Frutiger 45 Light"/>
      <w:color w:val="000000" w:themeColor="text1"/>
      <w:sz w:val="19"/>
    </w:rPr>
  </w:style>
  <w:style w:type="paragraph" w:styleId="BodyText">
    <w:name w:val="Body Text"/>
    <w:basedOn w:val="Normal"/>
    <w:link w:val="BodyTextChar"/>
    <w:rsid w:val="00643643"/>
    <w:rPr>
      <w:lang w:val="en-AU"/>
    </w:rPr>
  </w:style>
  <w:style w:type="character" w:customStyle="1" w:styleId="BodyTextChar">
    <w:name w:val="Body Text Char"/>
    <w:basedOn w:val="DefaultParagraphFont"/>
    <w:link w:val="BodyText"/>
    <w:rsid w:val="00643643"/>
    <w:rPr>
      <w:rFonts w:ascii="Arial" w:hAnsi="Arial"/>
      <w:color w:val="000000" w:themeColor="text1"/>
      <w:sz w:val="19"/>
      <w:lang w:val="en-AU"/>
    </w:rPr>
  </w:style>
  <w:style w:type="paragraph" w:customStyle="1" w:styleId="heading">
    <w:name w:val="heading"/>
    <w:basedOn w:val="Normal"/>
    <w:qFormat/>
    <w:rsid w:val="00643643"/>
    <w:rPr>
      <w:b/>
    </w:rPr>
  </w:style>
  <w:style w:type="paragraph" w:customStyle="1" w:styleId="Standard1">
    <w:name w:val="Standard 1"/>
    <w:basedOn w:val="Normal"/>
    <w:rsid w:val="002C7C61"/>
    <w:pPr>
      <w:tabs>
        <w:tab w:val="num" w:pos="720"/>
      </w:tabs>
      <w:spacing w:before="120" w:after="120" w:line="240" w:lineRule="auto"/>
      <w:ind w:left="720" w:hanging="720"/>
      <w:jc w:val="both"/>
      <w:outlineLvl w:val="0"/>
    </w:pPr>
    <w:rPr>
      <w:rFonts w:ascii="Verdana" w:eastAsia="Times New Roman" w:hAnsi="Verdana" w:cs="Times New Roman"/>
      <w:color w:val="auto"/>
      <w:sz w:val="20"/>
      <w:szCs w:val="20"/>
      <w:lang w:val="en-AU"/>
    </w:rPr>
  </w:style>
  <w:style w:type="paragraph" w:customStyle="1" w:styleId="Standard2">
    <w:name w:val="Standard 2"/>
    <w:basedOn w:val="Normal"/>
    <w:rsid w:val="002C7C61"/>
    <w:pPr>
      <w:tabs>
        <w:tab w:val="num" w:pos="720"/>
      </w:tabs>
      <w:spacing w:before="120" w:after="120" w:line="240" w:lineRule="auto"/>
      <w:ind w:left="720" w:hanging="720"/>
      <w:jc w:val="both"/>
      <w:outlineLvl w:val="1"/>
    </w:pPr>
    <w:rPr>
      <w:rFonts w:ascii="Verdana" w:eastAsia="Times New Roman" w:hAnsi="Verdana" w:cs="Times New Roman"/>
      <w:color w:val="auto"/>
      <w:sz w:val="20"/>
      <w:szCs w:val="20"/>
      <w:lang w:val="en-AU"/>
    </w:rPr>
  </w:style>
  <w:style w:type="paragraph" w:customStyle="1" w:styleId="Standard3">
    <w:name w:val="Standard 3"/>
    <w:basedOn w:val="Normal"/>
    <w:rsid w:val="002C7C61"/>
    <w:pPr>
      <w:tabs>
        <w:tab w:val="num" w:pos="1440"/>
      </w:tabs>
      <w:spacing w:before="120" w:after="120" w:line="240" w:lineRule="auto"/>
      <w:ind w:left="1440" w:hanging="720"/>
      <w:jc w:val="both"/>
      <w:outlineLvl w:val="2"/>
    </w:pPr>
    <w:rPr>
      <w:rFonts w:ascii="Verdana" w:eastAsia="Times New Roman" w:hAnsi="Verdana" w:cs="Times New Roman"/>
      <w:color w:val="auto"/>
      <w:sz w:val="20"/>
      <w:szCs w:val="20"/>
      <w:lang w:val="en-AU"/>
    </w:rPr>
  </w:style>
  <w:style w:type="paragraph" w:customStyle="1" w:styleId="Indent">
    <w:name w:val="Indent"/>
    <w:basedOn w:val="Normal"/>
    <w:rsid w:val="002C7C61"/>
    <w:pPr>
      <w:tabs>
        <w:tab w:val="num" w:pos="3600"/>
      </w:tabs>
      <w:spacing w:before="120" w:after="120" w:line="240" w:lineRule="auto"/>
      <w:ind w:left="3600" w:hanging="720"/>
      <w:jc w:val="both"/>
    </w:pPr>
    <w:rPr>
      <w:rFonts w:ascii="Verdana" w:eastAsia="Times New Roman" w:hAnsi="Verdana" w:cs="Times New Roman"/>
      <w:color w:val="auto"/>
      <w:sz w:val="20"/>
      <w:szCs w:val="20"/>
      <w:lang w:val="en-AU"/>
    </w:rPr>
  </w:style>
  <w:style w:type="paragraph" w:styleId="BodyTextIndent">
    <w:name w:val="Body Text Indent"/>
    <w:basedOn w:val="Normal"/>
    <w:link w:val="BodyTextIndentChar"/>
    <w:rsid w:val="00497DB3"/>
    <w:pPr>
      <w:spacing w:after="120"/>
      <w:ind w:left="283"/>
    </w:pPr>
  </w:style>
  <w:style w:type="character" w:customStyle="1" w:styleId="BodyTextIndentChar">
    <w:name w:val="Body Text Indent Char"/>
    <w:basedOn w:val="DefaultParagraphFont"/>
    <w:link w:val="BodyTextIndent"/>
    <w:rsid w:val="00497DB3"/>
    <w:rPr>
      <w:rFonts w:ascii="Arial" w:hAnsi="Arial"/>
      <w:color w:val="000000" w:themeColor="text1"/>
      <w:sz w:val="19"/>
    </w:rPr>
  </w:style>
  <w:style w:type="character" w:customStyle="1" w:styleId="Heading3Char">
    <w:name w:val="Heading 3 Char"/>
    <w:basedOn w:val="DefaultParagraphFont"/>
    <w:link w:val="Heading3"/>
    <w:rsid w:val="00497DB3"/>
    <w:rPr>
      <w:rFonts w:ascii="Arial Narrow" w:eastAsia="Times New Roman" w:hAnsi="Arial Narrow" w:cs="Times New Roman"/>
      <w:b/>
      <w:szCs w:val="20"/>
      <w:lang w:val="en-AU"/>
    </w:rPr>
  </w:style>
  <w:style w:type="paragraph" w:customStyle="1" w:styleId="1stparagraph">
    <w:name w:val="1st paragraph"/>
    <w:basedOn w:val="Normal"/>
    <w:rsid w:val="00497DB3"/>
    <w:pPr>
      <w:spacing w:after="243" w:line="240" w:lineRule="auto"/>
      <w:jc w:val="both"/>
    </w:pPr>
    <w:rPr>
      <w:rFonts w:ascii="Times New Roman" w:eastAsia="Times New Roman" w:hAnsi="Times New Roman" w:cs="Times New Roman"/>
      <w:snapToGrid w:val="0"/>
      <w:color w:val="auto"/>
      <w:sz w:val="24"/>
      <w:szCs w:val="20"/>
    </w:rPr>
  </w:style>
  <w:style w:type="paragraph" w:styleId="NormalWeb">
    <w:name w:val="Normal (Web)"/>
    <w:basedOn w:val="Normal"/>
    <w:rsid w:val="00497DB3"/>
    <w:pPr>
      <w:spacing w:before="100" w:beforeAutospacing="1" w:after="100" w:afterAutospacing="1" w:line="240" w:lineRule="auto"/>
    </w:pPr>
    <w:rPr>
      <w:rFonts w:ascii="Times New Roman" w:eastAsia="Times New Roman" w:hAnsi="Times New Roman" w:cs="Times New Roman"/>
      <w:color w:val="auto"/>
      <w:sz w:val="24"/>
      <w:lang w:val="en-AU" w:eastAsia="en-AU"/>
    </w:rPr>
  </w:style>
  <w:style w:type="paragraph" w:styleId="BodyTextIndent2">
    <w:name w:val="Body Text Indent 2"/>
    <w:basedOn w:val="Normal"/>
    <w:link w:val="BodyTextIndent2Char"/>
    <w:rsid w:val="00497DB3"/>
    <w:pPr>
      <w:spacing w:after="120" w:line="480" w:lineRule="auto"/>
      <w:ind w:left="283"/>
    </w:pPr>
  </w:style>
  <w:style w:type="character" w:customStyle="1" w:styleId="BodyTextIndent2Char">
    <w:name w:val="Body Text Indent 2 Char"/>
    <w:basedOn w:val="DefaultParagraphFont"/>
    <w:link w:val="BodyTextIndent2"/>
    <w:rsid w:val="00497DB3"/>
    <w:rPr>
      <w:rFonts w:ascii="Arial" w:hAnsi="Arial"/>
      <w:color w:val="000000" w:themeColor="text1"/>
      <w:sz w:val="19"/>
    </w:rPr>
  </w:style>
  <w:style w:type="paragraph" w:customStyle="1" w:styleId="PWBullet1">
    <w:name w:val="PW Bullet 1"/>
    <w:basedOn w:val="Normal"/>
    <w:rsid w:val="00497DB3"/>
    <w:pPr>
      <w:spacing w:before="160" w:line="300" w:lineRule="atLeast"/>
      <w:ind w:left="567" w:hanging="567"/>
    </w:pPr>
    <w:rPr>
      <w:rFonts w:ascii="Times New Roman" w:eastAsia="Times New Roman" w:hAnsi="Times New Roman" w:cs="Times New Roman"/>
      <w:color w:val="auto"/>
      <w:sz w:val="24"/>
      <w:szCs w:val="20"/>
      <w:lang w:val="en-AU"/>
    </w:rPr>
  </w:style>
  <w:style w:type="paragraph" w:customStyle="1" w:styleId="NumberLetter2">
    <w:name w:val="|Number/Letter (2)"/>
    <w:rsid w:val="00497DB3"/>
    <w:pPr>
      <w:numPr>
        <w:numId w:val="26"/>
      </w:numPr>
      <w:spacing w:after="120" w:line="240" w:lineRule="atLeast"/>
    </w:pPr>
    <w:rPr>
      <w:rFonts w:ascii="Arial" w:eastAsia="Times New Roman" w:hAnsi="Arial" w:cs="Arial"/>
      <w:color w:val="000000"/>
      <w:sz w:val="20"/>
      <w:szCs w:val="20"/>
    </w:rPr>
  </w:style>
  <w:style w:type="table" w:styleId="TableGrid">
    <w:name w:val="Table Grid"/>
    <w:basedOn w:val="TableNormal"/>
    <w:rsid w:val="00497DB3"/>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
    <w:name w:val="Colorful Grid"/>
    <w:basedOn w:val="TableNormal"/>
    <w:rsid w:val="00247FE4"/>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Accent3">
    <w:name w:val="Colorful List Accent 3"/>
    <w:basedOn w:val="TableNormal"/>
    <w:rsid w:val="00247FE4"/>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TableList4">
    <w:name w:val="Table List 4"/>
    <w:basedOn w:val="TableNormal"/>
    <w:rsid w:val="00247FE4"/>
    <w:pPr>
      <w:spacing w:line="23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unhideWhenUsed/>
    <w:rsid w:val="0082020D"/>
    <w:pPr>
      <w:spacing w:line="240" w:lineRule="auto"/>
    </w:pPr>
    <w:rPr>
      <w:rFonts w:ascii="Calibri" w:hAnsi="Calibri" w:cs="Calibri"/>
      <w:color w:val="auto"/>
      <w:sz w:val="22"/>
      <w:szCs w:val="22"/>
    </w:rPr>
  </w:style>
  <w:style w:type="character" w:customStyle="1" w:styleId="PlainTextChar">
    <w:name w:val="Plain Text Char"/>
    <w:basedOn w:val="DefaultParagraphFont"/>
    <w:link w:val="PlainText"/>
    <w:uiPriority w:val="99"/>
    <w:rsid w:val="0082020D"/>
    <w:rPr>
      <w:rFonts w:ascii="Calibri" w:hAnsi="Calibri" w:cs="Calibri"/>
      <w:sz w:val="22"/>
      <w:szCs w:val="22"/>
    </w:rPr>
  </w:style>
  <w:style w:type="character" w:customStyle="1" w:styleId="Heading2Char">
    <w:name w:val="Heading 2 Char"/>
    <w:basedOn w:val="DefaultParagraphFont"/>
    <w:link w:val="Heading2"/>
    <w:rsid w:val="00D012D1"/>
    <w:rPr>
      <w:rFonts w:asciiTheme="majorHAnsi" w:eastAsiaTheme="majorEastAsia" w:hAnsiTheme="majorHAnsi" w:cstheme="majorBidi"/>
      <w:b/>
      <w:bCs/>
      <w:color w:val="4F81BD" w:themeColor="accent1"/>
      <w:sz w:val="26"/>
      <w:szCs w:val="26"/>
    </w:rPr>
  </w:style>
  <w:style w:type="paragraph" w:customStyle="1" w:styleId="Indent1">
    <w:name w:val="Indent 1"/>
    <w:basedOn w:val="Normal"/>
    <w:rsid w:val="00D012D1"/>
    <w:pPr>
      <w:numPr>
        <w:ilvl w:val="1"/>
        <w:numId w:val="28"/>
      </w:numPr>
      <w:kinsoku w:val="0"/>
      <w:overflowPunct w:val="0"/>
      <w:autoSpaceDE w:val="0"/>
      <w:autoSpaceDN w:val="0"/>
      <w:adjustRightInd w:val="0"/>
      <w:snapToGrid w:val="0"/>
      <w:spacing w:after="240" w:line="240" w:lineRule="atLeast"/>
    </w:pPr>
    <w:rPr>
      <w:rFonts w:ascii="Georgia" w:hAnsi="Georgia"/>
      <w:snapToGrid w:val="0"/>
      <w:color w:val="auto"/>
      <w:sz w:val="20"/>
      <w:szCs w:val="21"/>
      <w:lang w:val="en-GB"/>
    </w:rPr>
  </w:style>
  <w:style w:type="paragraph" w:customStyle="1" w:styleId="Indent2">
    <w:name w:val="Indent 2"/>
    <w:basedOn w:val="Indent1"/>
    <w:rsid w:val="00D012D1"/>
    <w:pPr>
      <w:numPr>
        <w:ilvl w:val="2"/>
      </w:numPr>
    </w:pPr>
  </w:style>
  <w:style w:type="paragraph" w:customStyle="1" w:styleId="BodySingle">
    <w:name w:val="Body Single"/>
    <w:basedOn w:val="BodyText"/>
    <w:uiPriority w:val="1"/>
    <w:qFormat/>
    <w:rsid w:val="00D012D1"/>
    <w:pPr>
      <w:tabs>
        <w:tab w:val="right" w:pos="9072"/>
      </w:tabs>
      <w:spacing w:line="240" w:lineRule="auto"/>
    </w:pPr>
    <w:rPr>
      <w:rFonts w:ascii="Georgia" w:hAnsi="Georgia"/>
      <w:color w:val="auto"/>
      <w:sz w:val="20"/>
      <w:szCs w:val="20"/>
      <w:lang w:val="en-GB"/>
    </w:rPr>
  </w:style>
  <w:style w:type="paragraph" w:styleId="Closing">
    <w:name w:val="Closing"/>
    <w:basedOn w:val="BodySingle"/>
    <w:link w:val="ClosingChar"/>
    <w:rsid w:val="00D012D1"/>
    <w:pPr>
      <w:keepNext/>
      <w:keepLines/>
    </w:pPr>
  </w:style>
  <w:style w:type="character" w:customStyle="1" w:styleId="ClosingChar">
    <w:name w:val="Closing Char"/>
    <w:basedOn w:val="DefaultParagraphFont"/>
    <w:link w:val="Closing"/>
    <w:rsid w:val="00D012D1"/>
    <w:rPr>
      <w:rFonts w:ascii="Georgia" w:hAnsi="Georgia"/>
      <w:sz w:val="20"/>
      <w:szCs w:val="20"/>
      <w:lang w:val="en-GB"/>
    </w:rPr>
  </w:style>
  <w:style w:type="paragraph" w:customStyle="1" w:styleId="Indent3">
    <w:name w:val="Indent 3"/>
    <w:basedOn w:val="Indent2"/>
    <w:rsid w:val="00D012D1"/>
    <w:pPr>
      <w:numPr>
        <w:ilvl w:val="3"/>
      </w:numPr>
    </w:pPr>
  </w:style>
  <w:style w:type="paragraph" w:customStyle="1" w:styleId="Indent4">
    <w:name w:val="Indent 4"/>
    <w:basedOn w:val="Indent3"/>
    <w:rsid w:val="00D012D1"/>
    <w:pPr>
      <w:numPr>
        <w:ilvl w:val="4"/>
      </w:numPr>
    </w:pPr>
  </w:style>
  <w:style w:type="paragraph" w:customStyle="1" w:styleId="Indent5">
    <w:name w:val="Indent 5"/>
    <w:basedOn w:val="Indent4"/>
    <w:rsid w:val="00D012D1"/>
    <w:pPr>
      <w:numPr>
        <w:ilvl w:val="5"/>
      </w:numPr>
    </w:pPr>
  </w:style>
  <w:style w:type="paragraph" w:customStyle="1" w:styleId="Indent6">
    <w:name w:val="Indent 6"/>
    <w:basedOn w:val="Indent5"/>
    <w:rsid w:val="00D012D1"/>
    <w:pPr>
      <w:numPr>
        <w:ilvl w:val="6"/>
      </w:numPr>
    </w:pPr>
  </w:style>
  <w:style w:type="paragraph" w:customStyle="1" w:styleId="Indent7">
    <w:name w:val="Indent 7"/>
    <w:basedOn w:val="Indent6"/>
    <w:rsid w:val="00D012D1"/>
    <w:pPr>
      <w:numPr>
        <w:ilvl w:val="7"/>
      </w:numPr>
    </w:pPr>
  </w:style>
  <w:style w:type="paragraph" w:customStyle="1" w:styleId="Indent8">
    <w:name w:val="Indent 8"/>
    <w:basedOn w:val="Indent7"/>
    <w:rsid w:val="00D012D1"/>
    <w:pPr>
      <w:numPr>
        <w:ilvl w:val="8"/>
      </w:numPr>
    </w:pPr>
  </w:style>
  <w:style w:type="numbering" w:customStyle="1" w:styleId="Indents">
    <w:name w:val="Indents"/>
    <w:rsid w:val="00D012D1"/>
    <w:pPr>
      <w:numPr>
        <w:numId w:val="27"/>
      </w:numPr>
    </w:pPr>
  </w:style>
  <w:style w:type="paragraph" w:styleId="ListNumber">
    <w:name w:val="List Number"/>
    <w:basedOn w:val="Normal"/>
    <w:uiPriority w:val="13"/>
    <w:unhideWhenUsed/>
    <w:qFormat/>
    <w:rsid w:val="00D012D1"/>
    <w:pPr>
      <w:numPr>
        <w:numId w:val="29"/>
      </w:numPr>
      <w:spacing w:after="240" w:line="240" w:lineRule="atLeast"/>
    </w:pPr>
    <w:rPr>
      <w:rFonts w:ascii="Georgia" w:hAnsi="Georgia"/>
      <w:color w:val="auto"/>
      <w:sz w:val="20"/>
      <w:szCs w:val="20"/>
      <w:lang w:val="en-GB"/>
    </w:rPr>
  </w:style>
  <w:style w:type="paragraph" w:styleId="ListNumber2">
    <w:name w:val="List Number 2"/>
    <w:basedOn w:val="ListNumber"/>
    <w:uiPriority w:val="13"/>
    <w:unhideWhenUsed/>
    <w:qFormat/>
    <w:rsid w:val="00D012D1"/>
    <w:pPr>
      <w:numPr>
        <w:ilvl w:val="1"/>
      </w:numPr>
    </w:pPr>
  </w:style>
  <w:style w:type="paragraph" w:styleId="ListNumber3">
    <w:name w:val="List Number 3"/>
    <w:basedOn w:val="ListNumber2"/>
    <w:uiPriority w:val="13"/>
    <w:unhideWhenUsed/>
    <w:qFormat/>
    <w:rsid w:val="00D012D1"/>
    <w:pPr>
      <w:numPr>
        <w:ilvl w:val="2"/>
      </w:numPr>
    </w:pPr>
  </w:style>
  <w:style w:type="paragraph" w:styleId="ListNumber4">
    <w:name w:val="List Number 4"/>
    <w:basedOn w:val="ListNumber3"/>
    <w:uiPriority w:val="13"/>
    <w:unhideWhenUsed/>
    <w:rsid w:val="00D012D1"/>
    <w:pPr>
      <w:numPr>
        <w:ilvl w:val="3"/>
      </w:numPr>
    </w:pPr>
  </w:style>
  <w:style w:type="paragraph" w:styleId="ListNumber5">
    <w:name w:val="List Number 5"/>
    <w:basedOn w:val="ListNumber4"/>
    <w:uiPriority w:val="13"/>
    <w:unhideWhenUsed/>
    <w:rsid w:val="00D012D1"/>
    <w:pPr>
      <w:numPr>
        <w:ilvl w:val="4"/>
      </w:numPr>
    </w:pPr>
  </w:style>
  <w:style w:type="paragraph" w:customStyle="1" w:styleId="PwCNormal">
    <w:name w:val="PwC Normal"/>
    <w:basedOn w:val="Normal"/>
    <w:rsid w:val="00D012D1"/>
    <w:pPr>
      <w:numPr>
        <w:numId w:val="28"/>
      </w:numPr>
      <w:kinsoku w:val="0"/>
      <w:overflowPunct w:val="0"/>
      <w:autoSpaceDE w:val="0"/>
      <w:autoSpaceDN w:val="0"/>
      <w:adjustRightInd w:val="0"/>
      <w:snapToGrid w:val="0"/>
      <w:spacing w:after="240" w:line="240" w:lineRule="auto"/>
    </w:pPr>
    <w:rPr>
      <w:rFonts w:ascii="Georgia" w:eastAsia="Times New Roman" w:hAnsi="Georgia" w:cs="Arial"/>
      <w:snapToGrid w:val="0"/>
      <w:color w:val="auto"/>
      <w:sz w:val="20"/>
      <w:szCs w:val="21"/>
      <w:lang w:val="en-AU"/>
    </w:rPr>
  </w:style>
  <w:style w:type="paragraph" w:customStyle="1" w:styleId="HangingIndent2">
    <w:name w:val="Hanging Indent 2"/>
    <w:basedOn w:val="Normal"/>
    <w:rsid w:val="00D012D1"/>
    <w:pPr>
      <w:tabs>
        <w:tab w:val="left" w:pos="567"/>
      </w:tabs>
      <w:spacing w:after="240" w:line="240" w:lineRule="atLeast"/>
      <w:ind w:left="1134" w:hanging="567"/>
    </w:pPr>
    <w:rPr>
      <w:rFonts w:ascii="Georgia" w:hAnsi="Georgia"/>
      <w:color w:val="auto"/>
      <w:sz w:val="20"/>
      <w:szCs w:val="20"/>
      <w:lang w:val="en-GB"/>
    </w:rPr>
  </w:style>
  <w:style w:type="paragraph" w:customStyle="1" w:styleId="HangingIndent3">
    <w:name w:val="Hanging Indent 3"/>
    <w:basedOn w:val="HangingIndent2"/>
    <w:rsid w:val="00D012D1"/>
    <w:pPr>
      <w:ind w:left="1701"/>
    </w:pPr>
  </w:style>
  <w:style w:type="paragraph" w:styleId="ListParagraph">
    <w:name w:val="List Paragraph"/>
    <w:basedOn w:val="Normal"/>
    <w:uiPriority w:val="34"/>
    <w:qFormat/>
    <w:rsid w:val="003848A1"/>
    <w:pPr>
      <w:spacing w:after="240" w:line="240" w:lineRule="atLeast"/>
      <w:ind w:left="720"/>
      <w:contextualSpacing/>
    </w:pPr>
    <w:rPr>
      <w:rFonts w:asciiTheme="minorHAnsi" w:hAnsiTheme="minorHAnsi"/>
      <w:color w:val="auto"/>
      <w:sz w:val="20"/>
      <w:szCs w:val="20"/>
      <w:lang w:val="en-GB"/>
    </w:rPr>
  </w:style>
  <w:style w:type="character" w:styleId="Hyperlink">
    <w:name w:val="Hyperlink"/>
    <w:basedOn w:val="DefaultParagraphFont"/>
    <w:unhideWhenUsed/>
    <w:rsid w:val="00E051F5"/>
    <w:rPr>
      <w:color w:val="0000FF" w:themeColor="hyperlink"/>
      <w:u w:val="single"/>
    </w:rPr>
  </w:style>
  <w:style w:type="character" w:styleId="CommentReference">
    <w:name w:val="annotation reference"/>
    <w:basedOn w:val="DefaultParagraphFont"/>
    <w:semiHidden/>
    <w:unhideWhenUsed/>
    <w:rsid w:val="00E051F5"/>
    <w:rPr>
      <w:sz w:val="16"/>
      <w:szCs w:val="16"/>
    </w:rPr>
  </w:style>
  <w:style w:type="paragraph" w:styleId="CommentText">
    <w:name w:val="annotation text"/>
    <w:basedOn w:val="Normal"/>
    <w:link w:val="CommentTextChar"/>
    <w:semiHidden/>
    <w:unhideWhenUsed/>
    <w:rsid w:val="00E051F5"/>
    <w:pPr>
      <w:spacing w:line="240" w:lineRule="auto"/>
    </w:pPr>
    <w:rPr>
      <w:sz w:val="20"/>
      <w:szCs w:val="20"/>
    </w:rPr>
  </w:style>
  <w:style w:type="character" w:customStyle="1" w:styleId="CommentTextChar">
    <w:name w:val="Comment Text Char"/>
    <w:basedOn w:val="DefaultParagraphFont"/>
    <w:link w:val="CommentText"/>
    <w:semiHidden/>
    <w:rsid w:val="00E051F5"/>
    <w:rPr>
      <w:rFonts w:ascii="Arial" w:hAnsi="Arial"/>
      <w:color w:val="000000" w:themeColor="text1"/>
      <w:sz w:val="20"/>
      <w:szCs w:val="20"/>
    </w:rPr>
  </w:style>
  <w:style w:type="paragraph" w:styleId="FootnoteText">
    <w:name w:val="footnote text"/>
    <w:basedOn w:val="Normal"/>
    <w:link w:val="FootnoteTextChar"/>
    <w:semiHidden/>
    <w:unhideWhenUsed/>
    <w:rsid w:val="00E051F5"/>
    <w:pPr>
      <w:spacing w:line="240" w:lineRule="auto"/>
    </w:pPr>
    <w:rPr>
      <w:sz w:val="20"/>
      <w:szCs w:val="20"/>
    </w:rPr>
  </w:style>
  <w:style w:type="character" w:customStyle="1" w:styleId="FootnoteTextChar">
    <w:name w:val="Footnote Text Char"/>
    <w:basedOn w:val="DefaultParagraphFont"/>
    <w:link w:val="FootnoteText"/>
    <w:semiHidden/>
    <w:rsid w:val="00E051F5"/>
    <w:rPr>
      <w:rFonts w:ascii="Arial" w:hAnsi="Arial"/>
      <w:color w:val="000000" w:themeColor="text1"/>
      <w:sz w:val="20"/>
      <w:szCs w:val="20"/>
    </w:rPr>
  </w:style>
  <w:style w:type="character" w:styleId="FootnoteReference">
    <w:name w:val="footnote reference"/>
    <w:basedOn w:val="DefaultParagraphFont"/>
    <w:semiHidden/>
    <w:unhideWhenUsed/>
    <w:rsid w:val="00E051F5"/>
    <w:rPr>
      <w:vertAlign w:val="superscript"/>
    </w:rPr>
  </w:style>
  <w:style w:type="paragraph" w:styleId="BalloonText">
    <w:name w:val="Balloon Text"/>
    <w:basedOn w:val="Normal"/>
    <w:link w:val="BalloonTextChar"/>
    <w:rsid w:val="00E051F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E051F5"/>
    <w:rPr>
      <w:rFonts w:ascii="Segoe UI" w:hAnsi="Segoe UI" w:cs="Segoe UI"/>
      <w:color w:val="000000" w:themeColor="text1"/>
      <w:sz w:val="18"/>
      <w:szCs w:val="18"/>
    </w:rPr>
  </w:style>
  <w:style w:type="paragraph" w:styleId="CommentSubject">
    <w:name w:val="annotation subject"/>
    <w:basedOn w:val="CommentText"/>
    <w:next w:val="CommentText"/>
    <w:link w:val="CommentSubjectChar"/>
    <w:semiHidden/>
    <w:unhideWhenUsed/>
    <w:rsid w:val="00D02511"/>
    <w:rPr>
      <w:b/>
      <w:bCs/>
    </w:rPr>
  </w:style>
  <w:style w:type="character" w:customStyle="1" w:styleId="CommentSubjectChar">
    <w:name w:val="Comment Subject Char"/>
    <w:basedOn w:val="CommentTextChar"/>
    <w:link w:val="CommentSubject"/>
    <w:semiHidden/>
    <w:rsid w:val="00D02511"/>
    <w:rPr>
      <w:rFonts w:ascii="Arial" w:hAnsi="Arial"/>
      <w:b/>
      <w:bCs/>
      <w:color w:val="000000" w:themeColor="text1"/>
      <w:sz w:val="20"/>
      <w:szCs w:val="20"/>
    </w:rPr>
  </w:style>
  <w:style w:type="character" w:styleId="FollowedHyperlink">
    <w:name w:val="FollowedHyperlink"/>
    <w:basedOn w:val="DefaultParagraphFont"/>
    <w:semiHidden/>
    <w:unhideWhenUsed/>
    <w:rsid w:val="00F97BF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qFormat="1"/>
    <w:lsdException w:name="toa heading" w:semiHidden="0" w:unhideWhenUsed="0"/>
    <w:lsdException w:name="List Number" w:semiHidden="0" w:uiPriority="13" w:unhideWhenUsed="0" w:qFormat="1"/>
    <w:lsdException w:name="List 2" w:semiHidden="0" w:unhideWhenUsed="0"/>
    <w:lsdException w:name="List Number 2" w:uiPriority="13" w:qFormat="1"/>
    <w:lsdException w:name="List Number 3" w:uiPriority="13" w:qFormat="1"/>
    <w:lsdException w:name="List Number 4" w:uiPriority="13"/>
    <w:lsdException w:name="List Number 5" w:uiPriority="13"/>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Plain Text" w:uiPriority="99"/>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643643"/>
    <w:pPr>
      <w:spacing w:line="230" w:lineRule="exact"/>
    </w:pPr>
    <w:rPr>
      <w:rFonts w:ascii="Arial" w:hAnsi="Arial"/>
      <w:color w:val="000000" w:themeColor="text1"/>
      <w:sz w:val="19"/>
    </w:rPr>
  </w:style>
  <w:style w:type="paragraph" w:styleId="Heading2">
    <w:name w:val="heading 2"/>
    <w:basedOn w:val="Normal"/>
    <w:next w:val="Normal"/>
    <w:link w:val="Heading2Char"/>
    <w:rsid w:val="00D012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97DB3"/>
    <w:pPr>
      <w:keepNext/>
      <w:spacing w:before="360" w:line="240" w:lineRule="auto"/>
      <w:outlineLvl w:val="2"/>
    </w:pPr>
    <w:rPr>
      <w:rFonts w:ascii="Arial Narrow" w:eastAsia="Times New Roman" w:hAnsi="Arial Narrow" w:cs="Times New Roman"/>
      <w:b/>
      <w:color w:val="auto"/>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ject">
    <w:name w:val="Subject"/>
    <w:basedOn w:val="Normal"/>
    <w:qFormat/>
    <w:rsid w:val="002B6D0E"/>
    <w:rPr>
      <w:rFonts w:ascii="Frutiger 65 Bold" w:hAnsi="Frutiger 65 Bold"/>
      <w:lang w:val="en-AU"/>
    </w:rPr>
  </w:style>
  <w:style w:type="paragraph" w:customStyle="1" w:styleId="Subheading">
    <w:name w:val="Subheading"/>
    <w:basedOn w:val="Normal"/>
    <w:qFormat/>
    <w:rsid w:val="002B6D0E"/>
    <w:rPr>
      <w:rFonts w:ascii="Frutiger 55 Roman" w:hAnsi="Frutiger 55 Roman"/>
      <w:lang w:val="en-AU"/>
    </w:rPr>
  </w:style>
  <w:style w:type="paragraph" w:styleId="Footer">
    <w:name w:val="footer"/>
    <w:basedOn w:val="Normal"/>
    <w:link w:val="FooterChar"/>
    <w:uiPriority w:val="99"/>
    <w:unhideWhenUsed/>
    <w:rsid w:val="0036448C"/>
    <w:pPr>
      <w:tabs>
        <w:tab w:val="center" w:pos="4320"/>
        <w:tab w:val="right" w:pos="8640"/>
      </w:tabs>
    </w:pPr>
  </w:style>
  <w:style w:type="character" w:customStyle="1" w:styleId="FooterChar">
    <w:name w:val="Footer Char"/>
    <w:basedOn w:val="DefaultParagraphFont"/>
    <w:link w:val="Footer"/>
    <w:uiPriority w:val="99"/>
    <w:rsid w:val="0036448C"/>
  </w:style>
  <w:style w:type="paragraph" w:styleId="Header">
    <w:name w:val="header"/>
    <w:basedOn w:val="Normal"/>
    <w:link w:val="HeaderChar"/>
    <w:rsid w:val="00D930EC"/>
    <w:pPr>
      <w:tabs>
        <w:tab w:val="center" w:pos="4320"/>
        <w:tab w:val="right" w:pos="8640"/>
      </w:tabs>
      <w:spacing w:line="240" w:lineRule="auto"/>
    </w:pPr>
  </w:style>
  <w:style w:type="character" w:customStyle="1" w:styleId="HeaderChar">
    <w:name w:val="Header Char"/>
    <w:basedOn w:val="DefaultParagraphFont"/>
    <w:link w:val="Header"/>
    <w:rsid w:val="00D930EC"/>
    <w:rPr>
      <w:rFonts w:ascii="Frutiger 45 Light" w:hAnsi="Frutiger 45 Light"/>
      <w:color w:val="000000" w:themeColor="text1"/>
      <w:sz w:val="19"/>
    </w:rPr>
  </w:style>
  <w:style w:type="paragraph" w:styleId="BodyText">
    <w:name w:val="Body Text"/>
    <w:basedOn w:val="Normal"/>
    <w:link w:val="BodyTextChar"/>
    <w:rsid w:val="00643643"/>
    <w:rPr>
      <w:lang w:val="en-AU"/>
    </w:rPr>
  </w:style>
  <w:style w:type="character" w:customStyle="1" w:styleId="BodyTextChar">
    <w:name w:val="Body Text Char"/>
    <w:basedOn w:val="DefaultParagraphFont"/>
    <w:link w:val="BodyText"/>
    <w:rsid w:val="00643643"/>
    <w:rPr>
      <w:rFonts w:ascii="Arial" w:hAnsi="Arial"/>
      <w:color w:val="000000" w:themeColor="text1"/>
      <w:sz w:val="19"/>
      <w:lang w:val="en-AU"/>
    </w:rPr>
  </w:style>
  <w:style w:type="paragraph" w:customStyle="1" w:styleId="heading">
    <w:name w:val="heading"/>
    <w:basedOn w:val="Normal"/>
    <w:qFormat/>
    <w:rsid w:val="00643643"/>
    <w:rPr>
      <w:b/>
    </w:rPr>
  </w:style>
  <w:style w:type="paragraph" w:customStyle="1" w:styleId="Standard1">
    <w:name w:val="Standard 1"/>
    <w:basedOn w:val="Normal"/>
    <w:rsid w:val="002C7C61"/>
    <w:pPr>
      <w:tabs>
        <w:tab w:val="num" w:pos="720"/>
      </w:tabs>
      <w:spacing w:before="120" w:after="120" w:line="240" w:lineRule="auto"/>
      <w:ind w:left="720" w:hanging="720"/>
      <w:jc w:val="both"/>
      <w:outlineLvl w:val="0"/>
    </w:pPr>
    <w:rPr>
      <w:rFonts w:ascii="Verdana" w:eastAsia="Times New Roman" w:hAnsi="Verdana" w:cs="Times New Roman"/>
      <w:color w:val="auto"/>
      <w:sz w:val="20"/>
      <w:szCs w:val="20"/>
      <w:lang w:val="en-AU"/>
    </w:rPr>
  </w:style>
  <w:style w:type="paragraph" w:customStyle="1" w:styleId="Standard2">
    <w:name w:val="Standard 2"/>
    <w:basedOn w:val="Normal"/>
    <w:rsid w:val="002C7C61"/>
    <w:pPr>
      <w:tabs>
        <w:tab w:val="num" w:pos="720"/>
      </w:tabs>
      <w:spacing w:before="120" w:after="120" w:line="240" w:lineRule="auto"/>
      <w:ind w:left="720" w:hanging="720"/>
      <w:jc w:val="both"/>
      <w:outlineLvl w:val="1"/>
    </w:pPr>
    <w:rPr>
      <w:rFonts w:ascii="Verdana" w:eastAsia="Times New Roman" w:hAnsi="Verdana" w:cs="Times New Roman"/>
      <w:color w:val="auto"/>
      <w:sz w:val="20"/>
      <w:szCs w:val="20"/>
      <w:lang w:val="en-AU"/>
    </w:rPr>
  </w:style>
  <w:style w:type="paragraph" w:customStyle="1" w:styleId="Standard3">
    <w:name w:val="Standard 3"/>
    <w:basedOn w:val="Normal"/>
    <w:rsid w:val="002C7C61"/>
    <w:pPr>
      <w:tabs>
        <w:tab w:val="num" w:pos="1440"/>
      </w:tabs>
      <w:spacing w:before="120" w:after="120" w:line="240" w:lineRule="auto"/>
      <w:ind w:left="1440" w:hanging="720"/>
      <w:jc w:val="both"/>
      <w:outlineLvl w:val="2"/>
    </w:pPr>
    <w:rPr>
      <w:rFonts w:ascii="Verdana" w:eastAsia="Times New Roman" w:hAnsi="Verdana" w:cs="Times New Roman"/>
      <w:color w:val="auto"/>
      <w:sz w:val="20"/>
      <w:szCs w:val="20"/>
      <w:lang w:val="en-AU"/>
    </w:rPr>
  </w:style>
  <w:style w:type="paragraph" w:customStyle="1" w:styleId="Indent">
    <w:name w:val="Indent"/>
    <w:basedOn w:val="Normal"/>
    <w:rsid w:val="002C7C61"/>
    <w:pPr>
      <w:tabs>
        <w:tab w:val="num" w:pos="3600"/>
      </w:tabs>
      <w:spacing w:before="120" w:after="120" w:line="240" w:lineRule="auto"/>
      <w:ind w:left="3600" w:hanging="720"/>
      <w:jc w:val="both"/>
    </w:pPr>
    <w:rPr>
      <w:rFonts w:ascii="Verdana" w:eastAsia="Times New Roman" w:hAnsi="Verdana" w:cs="Times New Roman"/>
      <w:color w:val="auto"/>
      <w:sz w:val="20"/>
      <w:szCs w:val="20"/>
      <w:lang w:val="en-AU"/>
    </w:rPr>
  </w:style>
  <w:style w:type="paragraph" w:styleId="BodyTextIndent">
    <w:name w:val="Body Text Indent"/>
    <w:basedOn w:val="Normal"/>
    <w:link w:val="BodyTextIndentChar"/>
    <w:rsid w:val="00497DB3"/>
    <w:pPr>
      <w:spacing w:after="120"/>
      <w:ind w:left="283"/>
    </w:pPr>
  </w:style>
  <w:style w:type="character" w:customStyle="1" w:styleId="BodyTextIndentChar">
    <w:name w:val="Body Text Indent Char"/>
    <w:basedOn w:val="DefaultParagraphFont"/>
    <w:link w:val="BodyTextIndent"/>
    <w:rsid w:val="00497DB3"/>
    <w:rPr>
      <w:rFonts w:ascii="Arial" w:hAnsi="Arial"/>
      <w:color w:val="000000" w:themeColor="text1"/>
      <w:sz w:val="19"/>
    </w:rPr>
  </w:style>
  <w:style w:type="character" w:customStyle="1" w:styleId="Heading3Char">
    <w:name w:val="Heading 3 Char"/>
    <w:basedOn w:val="DefaultParagraphFont"/>
    <w:link w:val="Heading3"/>
    <w:rsid w:val="00497DB3"/>
    <w:rPr>
      <w:rFonts w:ascii="Arial Narrow" w:eastAsia="Times New Roman" w:hAnsi="Arial Narrow" w:cs="Times New Roman"/>
      <w:b/>
      <w:szCs w:val="20"/>
      <w:lang w:val="en-AU"/>
    </w:rPr>
  </w:style>
  <w:style w:type="paragraph" w:customStyle="1" w:styleId="1stparagraph">
    <w:name w:val="1st paragraph"/>
    <w:basedOn w:val="Normal"/>
    <w:rsid w:val="00497DB3"/>
    <w:pPr>
      <w:spacing w:after="243" w:line="240" w:lineRule="auto"/>
      <w:jc w:val="both"/>
    </w:pPr>
    <w:rPr>
      <w:rFonts w:ascii="Times New Roman" w:eastAsia="Times New Roman" w:hAnsi="Times New Roman" w:cs="Times New Roman"/>
      <w:snapToGrid w:val="0"/>
      <w:color w:val="auto"/>
      <w:sz w:val="24"/>
      <w:szCs w:val="20"/>
    </w:rPr>
  </w:style>
  <w:style w:type="paragraph" w:styleId="NormalWeb">
    <w:name w:val="Normal (Web)"/>
    <w:basedOn w:val="Normal"/>
    <w:rsid w:val="00497DB3"/>
    <w:pPr>
      <w:spacing w:before="100" w:beforeAutospacing="1" w:after="100" w:afterAutospacing="1" w:line="240" w:lineRule="auto"/>
    </w:pPr>
    <w:rPr>
      <w:rFonts w:ascii="Times New Roman" w:eastAsia="Times New Roman" w:hAnsi="Times New Roman" w:cs="Times New Roman"/>
      <w:color w:val="auto"/>
      <w:sz w:val="24"/>
      <w:lang w:val="en-AU" w:eastAsia="en-AU"/>
    </w:rPr>
  </w:style>
  <w:style w:type="paragraph" w:styleId="BodyTextIndent2">
    <w:name w:val="Body Text Indent 2"/>
    <w:basedOn w:val="Normal"/>
    <w:link w:val="BodyTextIndent2Char"/>
    <w:rsid w:val="00497DB3"/>
    <w:pPr>
      <w:spacing w:after="120" w:line="480" w:lineRule="auto"/>
      <w:ind w:left="283"/>
    </w:pPr>
  </w:style>
  <w:style w:type="character" w:customStyle="1" w:styleId="BodyTextIndent2Char">
    <w:name w:val="Body Text Indent 2 Char"/>
    <w:basedOn w:val="DefaultParagraphFont"/>
    <w:link w:val="BodyTextIndent2"/>
    <w:rsid w:val="00497DB3"/>
    <w:rPr>
      <w:rFonts w:ascii="Arial" w:hAnsi="Arial"/>
      <w:color w:val="000000" w:themeColor="text1"/>
      <w:sz w:val="19"/>
    </w:rPr>
  </w:style>
  <w:style w:type="paragraph" w:customStyle="1" w:styleId="PWBullet1">
    <w:name w:val="PW Bullet 1"/>
    <w:basedOn w:val="Normal"/>
    <w:rsid w:val="00497DB3"/>
    <w:pPr>
      <w:spacing w:before="160" w:line="300" w:lineRule="atLeast"/>
      <w:ind w:left="567" w:hanging="567"/>
    </w:pPr>
    <w:rPr>
      <w:rFonts w:ascii="Times New Roman" w:eastAsia="Times New Roman" w:hAnsi="Times New Roman" w:cs="Times New Roman"/>
      <w:color w:val="auto"/>
      <w:sz w:val="24"/>
      <w:szCs w:val="20"/>
      <w:lang w:val="en-AU"/>
    </w:rPr>
  </w:style>
  <w:style w:type="paragraph" w:customStyle="1" w:styleId="NumberLetter2">
    <w:name w:val="|Number/Letter (2)"/>
    <w:rsid w:val="00497DB3"/>
    <w:pPr>
      <w:numPr>
        <w:numId w:val="26"/>
      </w:numPr>
      <w:spacing w:after="120" w:line="240" w:lineRule="atLeast"/>
    </w:pPr>
    <w:rPr>
      <w:rFonts w:ascii="Arial" w:eastAsia="Times New Roman" w:hAnsi="Arial" w:cs="Arial"/>
      <w:color w:val="000000"/>
      <w:sz w:val="20"/>
      <w:szCs w:val="20"/>
    </w:rPr>
  </w:style>
  <w:style w:type="table" w:styleId="TableGrid">
    <w:name w:val="Table Grid"/>
    <w:basedOn w:val="TableNormal"/>
    <w:rsid w:val="00497DB3"/>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
    <w:name w:val="Colorful Grid"/>
    <w:basedOn w:val="TableNormal"/>
    <w:rsid w:val="00247FE4"/>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Accent3">
    <w:name w:val="Colorful List Accent 3"/>
    <w:basedOn w:val="TableNormal"/>
    <w:rsid w:val="00247FE4"/>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TableList4">
    <w:name w:val="Table List 4"/>
    <w:basedOn w:val="TableNormal"/>
    <w:rsid w:val="00247FE4"/>
    <w:pPr>
      <w:spacing w:line="23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unhideWhenUsed/>
    <w:rsid w:val="0082020D"/>
    <w:pPr>
      <w:spacing w:line="240" w:lineRule="auto"/>
    </w:pPr>
    <w:rPr>
      <w:rFonts w:ascii="Calibri" w:hAnsi="Calibri" w:cs="Calibri"/>
      <w:color w:val="auto"/>
      <w:sz w:val="22"/>
      <w:szCs w:val="22"/>
    </w:rPr>
  </w:style>
  <w:style w:type="character" w:customStyle="1" w:styleId="PlainTextChar">
    <w:name w:val="Plain Text Char"/>
    <w:basedOn w:val="DefaultParagraphFont"/>
    <w:link w:val="PlainText"/>
    <w:uiPriority w:val="99"/>
    <w:rsid w:val="0082020D"/>
    <w:rPr>
      <w:rFonts w:ascii="Calibri" w:hAnsi="Calibri" w:cs="Calibri"/>
      <w:sz w:val="22"/>
      <w:szCs w:val="22"/>
    </w:rPr>
  </w:style>
  <w:style w:type="character" w:customStyle="1" w:styleId="Heading2Char">
    <w:name w:val="Heading 2 Char"/>
    <w:basedOn w:val="DefaultParagraphFont"/>
    <w:link w:val="Heading2"/>
    <w:rsid w:val="00D012D1"/>
    <w:rPr>
      <w:rFonts w:asciiTheme="majorHAnsi" w:eastAsiaTheme="majorEastAsia" w:hAnsiTheme="majorHAnsi" w:cstheme="majorBidi"/>
      <w:b/>
      <w:bCs/>
      <w:color w:val="4F81BD" w:themeColor="accent1"/>
      <w:sz w:val="26"/>
      <w:szCs w:val="26"/>
    </w:rPr>
  </w:style>
  <w:style w:type="paragraph" w:customStyle="1" w:styleId="Indent1">
    <w:name w:val="Indent 1"/>
    <w:basedOn w:val="Normal"/>
    <w:rsid w:val="00D012D1"/>
    <w:pPr>
      <w:numPr>
        <w:ilvl w:val="1"/>
        <w:numId w:val="28"/>
      </w:numPr>
      <w:kinsoku w:val="0"/>
      <w:overflowPunct w:val="0"/>
      <w:autoSpaceDE w:val="0"/>
      <w:autoSpaceDN w:val="0"/>
      <w:adjustRightInd w:val="0"/>
      <w:snapToGrid w:val="0"/>
      <w:spacing w:after="240" w:line="240" w:lineRule="atLeast"/>
    </w:pPr>
    <w:rPr>
      <w:rFonts w:ascii="Georgia" w:hAnsi="Georgia"/>
      <w:snapToGrid w:val="0"/>
      <w:color w:val="auto"/>
      <w:sz w:val="20"/>
      <w:szCs w:val="21"/>
      <w:lang w:val="en-GB"/>
    </w:rPr>
  </w:style>
  <w:style w:type="paragraph" w:customStyle="1" w:styleId="Indent2">
    <w:name w:val="Indent 2"/>
    <w:basedOn w:val="Indent1"/>
    <w:rsid w:val="00D012D1"/>
    <w:pPr>
      <w:numPr>
        <w:ilvl w:val="2"/>
      </w:numPr>
    </w:pPr>
  </w:style>
  <w:style w:type="paragraph" w:customStyle="1" w:styleId="BodySingle">
    <w:name w:val="Body Single"/>
    <w:basedOn w:val="BodyText"/>
    <w:uiPriority w:val="1"/>
    <w:qFormat/>
    <w:rsid w:val="00D012D1"/>
    <w:pPr>
      <w:tabs>
        <w:tab w:val="right" w:pos="9072"/>
      </w:tabs>
      <w:spacing w:line="240" w:lineRule="auto"/>
    </w:pPr>
    <w:rPr>
      <w:rFonts w:ascii="Georgia" w:hAnsi="Georgia"/>
      <w:color w:val="auto"/>
      <w:sz w:val="20"/>
      <w:szCs w:val="20"/>
      <w:lang w:val="en-GB"/>
    </w:rPr>
  </w:style>
  <w:style w:type="paragraph" w:styleId="Closing">
    <w:name w:val="Closing"/>
    <w:basedOn w:val="BodySingle"/>
    <w:link w:val="ClosingChar"/>
    <w:rsid w:val="00D012D1"/>
    <w:pPr>
      <w:keepNext/>
      <w:keepLines/>
    </w:pPr>
  </w:style>
  <w:style w:type="character" w:customStyle="1" w:styleId="ClosingChar">
    <w:name w:val="Closing Char"/>
    <w:basedOn w:val="DefaultParagraphFont"/>
    <w:link w:val="Closing"/>
    <w:rsid w:val="00D012D1"/>
    <w:rPr>
      <w:rFonts w:ascii="Georgia" w:hAnsi="Georgia"/>
      <w:sz w:val="20"/>
      <w:szCs w:val="20"/>
      <w:lang w:val="en-GB"/>
    </w:rPr>
  </w:style>
  <w:style w:type="paragraph" w:customStyle="1" w:styleId="Indent3">
    <w:name w:val="Indent 3"/>
    <w:basedOn w:val="Indent2"/>
    <w:rsid w:val="00D012D1"/>
    <w:pPr>
      <w:numPr>
        <w:ilvl w:val="3"/>
      </w:numPr>
    </w:pPr>
  </w:style>
  <w:style w:type="paragraph" w:customStyle="1" w:styleId="Indent4">
    <w:name w:val="Indent 4"/>
    <w:basedOn w:val="Indent3"/>
    <w:rsid w:val="00D012D1"/>
    <w:pPr>
      <w:numPr>
        <w:ilvl w:val="4"/>
      </w:numPr>
    </w:pPr>
  </w:style>
  <w:style w:type="paragraph" w:customStyle="1" w:styleId="Indent5">
    <w:name w:val="Indent 5"/>
    <w:basedOn w:val="Indent4"/>
    <w:rsid w:val="00D012D1"/>
    <w:pPr>
      <w:numPr>
        <w:ilvl w:val="5"/>
      </w:numPr>
    </w:pPr>
  </w:style>
  <w:style w:type="paragraph" w:customStyle="1" w:styleId="Indent6">
    <w:name w:val="Indent 6"/>
    <w:basedOn w:val="Indent5"/>
    <w:rsid w:val="00D012D1"/>
    <w:pPr>
      <w:numPr>
        <w:ilvl w:val="6"/>
      </w:numPr>
    </w:pPr>
  </w:style>
  <w:style w:type="paragraph" w:customStyle="1" w:styleId="Indent7">
    <w:name w:val="Indent 7"/>
    <w:basedOn w:val="Indent6"/>
    <w:rsid w:val="00D012D1"/>
    <w:pPr>
      <w:numPr>
        <w:ilvl w:val="7"/>
      </w:numPr>
    </w:pPr>
  </w:style>
  <w:style w:type="paragraph" w:customStyle="1" w:styleId="Indent8">
    <w:name w:val="Indent 8"/>
    <w:basedOn w:val="Indent7"/>
    <w:rsid w:val="00D012D1"/>
    <w:pPr>
      <w:numPr>
        <w:ilvl w:val="8"/>
      </w:numPr>
    </w:pPr>
  </w:style>
  <w:style w:type="numbering" w:customStyle="1" w:styleId="Indents">
    <w:name w:val="Indents"/>
    <w:rsid w:val="00D012D1"/>
    <w:pPr>
      <w:numPr>
        <w:numId w:val="27"/>
      </w:numPr>
    </w:pPr>
  </w:style>
  <w:style w:type="paragraph" w:styleId="ListNumber">
    <w:name w:val="List Number"/>
    <w:basedOn w:val="Normal"/>
    <w:uiPriority w:val="13"/>
    <w:unhideWhenUsed/>
    <w:qFormat/>
    <w:rsid w:val="00D012D1"/>
    <w:pPr>
      <w:numPr>
        <w:numId w:val="29"/>
      </w:numPr>
      <w:spacing w:after="240" w:line="240" w:lineRule="atLeast"/>
    </w:pPr>
    <w:rPr>
      <w:rFonts w:ascii="Georgia" w:hAnsi="Georgia"/>
      <w:color w:val="auto"/>
      <w:sz w:val="20"/>
      <w:szCs w:val="20"/>
      <w:lang w:val="en-GB"/>
    </w:rPr>
  </w:style>
  <w:style w:type="paragraph" w:styleId="ListNumber2">
    <w:name w:val="List Number 2"/>
    <w:basedOn w:val="ListNumber"/>
    <w:uiPriority w:val="13"/>
    <w:unhideWhenUsed/>
    <w:qFormat/>
    <w:rsid w:val="00D012D1"/>
    <w:pPr>
      <w:numPr>
        <w:ilvl w:val="1"/>
      </w:numPr>
    </w:pPr>
  </w:style>
  <w:style w:type="paragraph" w:styleId="ListNumber3">
    <w:name w:val="List Number 3"/>
    <w:basedOn w:val="ListNumber2"/>
    <w:uiPriority w:val="13"/>
    <w:unhideWhenUsed/>
    <w:qFormat/>
    <w:rsid w:val="00D012D1"/>
    <w:pPr>
      <w:numPr>
        <w:ilvl w:val="2"/>
      </w:numPr>
    </w:pPr>
  </w:style>
  <w:style w:type="paragraph" w:styleId="ListNumber4">
    <w:name w:val="List Number 4"/>
    <w:basedOn w:val="ListNumber3"/>
    <w:uiPriority w:val="13"/>
    <w:unhideWhenUsed/>
    <w:rsid w:val="00D012D1"/>
    <w:pPr>
      <w:numPr>
        <w:ilvl w:val="3"/>
      </w:numPr>
    </w:pPr>
  </w:style>
  <w:style w:type="paragraph" w:styleId="ListNumber5">
    <w:name w:val="List Number 5"/>
    <w:basedOn w:val="ListNumber4"/>
    <w:uiPriority w:val="13"/>
    <w:unhideWhenUsed/>
    <w:rsid w:val="00D012D1"/>
    <w:pPr>
      <w:numPr>
        <w:ilvl w:val="4"/>
      </w:numPr>
    </w:pPr>
  </w:style>
  <w:style w:type="paragraph" w:customStyle="1" w:styleId="PwCNormal">
    <w:name w:val="PwC Normal"/>
    <w:basedOn w:val="Normal"/>
    <w:rsid w:val="00D012D1"/>
    <w:pPr>
      <w:numPr>
        <w:numId w:val="28"/>
      </w:numPr>
      <w:kinsoku w:val="0"/>
      <w:overflowPunct w:val="0"/>
      <w:autoSpaceDE w:val="0"/>
      <w:autoSpaceDN w:val="0"/>
      <w:adjustRightInd w:val="0"/>
      <w:snapToGrid w:val="0"/>
      <w:spacing w:after="240" w:line="240" w:lineRule="auto"/>
    </w:pPr>
    <w:rPr>
      <w:rFonts w:ascii="Georgia" w:eastAsia="Times New Roman" w:hAnsi="Georgia" w:cs="Arial"/>
      <w:snapToGrid w:val="0"/>
      <w:color w:val="auto"/>
      <w:sz w:val="20"/>
      <w:szCs w:val="21"/>
      <w:lang w:val="en-AU"/>
    </w:rPr>
  </w:style>
  <w:style w:type="paragraph" w:customStyle="1" w:styleId="HangingIndent2">
    <w:name w:val="Hanging Indent 2"/>
    <w:basedOn w:val="Normal"/>
    <w:rsid w:val="00D012D1"/>
    <w:pPr>
      <w:tabs>
        <w:tab w:val="left" w:pos="567"/>
      </w:tabs>
      <w:spacing w:after="240" w:line="240" w:lineRule="atLeast"/>
      <w:ind w:left="1134" w:hanging="567"/>
    </w:pPr>
    <w:rPr>
      <w:rFonts w:ascii="Georgia" w:hAnsi="Georgia"/>
      <w:color w:val="auto"/>
      <w:sz w:val="20"/>
      <w:szCs w:val="20"/>
      <w:lang w:val="en-GB"/>
    </w:rPr>
  </w:style>
  <w:style w:type="paragraph" w:customStyle="1" w:styleId="HangingIndent3">
    <w:name w:val="Hanging Indent 3"/>
    <w:basedOn w:val="HangingIndent2"/>
    <w:rsid w:val="00D012D1"/>
    <w:pPr>
      <w:ind w:left="1701"/>
    </w:pPr>
  </w:style>
  <w:style w:type="paragraph" w:styleId="ListParagraph">
    <w:name w:val="List Paragraph"/>
    <w:basedOn w:val="Normal"/>
    <w:uiPriority w:val="34"/>
    <w:qFormat/>
    <w:rsid w:val="003848A1"/>
    <w:pPr>
      <w:spacing w:after="240" w:line="240" w:lineRule="atLeast"/>
      <w:ind w:left="720"/>
      <w:contextualSpacing/>
    </w:pPr>
    <w:rPr>
      <w:rFonts w:asciiTheme="minorHAnsi" w:hAnsiTheme="minorHAnsi"/>
      <w:color w:val="auto"/>
      <w:sz w:val="20"/>
      <w:szCs w:val="20"/>
      <w:lang w:val="en-GB"/>
    </w:rPr>
  </w:style>
  <w:style w:type="character" w:styleId="Hyperlink">
    <w:name w:val="Hyperlink"/>
    <w:basedOn w:val="DefaultParagraphFont"/>
    <w:unhideWhenUsed/>
    <w:rsid w:val="00E051F5"/>
    <w:rPr>
      <w:color w:val="0000FF" w:themeColor="hyperlink"/>
      <w:u w:val="single"/>
    </w:rPr>
  </w:style>
  <w:style w:type="character" w:styleId="CommentReference">
    <w:name w:val="annotation reference"/>
    <w:basedOn w:val="DefaultParagraphFont"/>
    <w:semiHidden/>
    <w:unhideWhenUsed/>
    <w:rsid w:val="00E051F5"/>
    <w:rPr>
      <w:sz w:val="16"/>
      <w:szCs w:val="16"/>
    </w:rPr>
  </w:style>
  <w:style w:type="paragraph" w:styleId="CommentText">
    <w:name w:val="annotation text"/>
    <w:basedOn w:val="Normal"/>
    <w:link w:val="CommentTextChar"/>
    <w:semiHidden/>
    <w:unhideWhenUsed/>
    <w:rsid w:val="00E051F5"/>
    <w:pPr>
      <w:spacing w:line="240" w:lineRule="auto"/>
    </w:pPr>
    <w:rPr>
      <w:sz w:val="20"/>
      <w:szCs w:val="20"/>
    </w:rPr>
  </w:style>
  <w:style w:type="character" w:customStyle="1" w:styleId="CommentTextChar">
    <w:name w:val="Comment Text Char"/>
    <w:basedOn w:val="DefaultParagraphFont"/>
    <w:link w:val="CommentText"/>
    <w:semiHidden/>
    <w:rsid w:val="00E051F5"/>
    <w:rPr>
      <w:rFonts w:ascii="Arial" w:hAnsi="Arial"/>
      <w:color w:val="000000" w:themeColor="text1"/>
      <w:sz w:val="20"/>
      <w:szCs w:val="20"/>
    </w:rPr>
  </w:style>
  <w:style w:type="paragraph" w:styleId="FootnoteText">
    <w:name w:val="footnote text"/>
    <w:basedOn w:val="Normal"/>
    <w:link w:val="FootnoteTextChar"/>
    <w:semiHidden/>
    <w:unhideWhenUsed/>
    <w:rsid w:val="00E051F5"/>
    <w:pPr>
      <w:spacing w:line="240" w:lineRule="auto"/>
    </w:pPr>
    <w:rPr>
      <w:sz w:val="20"/>
      <w:szCs w:val="20"/>
    </w:rPr>
  </w:style>
  <w:style w:type="character" w:customStyle="1" w:styleId="FootnoteTextChar">
    <w:name w:val="Footnote Text Char"/>
    <w:basedOn w:val="DefaultParagraphFont"/>
    <w:link w:val="FootnoteText"/>
    <w:semiHidden/>
    <w:rsid w:val="00E051F5"/>
    <w:rPr>
      <w:rFonts w:ascii="Arial" w:hAnsi="Arial"/>
      <w:color w:val="000000" w:themeColor="text1"/>
      <w:sz w:val="20"/>
      <w:szCs w:val="20"/>
    </w:rPr>
  </w:style>
  <w:style w:type="character" w:styleId="FootnoteReference">
    <w:name w:val="footnote reference"/>
    <w:basedOn w:val="DefaultParagraphFont"/>
    <w:semiHidden/>
    <w:unhideWhenUsed/>
    <w:rsid w:val="00E051F5"/>
    <w:rPr>
      <w:vertAlign w:val="superscript"/>
    </w:rPr>
  </w:style>
  <w:style w:type="paragraph" w:styleId="BalloonText">
    <w:name w:val="Balloon Text"/>
    <w:basedOn w:val="Normal"/>
    <w:link w:val="BalloonTextChar"/>
    <w:rsid w:val="00E051F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E051F5"/>
    <w:rPr>
      <w:rFonts w:ascii="Segoe UI" w:hAnsi="Segoe UI" w:cs="Segoe UI"/>
      <w:color w:val="000000" w:themeColor="text1"/>
      <w:sz w:val="18"/>
      <w:szCs w:val="18"/>
    </w:rPr>
  </w:style>
  <w:style w:type="paragraph" w:styleId="CommentSubject">
    <w:name w:val="annotation subject"/>
    <w:basedOn w:val="CommentText"/>
    <w:next w:val="CommentText"/>
    <w:link w:val="CommentSubjectChar"/>
    <w:semiHidden/>
    <w:unhideWhenUsed/>
    <w:rsid w:val="00D02511"/>
    <w:rPr>
      <w:b/>
      <w:bCs/>
    </w:rPr>
  </w:style>
  <w:style w:type="character" w:customStyle="1" w:styleId="CommentSubjectChar">
    <w:name w:val="Comment Subject Char"/>
    <w:basedOn w:val="CommentTextChar"/>
    <w:link w:val="CommentSubject"/>
    <w:semiHidden/>
    <w:rsid w:val="00D02511"/>
    <w:rPr>
      <w:rFonts w:ascii="Arial" w:hAnsi="Arial"/>
      <w:b/>
      <w:bCs/>
      <w:color w:val="000000" w:themeColor="text1"/>
      <w:sz w:val="20"/>
      <w:szCs w:val="20"/>
    </w:rPr>
  </w:style>
  <w:style w:type="character" w:styleId="FollowedHyperlink">
    <w:name w:val="FollowedHyperlink"/>
    <w:basedOn w:val="DefaultParagraphFont"/>
    <w:semiHidden/>
    <w:unhideWhenUsed/>
    <w:rsid w:val="00F97B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694">
      <w:bodyDiv w:val="1"/>
      <w:marLeft w:val="0"/>
      <w:marRight w:val="0"/>
      <w:marTop w:val="0"/>
      <w:marBottom w:val="0"/>
      <w:divBdr>
        <w:top w:val="none" w:sz="0" w:space="0" w:color="auto"/>
        <w:left w:val="none" w:sz="0" w:space="0" w:color="auto"/>
        <w:bottom w:val="none" w:sz="0" w:space="0" w:color="auto"/>
        <w:right w:val="none" w:sz="0" w:space="0" w:color="auto"/>
      </w:divBdr>
    </w:div>
    <w:div w:id="923104650">
      <w:bodyDiv w:val="1"/>
      <w:marLeft w:val="0"/>
      <w:marRight w:val="0"/>
      <w:marTop w:val="0"/>
      <w:marBottom w:val="0"/>
      <w:divBdr>
        <w:top w:val="none" w:sz="0" w:space="0" w:color="auto"/>
        <w:left w:val="none" w:sz="0" w:space="0" w:color="auto"/>
        <w:bottom w:val="none" w:sz="0" w:space="0" w:color="auto"/>
        <w:right w:val="none" w:sz="0" w:space="0" w:color="auto"/>
      </w:divBdr>
    </w:div>
    <w:div w:id="1056391165">
      <w:bodyDiv w:val="1"/>
      <w:marLeft w:val="0"/>
      <w:marRight w:val="0"/>
      <w:marTop w:val="0"/>
      <w:marBottom w:val="0"/>
      <w:divBdr>
        <w:top w:val="none" w:sz="0" w:space="0" w:color="auto"/>
        <w:left w:val="none" w:sz="0" w:space="0" w:color="auto"/>
        <w:bottom w:val="none" w:sz="0" w:space="0" w:color="auto"/>
        <w:right w:val="none" w:sz="0" w:space="0" w:color="auto"/>
      </w:divBdr>
    </w:div>
    <w:div w:id="18191080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ysubmissions@rba.gov.a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usa.visa.com/dam/VCOM/download/about-visa/visa-rules-public.pdf" TargetMode="External"/><Relationship Id="rId2" Type="http://schemas.openxmlformats.org/officeDocument/2006/relationships/hyperlink" Target="http://fsi.gov.au/publications/final-report/chapter-3/interchange-fees/" TargetMode="External"/><Relationship Id="rId1" Type="http://schemas.openxmlformats.org/officeDocument/2006/relationships/hyperlink" Target="http://registers.accc.gov.au/content/index.phtml/itemId/1197444/fromItemId/278039/display/submission" TargetMode="External"/><Relationship Id="rId6" Type="http://schemas.openxmlformats.org/officeDocument/2006/relationships/hyperlink" Target="https://www.paymentssource.com/opinion/feds-debit-pressure-on-visa-a-welcome-move-for-competition" TargetMode="External"/><Relationship Id="rId5" Type="http://schemas.openxmlformats.org/officeDocument/2006/relationships/hyperlink" Target="http://www.fcac-acfc.gc.ca/Eng/forIndustry/publications/lawsReg/Pages/CodeofCo-Codedeco.aspx" TargetMode="External"/><Relationship Id="rId4" Type="http://schemas.openxmlformats.org/officeDocument/2006/relationships/hyperlink" Target="http://www.pymnts.com/news/mobile-payments/2016/mastercard-and-visa-tag-team-toke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D82C3-DAD4-494B-BA5C-A3E347BAD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F576AE0D.dotm</Template>
  <TotalTime>0</TotalTime>
  <Pages>4</Pages>
  <Words>1601</Words>
  <Characters>9088</Characters>
  <Application>Microsoft Office Word</Application>
  <DocSecurity>0</DocSecurity>
  <Lines>174</Lines>
  <Paragraphs>49</Paragraphs>
  <ScaleCrop>false</ScaleCrop>
  <Company/>
  <LinksUpToDate>false</LinksUpToDate>
  <CharactersWithSpaces>10680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Reserve Bank of Australia</dc:creator>
  <cp:lastModifiedBy>Reserve Bank of Australia</cp:lastModifiedBy>
  <cp:revision>2</cp:revision>
  <dcterms:created xsi:type="dcterms:W3CDTF">2017-02-14T02:25:00Z</dcterms:created>
  <dcterms:modified xsi:type="dcterms:W3CDTF">2017-02-14T02:25:00Z</dcterms:modified>
</cp:coreProperties>
</file>