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0E8" w:rsidRDefault="001C05C7" w:rsidP="001C05C7">
      <w:pPr>
        <w:tabs>
          <w:tab w:val="left" w:pos="2700"/>
          <w:tab w:val="left" w:pos="5400"/>
          <w:tab w:val="left" w:pos="6480"/>
        </w:tabs>
        <w:rPr>
          <w:rFonts w:ascii="Arial" w:hAnsi="Arial"/>
          <w:sz w:val="16"/>
        </w:rPr>
      </w:pPr>
      <w:bookmarkStart w:id="0" w:name="_GoBack"/>
      <w:bookmarkEnd w:id="0"/>
      <w:r>
        <w:rPr>
          <w:rFonts w:ascii="Arial" w:hAnsi="Arial"/>
          <w:b/>
          <w:noProof/>
        </w:rPr>
        <w:drawing>
          <wp:anchor distT="0" distB="0" distL="114300" distR="114300" simplePos="0" relativeHeight="251657216" behindDoc="0" locked="0" layoutInCell="0" allowOverlap="1">
            <wp:simplePos x="0" y="0"/>
            <wp:positionH relativeFrom="column">
              <wp:posOffset>-74295</wp:posOffset>
            </wp:positionH>
            <wp:positionV relativeFrom="paragraph">
              <wp:posOffset>4445</wp:posOffset>
            </wp:positionV>
            <wp:extent cx="2011680" cy="274320"/>
            <wp:effectExtent l="19050" t="0" r="762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srcRect/>
                    <a:stretch>
                      <a:fillRect/>
                    </a:stretch>
                  </pic:blipFill>
                  <pic:spPr bwMode="auto">
                    <a:xfrm>
                      <a:off x="0" y="0"/>
                      <a:ext cx="2011680" cy="274320"/>
                    </a:xfrm>
                    <a:prstGeom prst="rect">
                      <a:avLst/>
                    </a:prstGeom>
                    <a:noFill/>
                    <a:ln w="9525">
                      <a:noFill/>
                      <a:miter lim="800000"/>
                      <a:headEnd/>
                      <a:tailEnd/>
                    </a:ln>
                  </pic:spPr>
                </pic:pic>
              </a:graphicData>
            </a:graphic>
          </wp:anchor>
        </w:drawing>
      </w:r>
      <w:r w:rsidR="005400E8">
        <w:rPr>
          <w:rFonts w:ascii="Arial" w:hAnsi="Arial"/>
          <w:sz w:val="16"/>
        </w:rPr>
        <w:t xml:space="preserve">Commonwealth Bank of </w:t>
      </w:r>
      <w:smartTag w:uri="urn:schemas-microsoft-com:office:smarttags" w:element="country-region">
        <w:smartTag w:uri="urn:schemas-microsoft-com:office:smarttags" w:element="place">
          <w:r w:rsidR="005400E8">
            <w:rPr>
              <w:rFonts w:ascii="Arial" w:hAnsi="Arial"/>
              <w:sz w:val="16"/>
            </w:rPr>
            <w:t>Australia</w:t>
          </w:r>
        </w:smartTag>
      </w:smartTag>
    </w:p>
    <w:p w:rsidR="005400E8" w:rsidRDefault="005400E8" w:rsidP="001C05C7">
      <w:pPr>
        <w:tabs>
          <w:tab w:val="left" w:pos="2700"/>
          <w:tab w:val="left" w:pos="5400"/>
          <w:tab w:val="left" w:pos="6480"/>
        </w:tabs>
        <w:rPr>
          <w:rFonts w:ascii="Arial" w:hAnsi="Arial"/>
          <w:sz w:val="16"/>
        </w:rPr>
      </w:pPr>
      <w:r>
        <w:rPr>
          <w:rFonts w:ascii="Arial" w:hAnsi="Arial"/>
          <w:sz w:val="16"/>
        </w:rPr>
        <w:t>ABN 48 123 123 124</w:t>
      </w:r>
    </w:p>
    <w:p w:rsidR="0064712E" w:rsidRDefault="0064712E" w:rsidP="0064712E">
      <w:pPr>
        <w:tabs>
          <w:tab w:val="left" w:pos="2700"/>
          <w:tab w:val="left" w:pos="5400"/>
          <w:tab w:val="left" w:pos="6480"/>
        </w:tabs>
        <w:rPr>
          <w:rFonts w:ascii="Univers (WN)" w:hAnsi="Univers (WN)"/>
          <w:sz w:val="16"/>
        </w:rPr>
      </w:pPr>
    </w:p>
    <w:tbl>
      <w:tblPr>
        <w:tblStyle w:val="TableGrid"/>
        <w:tblW w:w="1006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6"/>
        <w:gridCol w:w="1827"/>
        <w:gridCol w:w="2552"/>
        <w:gridCol w:w="3260"/>
      </w:tblGrid>
      <w:tr w:rsidR="0064712E" w:rsidTr="00573ADA">
        <w:tc>
          <w:tcPr>
            <w:tcW w:w="2426" w:type="dxa"/>
          </w:tcPr>
          <w:p w:rsidR="0064712E" w:rsidRDefault="0064712E" w:rsidP="000E194A">
            <w:pPr>
              <w:rPr>
                <w:rFonts w:ascii="Arial" w:hAnsi="Arial"/>
                <w:sz w:val="16"/>
              </w:rPr>
            </w:pPr>
            <w:r>
              <w:rPr>
                <w:rFonts w:ascii="Arial" w:hAnsi="Arial"/>
                <w:sz w:val="16"/>
              </w:rPr>
              <w:t xml:space="preserve">Level  </w:t>
            </w:r>
            <w:r w:rsidR="000E194A">
              <w:rPr>
                <w:rFonts w:ascii="Arial" w:hAnsi="Arial"/>
                <w:sz w:val="16"/>
              </w:rPr>
              <w:t>23</w:t>
            </w:r>
          </w:p>
        </w:tc>
        <w:tc>
          <w:tcPr>
            <w:tcW w:w="1827" w:type="dxa"/>
          </w:tcPr>
          <w:p w:rsidR="0064712E" w:rsidRDefault="0064712E" w:rsidP="00573ADA">
            <w:pPr>
              <w:rPr>
                <w:rFonts w:ascii="Arial" w:hAnsi="Arial"/>
                <w:sz w:val="16"/>
              </w:rPr>
            </w:pPr>
            <w:r>
              <w:rPr>
                <w:rFonts w:ascii="Arial" w:hAnsi="Arial"/>
                <w:sz w:val="16"/>
              </w:rPr>
              <w:t>GPO Box 2719</w:t>
            </w:r>
          </w:p>
        </w:tc>
        <w:tc>
          <w:tcPr>
            <w:tcW w:w="2552" w:type="dxa"/>
          </w:tcPr>
          <w:p w:rsidR="0064712E" w:rsidRDefault="0064712E" w:rsidP="00573ADA">
            <w:pPr>
              <w:rPr>
                <w:rFonts w:ascii="Arial" w:hAnsi="Arial"/>
                <w:sz w:val="16"/>
              </w:rPr>
            </w:pPr>
            <w:r>
              <w:rPr>
                <w:rFonts w:ascii="Arial" w:hAnsi="Arial"/>
                <w:sz w:val="16"/>
              </w:rPr>
              <w:t>Telephone:  (02) 9118 6545</w:t>
            </w:r>
          </w:p>
        </w:tc>
        <w:tc>
          <w:tcPr>
            <w:tcW w:w="3260" w:type="dxa"/>
          </w:tcPr>
          <w:p w:rsidR="0064712E" w:rsidRDefault="000E194A" w:rsidP="00573ADA">
            <w:pPr>
              <w:rPr>
                <w:rFonts w:ascii="Arial" w:hAnsi="Arial"/>
                <w:sz w:val="16"/>
              </w:rPr>
            </w:pPr>
            <w:r>
              <w:rPr>
                <w:rFonts w:ascii="Arial" w:hAnsi="Arial"/>
                <w:sz w:val="16"/>
              </w:rPr>
              <w:t xml:space="preserve">Payments </w:t>
            </w:r>
            <w:r w:rsidR="0064712E">
              <w:rPr>
                <w:rFonts w:ascii="Arial" w:hAnsi="Arial"/>
                <w:sz w:val="16"/>
              </w:rPr>
              <w:t>Representation</w:t>
            </w:r>
          </w:p>
        </w:tc>
      </w:tr>
      <w:tr w:rsidR="0064712E" w:rsidTr="00573ADA">
        <w:tc>
          <w:tcPr>
            <w:tcW w:w="2426" w:type="dxa"/>
          </w:tcPr>
          <w:p w:rsidR="0064712E" w:rsidRDefault="0064712E" w:rsidP="00573ADA">
            <w:pPr>
              <w:rPr>
                <w:rFonts w:ascii="Arial" w:hAnsi="Arial"/>
                <w:sz w:val="16"/>
              </w:rPr>
            </w:pPr>
            <w:r>
              <w:rPr>
                <w:rFonts w:ascii="Arial" w:hAnsi="Arial"/>
                <w:sz w:val="16"/>
              </w:rPr>
              <w:t>201 Sussex Street</w:t>
            </w:r>
          </w:p>
        </w:tc>
        <w:tc>
          <w:tcPr>
            <w:tcW w:w="1827" w:type="dxa"/>
          </w:tcPr>
          <w:p w:rsidR="0064712E" w:rsidRDefault="0064712E" w:rsidP="00573ADA">
            <w:pPr>
              <w:rPr>
                <w:rFonts w:ascii="Arial" w:hAnsi="Arial"/>
                <w:sz w:val="16"/>
              </w:rPr>
            </w:pPr>
            <w:r>
              <w:rPr>
                <w:rFonts w:ascii="Arial" w:hAnsi="Arial"/>
                <w:sz w:val="16"/>
              </w:rPr>
              <w:t>Sydney</w:t>
            </w:r>
          </w:p>
        </w:tc>
        <w:tc>
          <w:tcPr>
            <w:tcW w:w="2552" w:type="dxa"/>
          </w:tcPr>
          <w:p w:rsidR="0064712E" w:rsidRDefault="0064712E" w:rsidP="00573ADA">
            <w:pPr>
              <w:rPr>
                <w:rFonts w:ascii="Arial" w:hAnsi="Arial"/>
                <w:sz w:val="16"/>
              </w:rPr>
            </w:pPr>
            <w:r>
              <w:rPr>
                <w:rFonts w:ascii="Arial" w:hAnsi="Arial"/>
                <w:sz w:val="16"/>
              </w:rPr>
              <w:t xml:space="preserve">Email:  </w:t>
            </w:r>
            <w:hyperlink r:id="rId10" w:history="1">
              <w:r w:rsidRPr="009E3579">
                <w:rPr>
                  <w:rStyle w:val="Hyperlink"/>
                  <w:rFonts w:ascii="Arial" w:hAnsi="Arial"/>
                  <w:sz w:val="16"/>
                </w:rPr>
                <w:t>woodward@cba.com,au</w:t>
              </w:r>
            </w:hyperlink>
          </w:p>
        </w:tc>
        <w:tc>
          <w:tcPr>
            <w:tcW w:w="3260" w:type="dxa"/>
          </w:tcPr>
          <w:p w:rsidR="0064712E" w:rsidRDefault="000E194A" w:rsidP="00573ADA">
            <w:pPr>
              <w:rPr>
                <w:rFonts w:ascii="Arial" w:hAnsi="Arial"/>
                <w:sz w:val="16"/>
              </w:rPr>
            </w:pPr>
            <w:r>
              <w:rPr>
                <w:rFonts w:ascii="Arial" w:hAnsi="Arial"/>
                <w:sz w:val="16"/>
              </w:rPr>
              <w:t>Cash-Flow and Transaction Services</w:t>
            </w:r>
          </w:p>
        </w:tc>
      </w:tr>
      <w:tr w:rsidR="0064712E" w:rsidTr="00573ADA">
        <w:tc>
          <w:tcPr>
            <w:tcW w:w="2426" w:type="dxa"/>
          </w:tcPr>
          <w:p w:rsidR="0064712E" w:rsidRDefault="0064712E" w:rsidP="00573ADA">
            <w:pPr>
              <w:rPr>
                <w:rFonts w:ascii="Arial" w:hAnsi="Arial"/>
                <w:sz w:val="16"/>
              </w:rPr>
            </w:pPr>
            <w:r>
              <w:rPr>
                <w:rFonts w:ascii="Arial" w:hAnsi="Arial"/>
                <w:sz w:val="16"/>
              </w:rPr>
              <w:t>Sydney  NSW  2000</w:t>
            </w:r>
          </w:p>
        </w:tc>
        <w:tc>
          <w:tcPr>
            <w:tcW w:w="1827" w:type="dxa"/>
          </w:tcPr>
          <w:p w:rsidR="0064712E" w:rsidRDefault="0064712E" w:rsidP="00573ADA">
            <w:pPr>
              <w:rPr>
                <w:rFonts w:ascii="Arial" w:hAnsi="Arial"/>
                <w:sz w:val="16"/>
              </w:rPr>
            </w:pPr>
          </w:p>
        </w:tc>
        <w:tc>
          <w:tcPr>
            <w:tcW w:w="2552" w:type="dxa"/>
          </w:tcPr>
          <w:p w:rsidR="0064712E" w:rsidRDefault="0064712E" w:rsidP="00573ADA">
            <w:pPr>
              <w:rPr>
                <w:rFonts w:ascii="Arial" w:hAnsi="Arial"/>
                <w:sz w:val="16"/>
              </w:rPr>
            </w:pPr>
          </w:p>
        </w:tc>
        <w:tc>
          <w:tcPr>
            <w:tcW w:w="3260" w:type="dxa"/>
          </w:tcPr>
          <w:p w:rsidR="0064712E" w:rsidRDefault="000E194A" w:rsidP="00573ADA">
            <w:pPr>
              <w:rPr>
                <w:rFonts w:ascii="Arial" w:hAnsi="Arial"/>
                <w:sz w:val="16"/>
              </w:rPr>
            </w:pPr>
            <w:r>
              <w:rPr>
                <w:rFonts w:ascii="Arial" w:hAnsi="Arial"/>
                <w:sz w:val="16"/>
              </w:rPr>
              <w:t>Institutional Banking and Markets</w:t>
            </w:r>
          </w:p>
        </w:tc>
      </w:tr>
      <w:tr w:rsidR="0064712E" w:rsidTr="00573ADA">
        <w:tc>
          <w:tcPr>
            <w:tcW w:w="2426" w:type="dxa"/>
          </w:tcPr>
          <w:p w:rsidR="0064712E" w:rsidRDefault="0064712E" w:rsidP="00573ADA">
            <w:pPr>
              <w:ind w:right="-198"/>
              <w:rPr>
                <w:rFonts w:ascii="Arial" w:hAnsi="Arial"/>
                <w:sz w:val="16"/>
              </w:rPr>
            </w:pPr>
            <w:r>
              <w:rPr>
                <w:rFonts w:ascii="Arial" w:hAnsi="Arial"/>
                <w:sz w:val="16"/>
              </w:rPr>
              <w:t>Australia</w:t>
            </w:r>
          </w:p>
        </w:tc>
        <w:tc>
          <w:tcPr>
            <w:tcW w:w="1827" w:type="dxa"/>
          </w:tcPr>
          <w:p w:rsidR="0064712E" w:rsidRDefault="0064712E" w:rsidP="00573ADA">
            <w:pPr>
              <w:rPr>
                <w:rFonts w:ascii="Arial" w:hAnsi="Arial"/>
                <w:sz w:val="16"/>
              </w:rPr>
            </w:pPr>
          </w:p>
        </w:tc>
        <w:tc>
          <w:tcPr>
            <w:tcW w:w="2552" w:type="dxa"/>
          </w:tcPr>
          <w:p w:rsidR="0064712E" w:rsidRDefault="0064712E" w:rsidP="00573ADA">
            <w:pPr>
              <w:rPr>
                <w:rFonts w:ascii="Arial" w:hAnsi="Arial"/>
                <w:sz w:val="16"/>
              </w:rPr>
            </w:pPr>
          </w:p>
        </w:tc>
        <w:tc>
          <w:tcPr>
            <w:tcW w:w="3260" w:type="dxa"/>
          </w:tcPr>
          <w:p w:rsidR="0064712E" w:rsidRDefault="0064712E" w:rsidP="00573ADA">
            <w:pPr>
              <w:rPr>
                <w:rFonts w:ascii="Arial" w:hAnsi="Arial"/>
                <w:sz w:val="16"/>
              </w:rPr>
            </w:pPr>
          </w:p>
        </w:tc>
      </w:tr>
    </w:tbl>
    <w:p w:rsidR="005400E8" w:rsidRDefault="005400E8" w:rsidP="001C05C7">
      <w:pPr>
        <w:tabs>
          <w:tab w:val="left" w:pos="2700"/>
          <w:tab w:val="left" w:pos="5400"/>
          <w:tab w:val="left" w:pos="6480"/>
        </w:tabs>
        <w:rPr>
          <w:rFonts w:ascii="Univers (WN)" w:hAnsi="Univers (WN)"/>
          <w:sz w:val="16"/>
        </w:rPr>
      </w:pPr>
    </w:p>
    <w:p w:rsidR="00FE0251" w:rsidRPr="008E504A" w:rsidRDefault="00FE0251" w:rsidP="008E504A">
      <w:pPr>
        <w:rPr>
          <w:rFonts w:ascii="Arial" w:hAnsi="Arial"/>
          <w:b/>
          <w:sz w:val="16"/>
        </w:rPr>
      </w:pPr>
    </w:p>
    <w:p w:rsidR="005400E8" w:rsidRPr="007E7658" w:rsidRDefault="004E483A" w:rsidP="00EB6FA0">
      <w:pPr>
        <w:pStyle w:val="BodyText"/>
        <w:shd w:val="clear" w:color="auto" w:fill="FFFFFF" w:themeFill="background1"/>
        <w:spacing w:after="0" w:line="280" w:lineRule="exact"/>
        <w:jc w:val="left"/>
        <w:rPr>
          <w:rFonts w:asciiTheme="minorHAnsi" w:hAnsiTheme="minorHAnsi" w:cs="Arial"/>
          <w:sz w:val="24"/>
          <w:szCs w:val="24"/>
        </w:rPr>
      </w:pPr>
      <w:r>
        <w:rPr>
          <w:rFonts w:asciiTheme="minorHAnsi" w:hAnsiTheme="minorHAnsi" w:cs="Arial"/>
          <w:sz w:val="24"/>
          <w:szCs w:val="24"/>
        </w:rPr>
        <w:t xml:space="preserve">1 February </w:t>
      </w:r>
      <w:r w:rsidR="002452DC" w:rsidRPr="007E7658">
        <w:rPr>
          <w:rFonts w:asciiTheme="minorHAnsi" w:hAnsiTheme="minorHAnsi" w:cs="Arial"/>
          <w:sz w:val="24"/>
          <w:szCs w:val="24"/>
        </w:rPr>
        <w:t>201</w:t>
      </w:r>
      <w:r w:rsidR="000E194A" w:rsidRPr="007E7658">
        <w:rPr>
          <w:rFonts w:asciiTheme="minorHAnsi" w:hAnsiTheme="minorHAnsi" w:cs="Arial"/>
          <w:sz w:val="24"/>
          <w:szCs w:val="24"/>
        </w:rPr>
        <w:t>7</w:t>
      </w:r>
    </w:p>
    <w:p w:rsidR="00940063" w:rsidRPr="007E7658" w:rsidRDefault="00940063" w:rsidP="00940063">
      <w:pPr>
        <w:pStyle w:val="BodyText"/>
        <w:spacing w:after="0" w:line="240" w:lineRule="exact"/>
        <w:jc w:val="left"/>
        <w:rPr>
          <w:rFonts w:asciiTheme="minorHAnsi" w:hAnsiTheme="minorHAnsi" w:cs="Arial"/>
          <w:sz w:val="24"/>
          <w:szCs w:val="24"/>
        </w:rPr>
      </w:pPr>
    </w:p>
    <w:p w:rsidR="00EB6FA0" w:rsidRPr="007E7658" w:rsidRDefault="00EB6FA0" w:rsidP="00940063">
      <w:pPr>
        <w:pStyle w:val="BodyText"/>
        <w:spacing w:after="0" w:line="240" w:lineRule="exact"/>
        <w:jc w:val="left"/>
        <w:rPr>
          <w:rFonts w:asciiTheme="minorHAnsi" w:hAnsiTheme="minorHAnsi" w:cs="Arial"/>
          <w:sz w:val="24"/>
          <w:szCs w:val="24"/>
        </w:rPr>
      </w:pPr>
    </w:p>
    <w:p w:rsidR="009A6D44" w:rsidRPr="007E7658" w:rsidRDefault="000D168D" w:rsidP="001C05C7">
      <w:pPr>
        <w:pStyle w:val="BodyText"/>
        <w:spacing w:after="0" w:line="240" w:lineRule="auto"/>
        <w:jc w:val="left"/>
        <w:rPr>
          <w:rFonts w:asciiTheme="minorHAnsi" w:hAnsiTheme="minorHAnsi" w:cs="Arial"/>
          <w:sz w:val="24"/>
          <w:szCs w:val="24"/>
        </w:rPr>
      </w:pPr>
      <w:r>
        <w:rPr>
          <w:rFonts w:asciiTheme="minorHAnsi" w:hAnsiTheme="minorHAnsi" w:cs="Arial"/>
          <w:noProof/>
          <w:sz w:val="24"/>
          <w:szCs w:val="24"/>
        </w:rPr>
        <w:pict>
          <v:group id="_x0000_s1026" style="position:absolute;margin-left:401.5pt;margin-top:3.55pt;width:52.9pt;height:52.5pt;z-index:251658240" coordorigin="9996,2743" coordsize="1564,1552" o:allowincell="f">
            <o:lock v:ext="edit" aspectratio="t"/>
            <v:shape id="_x0000_s1027" style="position:absolute;left:9996;top:2743;width:1564;height:1552" coordsize="1564,1552" path="m,776l782,r782,776l782,1552,,776xe" fillcolor="#ffb00f" stroked="f">
              <v:path arrowok="t"/>
              <o:lock v:ext="edit" aspectratio="t"/>
            </v:shape>
            <v:shape id="_x0000_s1028" style="position:absolute;left:10778;top:3333;width:782;height:961" coordsize="782,961" path="m,961l782,186,594,,312,279,,961e" fillcolor="black" strokeweight="0">
              <v:path arrowok="t"/>
              <o:lock v:ext="edit" aspectratio="t"/>
            </v:shape>
          </v:group>
        </w:pict>
      </w:r>
      <w:r w:rsidR="00E9632C" w:rsidRPr="007E7658">
        <w:rPr>
          <w:rFonts w:asciiTheme="minorHAnsi" w:hAnsiTheme="minorHAnsi" w:cs="Arial"/>
          <w:sz w:val="24"/>
          <w:szCs w:val="24"/>
        </w:rPr>
        <w:t xml:space="preserve">Dr </w:t>
      </w:r>
      <w:r w:rsidR="00DA2E5D" w:rsidRPr="007E7658">
        <w:rPr>
          <w:rFonts w:asciiTheme="minorHAnsi" w:hAnsiTheme="minorHAnsi" w:cs="Arial"/>
          <w:sz w:val="24"/>
          <w:szCs w:val="24"/>
        </w:rPr>
        <w:t>Tony Richards</w:t>
      </w:r>
    </w:p>
    <w:p w:rsidR="00E5021E" w:rsidRPr="007E7658" w:rsidRDefault="00E5021E" w:rsidP="001C05C7">
      <w:pPr>
        <w:pStyle w:val="BodyText"/>
        <w:spacing w:after="0" w:line="240" w:lineRule="auto"/>
        <w:jc w:val="left"/>
        <w:rPr>
          <w:rFonts w:asciiTheme="minorHAnsi" w:hAnsiTheme="minorHAnsi" w:cs="Arial"/>
          <w:sz w:val="24"/>
          <w:szCs w:val="24"/>
        </w:rPr>
      </w:pPr>
      <w:r w:rsidRPr="007E7658">
        <w:rPr>
          <w:rFonts w:asciiTheme="minorHAnsi" w:hAnsiTheme="minorHAnsi" w:cs="Arial"/>
          <w:sz w:val="24"/>
          <w:szCs w:val="24"/>
        </w:rPr>
        <w:t>Head of Payments Policy Department</w:t>
      </w:r>
    </w:p>
    <w:p w:rsidR="00E5021E" w:rsidRPr="007E7658" w:rsidRDefault="00E5021E" w:rsidP="001C05C7">
      <w:pPr>
        <w:pStyle w:val="BodyText"/>
        <w:spacing w:after="0" w:line="240" w:lineRule="auto"/>
        <w:jc w:val="left"/>
        <w:rPr>
          <w:rFonts w:asciiTheme="minorHAnsi" w:hAnsiTheme="minorHAnsi" w:cs="Arial"/>
          <w:sz w:val="24"/>
          <w:szCs w:val="24"/>
        </w:rPr>
      </w:pPr>
      <w:r w:rsidRPr="007E7658">
        <w:rPr>
          <w:rFonts w:asciiTheme="minorHAnsi" w:hAnsiTheme="minorHAnsi" w:cs="Arial"/>
          <w:sz w:val="24"/>
          <w:szCs w:val="24"/>
        </w:rPr>
        <w:t>Reserve Bank of Australia</w:t>
      </w:r>
    </w:p>
    <w:p w:rsidR="00340DEB" w:rsidRPr="007E7658" w:rsidRDefault="00E5021E" w:rsidP="001C05C7">
      <w:pPr>
        <w:pStyle w:val="BodyText"/>
        <w:spacing w:after="0" w:line="240" w:lineRule="auto"/>
        <w:jc w:val="left"/>
        <w:rPr>
          <w:rFonts w:asciiTheme="minorHAnsi" w:hAnsiTheme="minorHAnsi" w:cs="Arial"/>
          <w:sz w:val="24"/>
          <w:szCs w:val="24"/>
        </w:rPr>
      </w:pPr>
      <w:r w:rsidRPr="007E7658">
        <w:rPr>
          <w:rFonts w:asciiTheme="minorHAnsi" w:hAnsiTheme="minorHAnsi" w:cs="Arial"/>
          <w:sz w:val="24"/>
          <w:szCs w:val="24"/>
        </w:rPr>
        <w:t>GPO Box 3947</w:t>
      </w:r>
    </w:p>
    <w:p w:rsidR="00E5021E" w:rsidRPr="007E7658" w:rsidRDefault="00E5021E" w:rsidP="001C05C7">
      <w:pPr>
        <w:pStyle w:val="BodyText"/>
        <w:spacing w:after="0" w:line="240" w:lineRule="auto"/>
        <w:jc w:val="left"/>
        <w:rPr>
          <w:rFonts w:asciiTheme="minorHAnsi" w:hAnsiTheme="minorHAnsi" w:cs="Arial"/>
          <w:sz w:val="24"/>
          <w:szCs w:val="24"/>
        </w:rPr>
      </w:pPr>
      <w:r w:rsidRPr="007E7658">
        <w:rPr>
          <w:rFonts w:asciiTheme="minorHAnsi" w:hAnsiTheme="minorHAnsi" w:cs="Arial"/>
          <w:sz w:val="24"/>
          <w:szCs w:val="24"/>
        </w:rPr>
        <w:t>Sydney NSW 2001</w:t>
      </w:r>
    </w:p>
    <w:p w:rsidR="001D7959" w:rsidRPr="007E7658" w:rsidRDefault="001D7959" w:rsidP="001C05C7">
      <w:pPr>
        <w:pStyle w:val="BodyText"/>
        <w:spacing w:after="0" w:line="240" w:lineRule="auto"/>
        <w:jc w:val="left"/>
        <w:rPr>
          <w:rFonts w:asciiTheme="minorHAnsi" w:hAnsiTheme="minorHAnsi" w:cs="Arial"/>
          <w:sz w:val="24"/>
          <w:szCs w:val="24"/>
        </w:rPr>
      </w:pPr>
    </w:p>
    <w:p w:rsidR="00FE0251" w:rsidRPr="007E7658" w:rsidRDefault="00FE0251" w:rsidP="001C05C7">
      <w:pPr>
        <w:pStyle w:val="BodyText"/>
        <w:spacing w:after="0" w:line="240" w:lineRule="auto"/>
        <w:jc w:val="left"/>
        <w:rPr>
          <w:rFonts w:asciiTheme="minorHAnsi" w:hAnsiTheme="minorHAnsi" w:cs="Arial"/>
          <w:sz w:val="24"/>
          <w:szCs w:val="24"/>
        </w:rPr>
      </w:pPr>
    </w:p>
    <w:p w:rsidR="009A6D44" w:rsidRPr="007E7658" w:rsidRDefault="009A6D44" w:rsidP="001C05C7">
      <w:pPr>
        <w:pStyle w:val="BodyText"/>
        <w:spacing w:after="0" w:line="240" w:lineRule="auto"/>
        <w:jc w:val="left"/>
        <w:rPr>
          <w:rFonts w:asciiTheme="minorHAnsi" w:hAnsiTheme="minorHAnsi" w:cs="Arial"/>
          <w:i/>
          <w:sz w:val="24"/>
          <w:szCs w:val="24"/>
        </w:rPr>
      </w:pPr>
      <w:r w:rsidRPr="007E7658">
        <w:rPr>
          <w:rFonts w:asciiTheme="minorHAnsi" w:hAnsiTheme="minorHAnsi" w:cs="Arial"/>
          <w:i/>
          <w:sz w:val="24"/>
          <w:szCs w:val="24"/>
        </w:rPr>
        <w:t xml:space="preserve">By Email to:     </w:t>
      </w:r>
      <w:hyperlink r:id="rId11" w:history="1">
        <w:r w:rsidR="00E5021E" w:rsidRPr="007E7658">
          <w:rPr>
            <w:rStyle w:val="Hyperlink"/>
            <w:rFonts w:asciiTheme="minorHAnsi" w:hAnsiTheme="minorHAnsi" w:cs="Arial"/>
            <w:i/>
            <w:sz w:val="24"/>
            <w:szCs w:val="24"/>
          </w:rPr>
          <w:t>pysubmissions@rba.gov.au</w:t>
        </w:r>
      </w:hyperlink>
    </w:p>
    <w:p w:rsidR="00E5021E" w:rsidRPr="007E7658" w:rsidRDefault="00E5021E" w:rsidP="001C05C7">
      <w:pPr>
        <w:pStyle w:val="BodyText"/>
        <w:spacing w:after="0" w:line="240" w:lineRule="auto"/>
        <w:jc w:val="left"/>
        <w:rPr>
          <w:rFonts w:asciiTheme="minorHAnsi" w:hAnsiTheme="minorHAnsi" w:cs="Arial"/>
          <w:i/>
          <w:sz w:val="24"/>
          <w:szCs w:val="24"/>
        </w:rPr>
      </w:pPr>
    </w:p>
    <w:p w:rsidR="00E5021E" w:rsidRPr="007E7658" w:rsidRDefault="00E5021E" w:rsidP="001C05C7">
      <w:pPr>
        <w:pStyle w:val="BodyText"/>
        <w:spacing w:after="0" w:line="240" w:lineRule="auto"/>
        <w:jc w:val="left"/>
        <w:rPr>
          <w:rFonts w:asciiTheme="minorHAnsi" w:hAnsiTheme="minorHAnsi" w:cs="Arial"/>
          <w:i/>
          <w:sz w:val="24"/>
          <w:szCs w:val="24"/>
        </w:rPr>
      </w:pPr>
    </w:p>
    <w:p w:rsidR="00E5021E" w:rsidRPr="007E7658" w:rsidRDefault="00E5021E" w:rsidP="001C05C7">
      <w:pPr>
        <w:pStyle w:val="BodyText"/>
        <w:spacing w:after="0" w:line="240" w:lineRule="auto"/>
        <w:jc w:val="left"/>
        <w:rPr>
          <w:rFonts w:asciiTheme="minorHAnsi" w:hAnsiTheme="minorHAnsi" w:cs="Arial"/>
          <w:sz w:val="24"/>
          <w:szCs w:val="24"/>
        </w:rPr>
      </w:pPr>
      <w:r w:rsidRPr="007E7658">
        <w:rPr>
          <w:rFonts w:asciiTheme="minorHAnsi" w:hAnsiTheme="minorHAnsi" w:cs="Arial"/>
          <w:sz w:val="24"/>
          <w:szCs w:val="24"/>
        </w:rPr>
        <w:t xml:space="preserve">Dear Dr </w:t>
      </w:r>
      <w:r w:rsidR="00DA2E5D" w:rsidRPr="007E7658">
        <w:rPr>
          <w:rFonts w:asciiTheme="minorHAnsi" w:hAnsiTheme="minorHAnsi" w:cs="Arial"/>
          <w:sz w:val="24"/>
          <w:szCs w:val="24"/>
        </w:rPr>
        <w:t>Richards</w:t>
      </w:r>
      <w:r w:rsidRPr="007E7658">
        <w:rPr>
          <w:rFonts w:asciiTheme="minorHAnsi" w:hAnsiTheme="minorHAnsi" w:cs="Arial"/>
          <w:sz w:val="24"/>
          <w:szCs w:val="24"/>
        </w:rPr>
        <w:t xml:space="preserve">, </w:t>
      </w:r>
    </w:p>
    <w:p w:rsidR="00D159E4" w:rsidRPr="007E7658" w:rsidRDefault="00D159E4" w:rsidP="001C05C7">
      <w:pPr>
        <w:pStyle w:val="BodyText"/>
        <w:spacing w:after="0" w:line="240" w:lineRule="auto"/>
        <w:jc w:val="left"/>
        <w:rPr>
          <w:rFonts w:asciiTheme="minorHAnsi" w:hAnsiTheme="minorHAnsi" w:cs="Arial"/>
          <w:i/>
          <w:sz w:val="24"/>
          <w:szCs w:val="24"/>
        </w:rPr>
      </w:pPr>
    </w:p>
    <w:p w:rsidR="00E9632C" w:rsidRPr="007E7658" w:rsidRDefault="000E194A" w:rsidP="001C05C7">
      <w:pPr>
        <w:pStyle w:val="BodyText"/>
        <w:spacing w:after="0" w:line="240" w:lineRule="auto"/>
        <w:jc w:val="left"/>
        <w:rPr>
          <w:rFonts w:asciiTheme="minorHAnsi" w:hAnsiTheme="minorHAnsi" w:cs="Arial"/>
          <w:b/>
          <w:sz w:val="24"/>
          <w:szCs w:val="24"/>
        </w:rPr>
      </w:pPr>
      <w:r w:rsidRPr="007E7658">
        <w:rPr>
          <w:rFonts w:asciiTheme="minorHAnsi" w:hAnsiTheme="minorHAnsi" w:cs="Arial"/>
          <w:b/>
          <w:sz w:val="24"/>
          <w:szCs w:val="24"/>
        </w:rPr>
        <w:t xml:space="preserve">Dual-Network Cards and Mobile Wallet Technology – Consultation Paper December 2016 </w:t>
      </w:r>
    </w:p>
    <w:p w:rsidR="002452DC" w:rsidRPr="007E7658" w:rsidRDefault="002452DC" w:rsidP="00E9632C">
      <w:pPr>
        <w:rPr>
          <w:rFonts w:asciiTheme="minorHAnsi" w:hAnsiTheme="minorHAnsi" w:cs="Arial"/>
          <w:sz w:val="24"/>
          <w:szCs w:val="24"/>
        </w:rPr>
      </w:pPr>
    </w:p>
    <w:p w:rsidR="00806DF4" w:rsidRPr="007E7658" w:rsidRDefault="002452DC" w:rsidP="002452DC">
      <w:pPr>
        <w:rPr>
          <w:rFonts w:asciiTheme="minorHAnsi" w:hAnsiTheme="minorHAnsi" w:cs="Arial"/>
          <w:sz w:val="24"/>
          <w:szCs w:val="24"/>
        </w:rPr>
      </w:pPr>
      <w:r w:rsidRPr="007E7658">
        <w:rPr>
          <w:rFonts w:asciiTheme="minorHAnsi" w:hAnsiTheme="minorHAnsi" w:cs="Arial"/>
          <w:sz w:val="24"/>
          <w:szCs w:val="24"/>
        </w:rPr>
        <w:t>I refer to the above</w:t>
      </w:r>
      <w:r w:rsidR="00AD19BC" w:rsidRPr="007E7658">
        <w:rPr>
          <w:rFonts w:asciiTheme="minorHAnsi" w:hAnsiTheme="minorHAnsi" w:cs="Arial"/>
          <w:sz w:val="24"/>
          <w:szCs w:val="24"/>
        </w:rPr>
        <w:t>-referenced</w:t>
      </w:r>
      <w:r w:rsidRPr="007E7658">
        <w:rPr>
          <w:rFonts w:asciiTheme="minorHAnsi" w:hAnsiTheme="minorHAnsi" w:cs="Arial"/>
          <w:sz w:val="24"/>
          <w:szCs w:val="24"/>
        </w:rPr>
        <w:t xml:space="preserve"> </w:t>
      </w:r>
      <w:r w:rsidR="000E194A" w:rsidRPr="007E7658">
        <w:rPr>
          <w:rFonts w:asciiTheme="minorHAnsi" w:hAnsiTheme="minorHAnsi" w:cs="Arial"/>
          <w:sz w:val="24"/>
          <w:szCs w:val="24"/>
        </w:rPr>
        <w:t>Consultation Paper (</w:t>
      </w:r>
      <w:r w:rsidRPr="007E7658">
        <w:rPr>
          <w:rFonts w:asciiTheme="minorHAnsi" w:hAnsiTheme="minorHAnsi" w:cs="Arial"/>
          <w:sz w:val="24"/>
          <w:szCs w:val="24"/>
        </w:rPr>
        <w:t xml:space="preserve">released on </w:t>
      </w:r>
      <w:r w:rsidR="000E194A" w:rsidRPr="007E7658">
        <w:rPr>
          <w:rFonts w:asciiTheme="minorHAnsi" w:hAnsiTheme="minorHAnsi" w:cs="Arial"/>
          <w:sz w:val="24"/>
          <w:szCs w:val="24"/>
        </w:rPr>
        <w:t>7 December 2016</w:t>
      </w:r>
      <w:r w:rsidR="00AD19BC" w:rsidRPr="007E7658">
        <w:rPr>
          <w:rFonts w:asciiTheme="minorHAnsi" w:hAnsiTheme="minorHAnsi" w:cs="Arial"/>
          <w:sz w:val="24"/>
          <w:szCs w:val="24"/>
        </w:rPr>
        <w:t>)</w:t>
      </w:r>
      <w:r w:rsidRPr="007E7658">
        <w:rPr>
          <w:rFonts w:asciiTheme="minorHAnsi" w:hAnsiTheme="minorHAnsi" w:cs="Arial"/>
          <w:sz w:val="24"/>
          <w:szCs w:val="24"/>
        </w:rPr>
        <w:t xml:space="preserve">.  </w:t>
      </w:r>
      <w:r w:rsidR="00806DF4" w:rsidRPr="007E7658">
        <w:rPr>
          <w:rFonts w:asciiTheme="minorHAnsi" w:hAnsiTheme="minorHAnsi" w:cs="Arial"/>
          <w:sz w:val="24"/>
          <w:szCs w:val="24"/>
        </w:rPr>
        <w:t xml:space="preserve">The </w:t>
      </w:r>
      <w:r w:rsidR="000E194A" w:rsidRPr="007E7658">
        <w:rPr>
          <w:rFonts w:asciiTheme="minorHAnsi" w:hAnsiTheme="minorHAnsi" w:cs="Arial"/>
          <w:sz w:val="24"/>
          <w:szCs w:val="24"/>
        </w:rPr>
        <w:t xml:space="preserve">Commonwealth Bank (the </w:t>
      </w:r>
      <w:r w:rsidR="00806DF4" w:rsidRPr="007E7658">
        <w:rPr>
          <w:rFonts w:asciiTheme="minorHAnsi" w:hAnsiTheme="minorHAnsi" w:cs="Arial"/>
          <w:sz w:val="24"/>
          <w:szCs w:val="24"/>
        </w:rPr>
        <w:t>Bank</w:t>
      </w:r>
      <w:r w:rsidR="000E194A" w:rsidRPr="007E7658">
        <w:rPr>
          <w:rFonts w:asciiTheme="minorHAnsi" w:hAnsiTheme="minorHAnsi" w:cs="Arial"/>
          <w:sz w:val="24"/>
          <w:szCs w:val="24"/>
        </w:rPr>
        <w:t>)</w:t>
      </w:r>
      <w:r w:rsidR="00806DF4" w:rsidRPr="007E7658">
        <w:rPr>
          <w:rFonts w:asciiTheme="minorHAnsi" w:hAnsiTheme="minorHAnsi" w:cs="Arial"/>
          <w:sz w:val="24"/>
          <w:szCs w:val="24"/>
        </w:rPr>
        <w:t xml:space="preserve"> appreciates the opportunity to comment on th</w:t>
      </w:r>
      <w:r w:rsidR="000E194A" w:rsidRPr="007E7658">
        <w:rPr>
          <w:rFonts w:asciiTheme="minorHAnsi" w:hAnsiTheme="minorHAnsi" w:cs="Arial"/>
          <w:sz w:val="24"/>
          <w:szCs w:val="24"/>
        </w:rPr>
        <w:t>is paper</w:t>
      </w:r>
      <w:r w:rsidR="00806DF4" w:rsidRPr="007E7658">
        <w:rPr>
          <w:rFonts w:asciiTheme="minorHAnsi" w:hAnsiTheme="minorHAnsi" w:cs="Arial"/>
          <w:sz w:val="24"/>
          <w:szCs w:val="24"/>
        </w:rPr>
        <w:t>.</w:t>
      </w:r>
    </w:p>
    <w:p w:rsidR="00AB062D" w:rsidRPr="007E7658" w:rsidRDefault="00AB062D" w:rsidP="002452DC">
      <w:pPr>
        <w:rPr>
          <w:rFonts w:asciiTheme="minorHAnsi" w:hAnsiTheme="minorHAnsi" w:cs="Arial"/>
          <w:sz w:val="24"/>
          <w:szCs w:val="24"/>
        </w:rPr>
      </w:pPr>
    </w:p>
    <w:p w:rsidR="000E194A" w:rsidRPr="007E7658" w:rsidRDefault="000E194A" w:rsidP="002452DC">
      <w:pPr>
        <w:rPr>
          <w:rFonts w:asciiTheme="minorHAnsi" w:hAnsiTheme="minorHAnsi" w:cs="Arial"/>
          <w:sz w:val="24"/>
          <w:szCs w:val="24"/>
        </w:rPr>
      </w:pPr>
      <w:r w:rsidRPr="007E7658">
        <w:rPr>
          <w:rFonts w:asciiTheme="minorHAnsi" w:hAnsiTheme="minorHAnsi" w:cs="Arial"/>
          <w:sz w:val="24"/>
          <w:szCs w:val="24"/>
        </w:rPr>
        <w:t>The Consultation Paper poses a number of questions which are explored below.</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1. What are the views of end-users (cardholders and merchants) regarding dual-network cards, including their use in mobile payments? Are there particular benefits that arise for end-users from having multiple payment networks available on a mobile device? What risks and costs might arise? </w:t>
      </w:r>
    </w:p>
    <w:p w:rsidR="000E194A" w:rsidRPr="007E7658" w:rsidRDefault="000E194A" w:rsidP="002452DC">
      <w:pPr>
        <w:rPr>
          <w:rFonts w:asciiTheme="minorHAnsi" w:hAnsiTheme="minorHAnsi" w:cs="Arial"/>
          <w:sz w:val="24"/>
          <w:szCs w:val="24"/>
        </w:rPr>
      </w:pPr>
    </w:p>
    <w:p w:rsidR="00E6360B" w:rsidRPr="007E7658" w:rsidRDefault="00E6360B" w:rsidP="002452DC">
      <w:pPr>
        <w:rPr>
          <w:rFonts w:asciiTheme="minorHAnsi" w:hAnsiTheme="minorHAnsi" w:cs="Arial"/>
          <w:sz w:val="24"/>
          <w:szCs w:val="24"/>
        </w:rPr>
      </w:pPr>
      <w:r w:rsidRPr="007E7658">
        <w:rPr>
          <w:rFonts w:asciiTheme="minorHAnsi" w:hAnsiTheme="minorHAnsi" w:cs="Arial"/>
          <w:sz w:val="24"/>
          <w:szCs w:val="24"/>
        </w:rPr>
        <w:t xml:space="preserve">Our customers have shown strong support for dual network cards over many years and we believe that this </w:t>
      </w:r>
      <w:r w:rsidR="007E7658">
        <w:rPr>
          <w:rFonts w:asciiTheme="minorHAnsi" w:hAnsiTheme="minorHAnsi" w:cs="Arial"/>
          <w:sz w:val="24"/>
          <w:szCs w:val="24"/>
        </w:rPr>
        <w:t xml:space="preserve">support will be replicated </w:t>
      </w:r>
      <w:r w:rsidRPr="007E7658">
        <w:rPr>
          <w:rFonts w:asciiTheme="minorHAnsi" w:hAnsiTheme="minorHAnsi" w:cs="Arial"/>
          <w:sz w:val="24"/>
          <w:szCs w:val="24"/>
        </w:rPr>
        <w:t xml:space="preserve">if dual network functionality is available for use in a mobile environment.  Benefits that arise in a dual network scenario include enhanced functionality (through linkages to additional accounts), </w:t>
      </w:r>
      <w:r w:rsidR="00357F7E">
        <w:rPr>
          <w:rFonts w:asciiTheme="minorHAnsi" w:hAnsiTheme="minorHAnsi" w:cs="Arial"/>
          <w:sz w:val="24"/>
          <w:szCs w:val="24"/>
        </w:rPr>
        <w:t xml:space="preserve">cash out at point of sale, </w:t>
      </w:r>
      <w:r w:rsidRPr="007E7658">
        <w:rPr>
          <w:rFonts w:asciiTheme="minorHAnsi" w:hAnsiTheme="minorHAnsi" w:cs="Arial"/>
          <w:sz w:val="24"/>
          <w:szCs w:val="24"/>
        </w:rPr>
        <w:t xml:space="preserve">the potential ability to withdraw funds from ATMs as well as the more fundamental virtues of choice and convenience.  </w:t>
      </w:r>
    </w:p>
    <w:p w:rsidR="00E6360B" w:rsidRPr="007E7658" w:rsidRDefault="00E6360B" w:rsidP="002452DC">
      <w:pPr>
        <w:rPr>
          <w:rFonts w:asciiTheme="minorHAnsi" w:hAnsiTheme="minorHAnsi" w:cs="Arial"/>
          <w:sz w:val="24"/>
          <w:szCs w:val="24"/>
        </w:rPr>
      </w:pPr>
    </w:p>
    <w:p w:rsidR="00E6360B" w:rsidRPr="007E7658" w:rsidRDefault="00E6360B" w:rsidP="002452DC">
      <w:pPr>
        <w:rPr>
          <w:rFonts w:asciiTheme="minorHAnsi" w:hAnsiTheme="minorHAnsi" w:cs="Arial"/>
          <w:sz w:val="24"/>
          <w:szCs w:val="24"/>
        </w:rPr>
      </w:pPr>
      <w:r w:rsidRPr="007E7658">
        <w:rPr>
          <w:rFonts w:asciiTheme="minorHAnsi" w:hAnsiTheme="minorHAnsi" w:cs="Arial"/>
          <w:sz w:val="24"/>
          <w:szCs w:val="24"/>
        </w:rPr>
        <w:t>Risks, we believe, will be low as customers already know, and appreciate, the dual network approach in the “plastic” environment.  Additional costs for issuers or wallet providers would relate to the incremental cost of loading multiple virtual cards in the mobile app.</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2. Are there any impediments or restrictions imposed (or planned or foreshadowed) by card schemes on the mobile wallet provisioning of competing networks on dual-network cards? If so, how significant are these and can they be justified on commercial or other grounds? </w:t>
      </w:r>
    </w:p>
    <w:p w:rsidR="000E194A" w:rsidRPr="007E7658" w:rsidRDefault="000E194A" w:rsidP="002452DC">
      <w:pPr>
        <w:rPr>
          <w:rFonts w:asciiTheme="minorHAnsi" w:hAnsiTheme="minorHAnsi" w:cs="Arial"/>
          <w:sz w:val="24"/>
          <w:szCs w:val="24"/>
        </w:rPr>
      </w:pPr>
    </w:p>
    <w:p w:rsidR="00610B34" w:rsidRPr="007E7658" w:rsidRDefault="00610B34" w:rsidP="002452DC">
      <w:pPr>
        <w:rPr>
          <w:rFonts w:asciiTheme="minorHAnsi" w:hAnsiTheme="minorHAnsi" w:cs="Arial"/>
          <w:sz w:val="24"/>
          <w:szCs w:val="24"/>
        </w:rPr>
      </w:pPr>
      <w:r w:rsidRPr="007E7658">
        <w:rPr>
          <w:rFonts w:asciiTheme="minorHAnsi" w:hAnsiTheme="minorHAnsi" w:cs="Arial"/>
          <w:sz w:val="24"/>
          <w:szCs w:val="24"/>
        </w:rPr>
        <w:t>This question is best addressed to respective card schemes.</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3. What are the likely effects – on competition and efficiency in the payments system, as well as more broadly – of the action of any scheme to prevent or discourage the mobile wallet provisioning of a competing network on a dual-network card? Are there benefits for end-users that arise from rules or policies that constrain the provisioning of an additional network on a device? </w:t>
      </w:r>
    </w:p>
    <w:p w:rsidR="000E194A" w:rsidRPr="007E7658" w:rsidRDefault="000E194A" w:rsidP="002452DC">
      <w:pPr>
        <w:rPr>
          <w:rFonts w:asciiTheme="minorHAnsi" w:hAnsiTheme="minorHAnsi" w:cs="Arial"/>
          <w:sz w:val="24"/>
          <w:szCs w:val="24"/>
        </w:rPr>
      </w:pPr>
    </w:p>
    <w:p w:rsidR="00610B34" w:rsidRPr="007E7658" w:rsidRDefault="00610B34" w:rsidP="002452DC">
      <w:pPr>
        <w:rPr>
          <w:rFonts w:asciiTheme="minorHAnsi" w:hAnsiTheme="minorHAnsi" w:cs="Arial"/>
          <w:sz w:val="24"/>
          <w:szCs w:val="24"/>
        </w:rPr>
      </w:pPr>
      <w:r w:rsidRPr="007E7658">
        <w:rPr>
          <w:rFonts w:asciiTheme="minorHAnsi" w:hAnsiTheme="minorHAnsi" w:cs="Arial"/>
          <w:sz w:val="24"/>
          <w:szCs w:val="24"/>
        </w:rPr>
        <w:t>We believe that competition and efficiency in the payments system will be encouraged through the ability to replicate the dual network functionality that customers already enjoy, into a mobile environment.  The agreement brokered by the Reserve Bank in 2013 to facilitate dual network functionality on plastic is a useful precedent, we believe, for deployment in a mobile payments environment.  Enabling choice will promote the take-up of mobile payments and continue to deliver convenience</w:t>
      </w:r>
      <w:r w:rsidR="000F6B1A" w:rsidRPr="007E7658">
        <w:rPr>
          <w:rFonts w:asciiTheme="minorHAnsi" w:hAnsiTheme="minorHAnsi" w:cs="Arial"/>
          <w:sz w:val="24"/>
          <w:szCs w:val="24"/>
        </w:rPr>
        <w:t xml:space="preserve">, </w:t>
      </w:r>
      <w:r w:rsidRPr="007E7658">
        <w:rPr>
          <w:rFonts w:asciiTheme="minorHAnsi" w:hAnsiTheme="minorHAnsi" w:cs="Arial"/>
          <w:sz w:val="24"/>
          <w:szCs w:val="24"/>
        </w:rPr>
        <w:t>effici</w:t>
      </w:r>
      <w:r w:rsidR="000F6B1A" w:rsidRPr="007E7658">
        <w:rPr>
          <w:rFonts w:asciiTheme="minorHAnsi" w:hAnsiTheme="minorHAnsi" w:cs="Arial"/>
          <w:sz w:val="24"/>
          <w:szCs w:val="24"/>
        </w:rPr>
        <w:t>e</w:t>
      </w:r>
      <w:r w:rsidRPr="007E7658">
        <w:rPr>
          <w:rFonts w:asciiTheme="minorHAnsi" w:hAnsiTheme="minorHAnsi" w:cs="Arial"/>
          <w:sz w:val="24"/>
          <w:szCs w:val="24"/>
        </w:rPr>
        <w:t xml:space="preserve">ncy </w:t>
      </w:r>
      <w:r w:rsidR="000F6B1A" w:rsidRPr="007E7658">
        <w:rPr>
          <w:rFonts w:asciiTheme="minorHAnsi" w:hAnsiTheme="minorHAnsi" w:cs="Arial"/>
          <w:sz w:val="24"/>
          <w:szCs w:val="24"/>
        </w:rPr>
        <w:t>and competition.</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4. Do cardholders, issuers or others have views as to the feasibility of different possible ways of provisioning dual-network cards? </w:t>
      </w:r>
    </w:p>
    <w:p w:rsidR="000E194A" w:rsidRPr="007E7658" w:rsidRDefault="000E194A" w:rsidP="002452DC">
      <w:pPr>
        <w:rPr>
          <w:rFonts w:asciiTheme="minorHAnsi" w:hAnsiTheme="minorHAnsi" w:cs="Arial"/>
          <w:sz w:val="24"/>
          <w:szCs w:val="24"/>
        </w:rPr>
      </w:pPr>
    </w:p>
    <w:p w:rsidR="000F6B1A" w:rsidRPr="007E7658" w:rsidRDefault="000F6B1A" w:rsidP="002452DC">
      <w:pPr>
        <w:rPr>
          <w:rFonts w:asciiTheme="minorHAnsi" w:hAnsiTheme="minorHAnsi" w:cs="Arial"/>
          <w:sz w:val="24"/>
          <w:szCs w:val="24"/>
        </w:rPr>
      </w:pPr>
      <w:r w:rsidRPr="007E7658">
        <w:rPr>
          <w:rFonts w:asciiTheme="minorHAnsi" w:hAnsiTheme="minorHAnsi" w:cs="Arial"/>
          <w:sz w:val="24"/>
          <w:szCs w:val="24"/>
        </w:rPr>
        <w:t>Dual network functionality can potentially be provisioned in a number of ways.  At present, we have no strong preference as to how this is best achieved.</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5. Under the existing voluntary undertakings to the Bank in place since August 2013 (see page 4), schemes have committed to some voluntary principles regarding dual-network cards. Have these principles been an effective response to the competitive issues that arose earlier? Have there been any issues in practice with the operation of these principles? Would an extension of these principles be an appropriate response to the current issues? </w:t>
      </w:r>
    </w:p>
    <w:p w:rsidR="000E194A" w:rsidRPr="007E7658" w:rsidRDefault="000E194A" w:rsidP="002452DC">
      <w:pPr>
        <w:rPr>
          <w:rFonts w:asciiTheme="minorHAnsi" w:hAnsiTheme="minorHAnsi" w:cs="Arial"/>
          <w:sz w:val="24"/>
          <w:szCs w:val="24"/>
        </w:rPr>
      </w:pPr>
    </w:p>
    <w:p w:rsidR="000F6B1A" w:rsidRPr="007E7658" w:rsidRDefault="000F6B1A" w:rsidP="002452DC">
      <w:pPr>
        <w:rPr>
          <w:rFonts w:asciiTheme="minorHAnsi" w:hAnsiTheme="minorHAnsi" w:cs="Arial"/>
          <w:sz w:val="24"/>
          <w:szCs w:val="24"/>
        </w:rPr>
      </w:pPr>
      <w:r w:rsidRPr="007E7658">
        <w:rPr>
          <w:rFonts w:asciiTheme="minorHAnsi" w:hAnsiTheme="minorHAnsi" w:cs="Arial"/>
          <w:sz w:val="24"/>
          <w:szCs w:val="24"/>
        </w:rPr>
        <w:t>As noted above, we believe that the voluntary undertakings provided to the Reserve Bank in 2013 provide a useful precedent to be further deployed under a mobile payments environment.  As far as we are aware, the existing (2013) principles have not created insurmountable issues.</w:t>
      </w:r>
      <w:r w:rsidR="007E7658">
        <w:rPr>
          <w:rFonts w:asciiTheme="minorHAnsi" w:hAnsiTheme="minorHAnsi" w:cs="Arial"/>
          <w:sz w:val="24"/>
          <w:szCs w:val="24"/>
        </w:rPr>
        <w:t xml:space="preserve">  An extension of these principles would be an appropriate response to the current issues.</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6. Are there any foreign precedents that are relevant for the consideration of these issues in Australia? </w:t>
      </w:r>
    </w:p>
    <w:p w:rsidR="000E194A" w:rsidRPr="007E7658" w:rsidRDefault="000E194A" w:rsidP="002452DC">
      <w:pPr>
        <w:rPr>
          <w:rFonts w:asciiTheme="minorHAnsi" w:hAnsiTheme="minorHAnsi" w:cs="Arial"/>
          <w:sz w:val="24"/>
          <w:szCs w:val="24"/>
        </w:rPr>
      </w:pPr>
    </w:p>
    <w:p w:rsidR="000F6B1A" w:rsidRPr="007E7658" w:rsidRDefault="000F6B1A" w:rsidP="002452DC">
      <w:pPr>
        <w:rPr>
          <w:rFonts w:asciiTheme="minorHAnsi" w:hAnsiTheme="minorHAnsi" w:cs="Arial"/>
          <w:sz w:val="24"/>
          <w:szCs w:val="24"/>
        </w:rPr>
      </w:pPr>
      <w:r w:rsidRPr="007E7658">
        <w:rPr>
          <w:rFonts w:asciiTheme="minorHAnsi" w:hAnsiTheme="minorHAnsi" w:cs="Arial"/>
          <w:sz w:val="24"/>
          <w:szCs w:val="24"/>
        </w:rPr>
        <w:t>Relevant foreign precedents have been identified in the Reserve Bank’s Consultation Paper.</w:t>
      </w:r>
    </w:p>
    <w:p w:rsidR="00C87194" w:rsidRPr="007E7658" w:rsidRDefault="00C87194"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7. Are the issues raised relevant only to dual-network debit cards or are they also relevant to so-called ‘combo cards’ with credit functionality from one scheme and debit functionality from another? </w:t>
      </w:r>
    </w:p>
    <w:p w:rsidR="000E194A" w:rsidRPr="007E7658" w:rsidRDefault="000E194A" w:rsidP="002452DC">
      <w:pPr>
        <w:rPr>
          <w:rFonts w:asciiTheme="minorHAnsi" w:hAnsiTheme="minorHAnsi" w:cs="Arial"/>
          <w:sz w:val="24"/>
          <w:szCs w:val="24"/>
        </w:rPr>
      </w:pPr>
    </w:p>
    <w:p w:rsidR="000F6B1A" w:rsidRPr="007E7658" w:rsidRDefault="000F6B1A" w:rsidP="002452DC">
      <w:pPr>
        <w:rPr>
          <w:rFonts w:asciiTheme="minorHAnsi" w:hAnsiTheme="minorHAnsi" w:cs="Arial"/>
          <w:sz w:val="24"/>
          <w:szCs w:val="24"/>
        </w:rPr>
      </w:pPr>
      <w:r w:rsidRPr="007E7658">
        <w:rPr>
          <w:rFonts w:asciiTheme="minorHAnsi" w:hAnsiTheme="minorHAnsi" w:cs="Arial"/>
          <w:sz w:val="24"/>
          <w:szCs w:val="24"/>
        </w:rPr>
        <w:t xml:space="preserve">We believe that the issues identified in the Reserve Bank’s Consultation Paper </w:t>
      </w:r>
      <w:r w:rsidR="00956429" w:rsidRPr="007E7658">
        <w:rPr>
          <w:rFonts w:asciiTheme="minorHAnsi" w:hAnsiTheme="minorHAnsi" w:cs="Arial"/>
          <w:sz w:val="24"/>
          <w:szCs w:val="24"/>
        </w:rPr>
        <w:t xml:space="preserve">apply to “combo (credit) cards” as much as to dual network debit cards. </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 xml:space="preserve">8. Are there any prospective developments in payment card technology that may be relevant for the Bank as it considers these issues? </w:t>
      </w:r>
    </w:p>
    <w:p w:rsidR="000E194A" w:rsidRPr="007E7658" w:rsidRDefault="000E194A" w:rsidP="002452DC">
      <w:pPr>
        <w:rPr>
          <w:rFonts w:asciiTheme="minorHAnsi" w:hAnsiTheme="minorHAnsi" w:cs="Arial"/>
          <w:sz w:val="24"/>
          <w:szCs w:val="24"/>
        </w:rPr>
      </w:pPr>
    </w:p>
    <w:p w:rsidR="00956429" w:rsidRPr="007E7658" w:rsidRDefault="00956429" w:rsidP="002452DC">
      <w:pPr>
        <w:rPr>
          <w:rFonts w:asciiTheme="minorHAnsi" w:hAnsiTheme="minorHAnsi" w:cs="Arial"/>
          <w:sz w:val="24"/>
          <w:szCs w:val="24"/>
        </w:rPr>
      </w:pPr>
      <w:r w:rsidRPr="007E7658">
        <w:rPr>
          <w:rFonts w:asciiTheme="minorHAnsi" w:hAnsiTheme="minorHAnsi" w:cs="Arial"/>
          <w:sz w:val="24"/>
          <w:szCs w:val="24"/>
        </w:rPr>
        <w:t xml:space="preserve">We are </w:t>
      </w:r>
      <w:r w:rsidR="00BC2050" w:rsidRPr="007E7658">
        <w:rPr>
          <w:rFonts w:asciiTheme="minorHAnsi" w:hAnsiTheme="minorHAnsi" w:cs="Arial"/>
          <w:sz w:val="24"/>
          <w:szCs w:val="24"/>
        </w:rPr>
        <w:t xml:space="preserve">unaware significant prospective developments for the Reserve Bank to consider in relation to the matter of dual network functionality in a mobile payments environment.  </w:t>
      </w:r>
    </w:p>
    <w:p w:rsidR="00BC2050" w:rsidRPr="007E7658" w:rsidRDefault="00BC2050" w:rsidP="002452DC">
      <w:pPr>
        <w:rPr>
          <w:rFonts w:asciiTheme="minorHAnsi" w:hAnsiTheme="minorHAnsi" w:cs="Arial"/>
          <w:sz w:val="24"/>
          <w:szCs w:val="24"/>
        </w:rPr>
      </w:pPr>
    </w:p>
    <w:p w:rsidR="00BC2050" w:rsidRPr="007E7658" w:rsidRDefault="00BC2050" w:rsidP="002452DC">
      <w:pPr>
        <w:rPr>
          <w:rFonts w:asciiTheme="minorHAnsi" w:hAnsiTheme="minorHAnsi" w:cs="Arial"/>
          <w:sz w:val="24"/>
          <w:szCs w:val="24"/>
        </w:rPr>
      </w:pPr>
      <w:r w:rsidRPr="007E7658">
        <w:rPr>
          <w:rFonts w:asciiTheme="minorHAnsi" w:hAnsiTheme="minorHAnsi" w:cs="Arial"/>
          <w:sz w:val="24"/>
          <w:szCs w:val="24"/>
        </w:rPr>
        <w:t xml:space="preserve">However, it is worth noting that the Bank is a party to an Application for Authorisation currently being considered by the Australian Competition and Consumer Commission in relation to ApplePay.  </w:t>
      </w:r>
      <w:r w:rsidR="00EC0D53" w:rsidRPr="007E7658">
        <w:rPr>
          <w:rFonts w:asciiTheme="minorHAnsi" w:hAnsiTheme="minorHAnsi" w:cs="Arial"/>
          <w:sz w:val="24"/>
          <w:szCs w:val="24"/>
        </w:rPr>
        <w:t>This Application seeks, amongst other aspects, non</w:t>
      </w:r>
      <w:r w:rsidR="00B65183">
        <w:rPr>
          <w:rFonts w:asciiTheme="minorHAnsi" w:hAnsiTheme="minorHAnsi" w:cs="Arial"/>
          <w:sz w:val="24"/>
          <w:szCs w:val="24"/>
        </w:rPr>
        <w:t xml:space="preserve"> -</w:t>
      </w:r>
      <w:r w:rsidR="00EC0D53" w:rsidRPr="007E7658">
        <w:rPr>
          <w:rFonts w:asciiTheme="minorHAnsi" w:hAnsiTheme="minorHAnsi" w:cs="Arial"/>
          <w:sz w:val="24"/>
          <w:szCs w:val="24"/>
        </w:rPr>
        <w:t xml:space="preserve"> exclusive access to a mobile phone’s NFC chip, enabling contactless payments.  This is based on a desire to offer choice – of mobile wallet providers – consistent with our preference, as stated above, to offer choice of payment network.</w:t>
      </w:r>
    </w:p>
    <w:p w:rsidR="000E194A" w:rsidRPr="007E7658" w:rsidRDefault="000E194A" w:rsidP="002452DC">
      <w:pPr>
        <w:rPr>
          <w:rFonts w:asciiTheme="minorHAnsi" w:hAnsiTheme="minorHAnsi" w:cs="Arial"/>
          <w:sz w:val="24"/>
          <w:szCs w:val="24"/>
        </w:rPr>
      </w:pPr>
    </w:p>
    <w:p w:rsidR="000E194A" w:rsidRPr="007E7658" w:rsidRDefault="000E194A" w:rsidP="002452DC">
      <w:pPr>
        <w:rPr>
          <w:rFonts w:asciiTheme="minorHAnsi" w:hAnsiTheme="minorHAnsi" w:cs="Arial"/>
          <w:i/>
          <w:color w:val="8DB3E2" w:themeColor="text2" w:themeTint="66"/>
          <w:sz w:val="24"/>
          <w:szCs w:val="24"/>
        </w:rPr>
      </w:pPr>
      <w:r w:rsidRPr="007E7658">
        <w:rPr>
          <w:rFonts w:asciiTheme="minorHAnsi" w:hAnsiTheme="minorHAnsi" w:cs="Arial"/>
          <w:i/>
          <w:color w:val="8DB3E2" w:themeColor="text2" w:themeTint="66"/>
          <w:sz w:val="24"/>
          <w:szCs w:val="24"/>
        </w:rPr>
        <w:t>9. If the Bank were to contemplate a standard addressing conduct in this area, are there particular compliance costs that would arise for industry?</w:t>
      </w:r>
    </w:p>
    <w:p w:rsidR="000E194A" w:rsidRPr="007E7658" w:rsidRDefault="000E194A" w:rsidP="002452DC">
      <w:pPr>
        <w:rPr>
          <w:rFonts w:asciiTheme="minorHAnsi" w:hAnsiTheme="minorHAnsi" w:cs="Arial"/>
          <w:sz w:val="24"/>
          <w:szCs w:val="24"/>
        </w:rPr>
      </w:pPr>
    </w:p>
    <w:p w:rsidR="00EC0D53" w:rsidRPr="007E7658" w:rsidRDefault="00EC0D53" w:rsidP="002452DC">
      <w:pPr>
        <w:rPr>
          <w:rFonts w:asciiTheme="minorHAnsi" w:hAnsiTheme="minorHAnsi" w:cs="Arial"/>
          <w:sz w:val="24"/>
          <w:szCs w:val="24"/>
        </w:rPr>
      </w:pPr>
      <w:r w:rsidRPr="007E7658">
        <w:rPr>
          <w:rFonts w:asciiTheme="minorHAnsi" w:hAnsiTheme="minorHAnsi" w:cs="Arial"/>
          <w:sz w:val="24"/>
          <w:szCs w:val="24"/>
        </w:rPr>
        <w:t>While a detailed assessment of potential compliance costs has not been conducted, we do not believe that such costs would be significant.</w:t>
      </w:r>
    </w:p>
    <w:p w:rsidR="00EC0D53" w:rsidRDefault="00EC0D53" w:rsidP="002452DC">
      <w:pPr>
        <w:rPr>
          <w:rFonts w:asciiTheme="minorHAnsi" w:hAnsiTheme="minorHAnsi" w:cs="Arial"/>
          <w:sz w:val="24"/>
          <w:szCs w:val="24"/>
        </w:rPr>
      </w:pPr>
    </w:p>
    <w:p w:rsidR="007E7658" w:rsidRPr="007E7658" w:rsidRDefault="007E7658" w:rsidP="002452DC">
      <w:pPr>
        <w:rPr>
          <w:rFonts w:asciiTheme="minorHAnsi" w:hAnsiTheme="minorHAnsi" w:cs="Arial"/>
          <w:sz w:val="24"/>
          <w:szCs w:val="24"/>
        </w:rPr>
      </w:pPr>
    </w:p>
    <w:p w:rsidR="000E194A" w:rsidRPr="007E7658" w:rsidRDefault="00EC0D53" w:rsidP="007E7658">
      <w:pPr>
        <w:rPr>
          <w:rFonts w:asciiTheme="minorHAnsi" w:hAnsiTheme="minorHAnsi" w:cs="Arial"/>
          <w:sz w:val="24"/>
          <w:szCs w:val="24"/>
        </w:rPr>
      </w:pPr>
      <w:r w:rsidRPr="007E7658">
        <w:rPr>
          <w:rFonts w:asciiTheme="minorHAnsi" w:hAnsiTheme="minorHAnsi" w:cs="Arial"/>
          <w:sz w:val="24"/>
          <w:szCs w:val="24"/>
        </w:rPr>
        <w:t>In conclusion, we believe that the e</w:t>
      </w:r>
      <w:r w:rsidR="000E194A" w:rsidRPr="007E7658">
        <w:rPr>
          <w:rFonts w:asciiTheme="minorHAnsi" w:hAnsiTheme="minorHAnsi" w:cs="Arial"/>
          <w:sz w:val="24"/>
          <w:szCs w:val="24"/>
        </w:rPr>
        <w:t xml:space="preserve">lectronic representation of </w:t>
      </w:r>
      <w:r w:rsidR="007E7658" w:rsidRPr="007E7658">
        <w:rPr>
          <w:rFonts w:asciiTheme="minorHAnsi" w:hAnsiTheme="minorHAnsi" w:cs="Arial"/>
          <w:sz w:val="24"/>
          <w:szCs w:val="24"/>
        </w:rPr>
        <w:t xml:space="preserve">a card with </w:t>
      </w:r>
      <w:r w:rsidRPr="007E7658">
        <w:rPr>
          <w:rFonts w:asciiTheme="minorHAnsi" w:hAnsiTheme="minorHAnsi" w:cs="Arial"/>
          <w:sz w:val="24"/>
          <w:szCs w:val="24"/>
        </w:rPr>
        <w:t>dual network functionality (as explored previously by the Reserve Bank</w:t>
      </w:r>
      <w:r w:rsidR="007E7658" w:rsidRPr="007E7658">
        <w:rPr>
          <w:rFonts w:asciiTheme="minorHAnsi" w:hAnsiTheme="minorHAnsi" w:cs="Arial"/>
          <w:sz w:val="24"/>
          <w:szCs w:val="24"/>
        </w:rPr>
        <w:t xml:space="preserve"> in relation to the plastic card environment</w:t>
      </w:r>
      <w:r w:rsidRPr="007E7658">
        <w:rPr>
          <w:rFonts w:asciiTheme="minorHAnsi" w:hAnsiTheme="minorHAnsi" w:cs="Arial"/>
          <w:sz w:val="24"/>
          <w:szCs w:val="24"/>
        </w:rPr>
        <w:t xml:space="preserve">) into the mobile payments environment, </w:t>
      </w:r>
      <w:r w:rsidR="007E7658" w:rsidRPr="007E7658">
        <w:rPr>
          <w:rFonts w:asciiTheme="minorHAnsi" w:hAnsiTheme="minorHAnsi" w:cs="Arial"/>
          <w:sz w:val="24"/>
          <w:szCs w:val="24"/>
        </w:rPr>
        <w:t xml:space="preserve">follows </w:t>
      </w:r>
      <w:r w:rsidRPr="007E7658">
        <w:rPr>
          <w:rFonts w:asciiTheme="minorHAnsi" w:hAnsiTheme="minorHAnsi" w:cs="Arial"/>
          <w:sz w:val="24"/>
          <w:szCs w:val="24"/>
        </w:rPr>
        <w:t>a valuable precedent</w:t>
      </w:r>
      <w:r w:rsidR="007E7658" w:rsidRPr="007E7658">
        <w:rPr>
          <w:rFonts w:asciiTheme="minorHAnsi" w:hAnsiTheme="minorHAnsi" w:cs="Arial"/>
          <w:sz w:val="24"/>
          <w:szCs w:val="24"/>
        </w:rPr>
        <w:t xml:space="preserve"> - e</w:t>
      </w:r>
      <w:r w:rsidR="000E194A" w:rsidRPr="007E7658">
        <w:rPr>
          <w:rFonts w:asciiTheme="minorHAnsi" w:hAnsiTheme="minorHAnsi" w:cs="Arial"/>
          <w:sz w:val="24"/>
          <w:szCs w:val="24"/>
        </w:rPr>
        <w:t>nabl</w:t>
      </w:r>
      <w:r w:rsidR="007E7658" w:rsidRPr="007E7658">
        <w:rPr>
          <w:rFonts w:asciiTheme="minorHAnsi" w:hAnsiTheme="minorHAnsi" w:cs="Arial"/>
          <w:sz w:val="24"/>
          <w:szCs w:val="24"/>
        </w:rPr>
        <w:t>ing</w:t>
      </w:r>
      <w:r w:rsidR="000E194A" w:rsidRPr="007E7658">
        <w:rPr>
          <w:rFonts w:asciiTheme="minorHAnsi" w:hAnsiTheme="minorHAnsi" w:cs="Arial"/>
          <w:sz w:val="24"/>
          <w:szCs w:val="24"/>
        </w:rPr>
        <w:t xml:space="preserve"> choice, facilitat</w:t>
      </w:r>
      <w:r w:rsidR="007E7658" w:rsidRPr="007E7658">
        <w:rPr>
          <w:rFonts w:asciiTheme="minorHAnsi" w:hAnsiTheme="minorHAnsi" w:cs="Arial"/>
          <w:sz w:val="24"/>
          <w:szCs w:val="24"/>
        </w:rPr>
        <w:t>ing</w:t>
      </w:r>
      <w:r w:rsidR="000E194A" w:rsidRPr="007E7658">
        <w:rPr>
          <w:rFonts w:asciiTheme="minorHAnsi" w:hAnsiTheme="minorHAnsi" w:cs="Arial"/>
          <w:sz w:val="24"/>
          <w:szCs w:val="24"/>
        </w:rPr>
        <w:t xml:space="preserve"> convenience, promot</w:t>
      </w:r>
      <w:r w:rsidR="007E7658" w:rsidRPr="007E7658">
        <w:rPr>
          <w:rFonts w:asciiTheme="minorHAnsi" w:hAnsiTheme="minorHAnsi" w:cs="Arial"/>
          <w:sz w:val="24"/>
          <w:szCs w:val="24"/>
        </w:rPr>
        <w:t>ing the</w:t>
      </w:r>
      <w:r w:rsidR="000E194A" w:rsidRPr="007E7658">
        <w:rPr>
          <w:rFonts w:asciiTheme="minorHAnsi" w:hAnsiTheme="minorHAnsi" w:cs="Arial"/>
          <w:sz w:val="24"/>
          <w:szCs w:val="24"/>
        </w:rPr>
        <w:t xml:space="preserve"> take up of mobile payments, </w:t>
      </w:r>
      <w:r w:rsidR="007E7658" w:rsidRPr="007E7658">
        <w:rPr>
          <w:rFonts w:asciiTheme="minorHAnsi" w:hAnsiTheme="minorHAnsi" w:cs="Arial"/>
          <w:sz w:val="24"/>
          <w:szCs w:val="24"/>
        </w:rPr>
        <w:t xml:space="preserve">and overall enhancing payment system </w:t>
      </w:r>
      <w:r w:rsidR="000E194A" w:rsidRPr="007E7658">
        <w:rPr>
          <w:rFonts w:asciiTheme="minorHAnsi" w:hAnsiTheme="minorHAnsi" w:cs="Arial"/>
          <w:sz w:val="24"/>
          <w:szCs w:val="24"/>
        </w:rPr>
        <w:t>efficiency</w:t>
      </w:r>
      <w:r w:rsidR="007E7658" w:rsidRPr="007E7658">
        <w:rPr>
          <w:rFonts w:asciiTheme="minorHAnsi" w:hAnsiTheme="minorHAnsi" w:cs="Arial"/>
          <w:sz w:val="24"/>
          <w:szCs w:val="24"/>
        </w:rPr>
        <w:t xml:space="preserve">.  </w:t>
      </w:r>
      <w:r w:rsidR="00357F7E">
        <w:rPr>
          <w:rFonts w:asciiTheme="minorHAnsi" w:hAnsiTheme="minorHAnsi" w:cs="Arial"/>
          <w:sz w:val="24"/>
          <w:szCs w:val="24"/>
        </w:rPr>
        <w:t>We support enabling customers to have the same functionality on mobile devices as they currently enjoy with plastic cards.</w:t>
      </w:r>
    </w:p>
    <w:p w:rsidR="000E194A" w:rsidRPr="007E7658" w:rsidRDefault="000E194A" w:rsidP="002452DC">
      <w:pPr>
        <w:rPr>
          <w:rFonts w:asciiTheme="minorHAnsi" w:hAnsiTheme="minorHAnsi" w:cs="Arial"/>
          <w:sz w:val="24"/>
          <w:szCs w:val="24"/>
        </w:rPr>
      </w:pPr>
    </w:p>
    <w:p w:rsidR="00CC1335" w:rsidRPr="007E7658" w:rsidRDefault="00CC1335" w:rsidP="002452DC">
      <w:pPr>
        <w:rPr>
          <w:rFonts w:asciiTheme="minorHAnsi" w:hAnsiTheme="minorHAnsi" w:cs="Arial"/>
          <w:sz w:val="24"/>
          <w:szCs w:val="24"/>
        </w:rPr>
      </w:pPr>
    </w:p>
    <w:p w:rsidR="0061318D" w:rsidRPr="007E7658" w:rsidRDefault="007E7658" w:rsidP="002452DC">
      <w:pPr>
        <w:rPr>
          <w:rFonts w:asciiTheme="minorHAnsi" w:hAnsiTheme="minorHAnsi" w:cs="Arial"/>
          <w:sz w:val="24"/>
          <w:szCs w:val="24"/>
        </w:rPr>
      </w:pPr>
      <w:r w:rsidRPr="007E7658">
        <w:rPr>
          <w:rFonts w:asciiTheme="minorHAnsi" w:hAnsiTheme="minorHAnsi" w:cs="Arial"/>
          <w:sz w:val="24"/>
          <w:szCs w:val="24"/>
        </w:rPr>
        <w:t>We t</w:t>
      </w:r>
      <w:r w:rsidR="002452DC" w:rsidRPr="007E7658">
        <w:rPr>
          <w:rFonts w:asciiTheme="minorHAnsi" w:hAnsiTheme="minorHAnsi" w:cs="Arial"/>
          <w:sz w:val="24"/>
          <w:szCs w:val="24"/>
        </w:rPr>
        <w:t xml:space="preserve">hank you for the opportunity </w:t>
      </w:r>
      <w:r w:rsidR="00485181" w:rsidRPr="007E7658">
        <w:rPr>
          <w:rFonts w:asciiTheme="minorHAnsi" w:hAnsiTheme="minorHAnsi" w:cs="Arial"/>
          <w:sz w:val="24"/>
          <w:szCs w:val="24"/>
        </w:rPr>
        <w:t xml:space="preserve">to comment </w:t>
      </w:r>
      <w:r w:rsidR="0084358A" w:rsidRPr="007E7658">
        <w:rPr>
          <w:rFonts w:asciiTheme="minorHAnsi" w:hAnsiTheme="minorHAnsi" w:cs="Arial"/>
          <w:sz w:val="24"/>
          <w:szCs w:val="24"/>
        </w:rPr>
        <w:t>on th</w:t>
      </w:r>
      <w:r w:rsidR="0061318D" w:rsidRPr="007E7658">
        <w:rPr>
          <w:rFonts w:asciiTheme="minorHAnsi" w:hAnsiTheme="minorHAnsi" w:cs="Arial"/>
          <w:sz w:val="24"/>
          <w:szCs w:val="24"/>
        </w:rPr>
        <w:t>ese matters</w:t>
      </w:r>
      <w:r w:rsidRPr="007E7658">
        <w:rPr>
          <w:rFonts w:asciiTheme="minorHAnsi" w:hAnsiTheme="minorHAnsi" w:cs="Arial"/>
          <w:sz w:val="24"/>
          <w:szCs w:val="24"/>
        </w:rPr>
        <w:t xml:space="preserve"> and agree to this Submission being published on the Reserve Bank web site</w:t>
      </w:r>
      <w:r w:rsidR="000E194A" w:rsidRPr="007E7658">
        <w:rPr>
          <w:rFonts w:asciiTheme="minorHAnsi" w:hAnsiTheme="minorHAnsi" w:cs="Arial"/>
          <w:sz w:val="24"/>
          <w:szCs w:val="24"/>
        </w:rPr>
        <w:t>.</w:t>
      </w:r>
      <w:r w:rsidR="0084358A" w:rsidRPr="007E7658">
        <w:rPr>
          <w:rFonts w:asciiTheme="minorHAnsi" w:hAnsiTheme="minorHAnsi" w:cs="Arial"/>
          <w:sz w:val="24"/>
          <w:szCs w:val="24"/>
        </w:rPr>
        <w:t xml:space="preserve">  </w:t>
      </w:r>
      <w:r w:rsidR="0061318D" w:rsidRPr="007E7658">
        <w:rPr>
          <w:rFonts w:asciiTheme="minorHAnsi" w:hAnsiTheme="minorHAnsi" w:cs="Arial"/>
          <w:sz w:val="24"/>
          <w:szCs w:val="24"/>
        </w:rPr>
        <w:t>We of course remain available to discuss these comments at any time.</w:t>
      </w:r>
    </w:p>
    <w:p w:rsidR="0061318D" w:rsidRPr="007E7658" w:rsidRDefault="0061318D" w:rsidP="002452DC">
      <w:pPr>
        <w:rPr>
          <w:rFonts w:asciiTheme="minorHAnsi" w:hAnsiTheme="minorHAnsi" w:cs="Arial"/>
          <w:sz w:val="24"/>
          <w:szCs w:val="24"/>
        </w:rPr>
      </w:pPr>
    </w:p>
    <w:p w:rsidR="002452DC" w:rsidRPr="007E7658" w:rsidRDefault="002452DC" w:rsidP="00E9632C">
      <w:pPr>
        <w:rPr>
          <w:rFonts w:asciiTheme="minorHAnsi" w:hAnsiTheme="minorHAnsi" w:cs="Arial"/>
          <w:sz w:val="24"/>
          <w:szCs w:val="24"/>
        </w:rPr>
      </w:pPr>
    </w:p>
    <w:p w:rsidR="005400E8" w:rsidRPr="007E7658" w:rsidRDefault="005400E8" w:rsidP="001C05C7">
      <w:pPr>
        <w:jc w:val="both"/>
        <w:rPr>
          <w:rFonts w:asciiTheme="minorHAnsi" w:hAnsiTheme="minorHAnsi" w:cs="Arial"/>
          <w:sz w:val="24"/>
          <w:szCs w:val="24"/>
        </w:rPr>
      </w:pPr>
      <w:r w:rsidRPr="007E7658">
        <w:rPr>
          <w:rFonts w:asciiTheme="minorHAnsi" w:hAnsiTheme="minorHAnsi" w:cs="Arial"/>
          <w:sz w:val="24"/>
          <w:szCs w:val="24"/>
        </w:rPr>
        <w:t>Yours sincerely</w:t>
      </w:r>
    </w:p>
    <w:p w:rsidR="005400E8" w:rsidRPr="007E7658" w:rsidRDefault="005400E8" w:rsidP="001C05C7">
      <w:pPr>
        <w:jc w:val="both"/>
        <w:rPr>
          <w:rFonts w:asciiTheme="minorHAnsi" w:hAnsiTheme="minorHAnsi" w:cs="Arial"/>
          <w:sz w:val="24"/>
          <w:szCs w:val="24"/>
        </w:rPr>
      </w:pPr>
    </w:p>
    <w:p w:rsidR="0061318D" w:rsidRPr="007E7658" w:rsidRDefault="0061318D" w:rsidP="001C05C7">
      <w:pPr>
        <w:jc w:val="both"/>
        <w:rPr>
          <w:rFonts w:asciiTheme="minorHAnsi" w:hAnsiTheme="minorHAnsi" w:cs="Arial"/>
          <w:sz w:val="24"/>
          <w:szCs w:val="24"/>
        </w:rPr>
      </w:pPr>
    </w:p>
    <w:p w:rsidR="0061318D" w:rsidRPr="007E7658" w:rsidRDefault="0061318D" w:rsidP="001C05C7">
      <w:pPr>
        <w:jc w:val="both"/>
        <w:rPr>
          <w:rFonts w:asciiTheme="minorHAnsi" w:hAnsiTheme="minorHAnsi" w:cs="Arial"/>
          <w:sz w:val="24"/>
          <w:szCs w:val="24"/>
        </w:rPr>
      </w:pPr>
    </w:p>
    <w:p w:rsidR="0018305B" w:rsidRPr="007E7658" w:rsidRDefault="0072267A" w:rsidP="001C05C7">
      <w:pPr>
        <w:jc w:val="both"/>
        <w:rPr>
          <w:rFonts w:asciiTheme="minorHAnsi" w:hAnsiTheme="minorHAnsi" w:cs="Arial"/>
          <w:i/>
          <w:sz w:val="24"/>
          <w:szCs w:val="24"/>
        </w:rPr>
      </w:pPr>
      <w:r>
        <w:rPr>
          <w:rFonts w:asciiTheme="minorHAnsi" w:hAnsiTheme="minorHAnsi" w:cs="Arial"/>
          <w:i/>
          <w:sz w:val="24"/>
          <w:szCs w:val="24"/>
        </w:rPr>
        <w:t xml:space="preserve">  [Signed]  </w:t>
      </w:r>
    </w:p>
    <w:p w:rsidR="005400E8" w:rsidRPr="007E7658" w:rsidRDefault="005400E8" w:rsidP="001C05C7">
      <w:pPr>
        <w:jc w:val="both"/>
        <w:rPr>
          <w:rFonts w:asciiTheme="minorHAnsi" w:hAnsiTheme="minorHAnsi" w:cs="Arial"/>
          <w:sz w:val="24"/>
          <w:szCs w:val="24"/>
        </w:rPr>
      </w:pPr>
    </w:p>
    <w:p w:rsidR="00FE0251" w:rsidRPr="007E7658" w:rsidRDefault="00FE0251" w:rsidP="001C05C7">
      <w:pPr>
        <w:jc w:val="both"/>
        <w:rPr>
          <w:rFonts w:asciiTheme="minorHAnsi" w:hAnsiTheme="minorHAnsi" w:cs="Arial"/>
          <w:sz w:val="24"/>
          <w:szCs w:val="24"/>
        </w:rPr>
      </w:pPr>
    </w:p>
    <w:p w:rsidR="005400E8" w:rsidRPr="007E7658" w:rsidRDefault="005400E8" w:rsidP="001C05C7">
      <w:pPr>
        <w:jc w:val="both"/>
        <w:rPr>
          <w:rFonts w:asciiTheme="minorHAnsi" w:hAnsiTheme="minorHAnsi" w:cs="Arial"/>
          <w:sz w:val="24"/>
          <w:szCs w:val="24"/>
        </w:rPr>
      </w:pPr>
      <w:r w:rsidRPr="007E7658">
        <w:rPr>
          <w:rFonts w:asciiTheme="minorHAnsi" w:hAnsiTheme="minorHAnsi" w:cs="Arial"/>
          <w:sz w:val="24"/>
          <w:szCs w:val="24"/>
        </w:rPr>
        <w:t>Stuart Woodward</w:t>
      </w:r>
    </w:p>
    <w:p w:rsidR="005400E8" w:rsidRPr="007E7658" w:rsidRDefault="005400E8" w:rsidP="001C05C7">
      <w:pPr>
        <w:jc w:val="both"/>
        <w:rPr>
          <w:rFonts w:asciiTheme="minorHAnsi" w:hAnsiTheme="minorHAnsi" w:cs="Arial"/>
          <w:sz w:val="24"/>
          <w:szCs w:val="24"/>
        </w:rPr>
      </w:pPr>
      <w:r w:rsidRPr="007E7658">
        <w:rPr>
          <w:rFonts w:asciiTheme="minorHAnsi" w:hAnsiTheme="minorHAnsi" w:cs="Arial"/>
          <w:sz w:val="24"/>
          <w:szCs w:val="24"/>
        </w:rPr>
        <w:t>General Manager</w:t>
      </w:r>
    </w:p>
    <w:p w:rsidR="005400E8" w:rsidRPr="007E7658" w:rsidRDefault="00201DDD" w:rsidP="001C05C7">
      <w:pPr>
        <w:jc w:val="both"/>
        <w:rPr>
          <w:rFonts w:asciiTheme="minorHAnsi" w:hAnsiTheme="minorHAnsi" w:cs="Arial"/>
          <w:sz w:val="24"/>
          <w:szCs w:val="24"/>
        </w:rPr>
      </w:pPr>
      <w:r>
        <w:rPr>
          <w:rFonts w:asciiTheme="minorHAnsi" w:hAnsiTheme="minorHAnsi" w:cs="Arial"/>
          <w:sz w:val="24"/>
          <w:szCs w:val="24"/>
        </w:rPr>
        <w:t xml:space="preserve">Payments </w:t>
      </w:r>
      <w:r w:rsidR="001C7EFF" w:rsidRPr="007E7658">
        <w:rPr>
          <w:rFonts w:asciiTheme="minorHAnsi" w:hAnsiTheme="minorHAnsi" w:cs="Arial"/>
          <w:sz w:val="24"/>
          <w:szCs w:val="24"/>
        </w:rPr>
        <w:t>Representation</w:t>
      </w:r>
    </w:p>
    <w:sectPr w:rsidR="005400E8" w:rsidRPr="007E7658" w:rsidSect="001D7959">
      <w:headerReference w:type="even" r:id="rId12"/>
      <w:headerReference w:type="default" r:id="rId13"/>
      <w:footerReference w:type="even" r:id="rId14"/>
      <w:footerReference w:type="default" r:id="rId15"/>
      <w:headerReference w:type="first" r:id="rId16"/>
      <w:footerReference w:type="first" r:id="rId17"/>
      <w:pgSz w:w="11907" w:h="16834" w:code="9"/>
      <w:pgMar w:top="425" w:right="1191" w:bottom="1247" w:left="1361" w:header="624"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5C89" w:rsidRDefault="00655C89">
      <w:r>
        <w:separator/>
      </w:r>
    </w:p>
  </w:endnote>
  <w:endnote w:type="continuationSeparator" w:id="0">
    <w:p w:rsidR="00655C89" w:rsidRDefault="00655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Univers (WN)">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C0E" w:rsidRDefault="000A3C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C0E" w:rsidRDefault="000A3C0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C0E" w:rsidRDefault="000A3C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5C89" w:rsidRDefault="00655C89">
      <w:r>
        <w:separator/>
      </w:r>
    </w:p>
  </w:footnote>
  <w:footnote w:type="continuationSeparator" w:id="0">
    <w:p w:rsidR="00655C89" w:rsidRDefault="00655C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3A5A" w:rsidRDefault="00663A5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63A5A" w:rsidRDefault="00663A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3A5A" w:rsidRDefault="00663A5A">
    <w:pPr>
      <w:pStyle w:val="Header"/>
      <w:framePr w:wrap="around" w:vAnchor="text" w:hAnchor="margin" w:xAlign="center" w:y="1"/>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sidR="0072267A">
      <w:rPr>
        <w:rStyle w:val="PageNumber"/>
        <w:rFonts w:ascii="Arial" w:hAnsi="Arial"/>
        <w:noProof/>
      </w:rPr>
      <w:t>3</w:t>
    </w:r>
    <w:r>
      <w:rPr>
        <w:rStyle w:val="PageNumber"/>
        <w:rFonts w:ascii="Arial" w:hAnsi="Arial"/>
      </w:rPr>
      <w:fldChar w:fldCharType="end"/>
    </w:r>
  </w:p>
  <w:p w:rsidR="00663A5A" w:rsidRDefault="00663A5A">
    <w:pPr>
      <w:pStyle w:val="Header"/>
    </w:pPr>
  </w:p>
  <w:p w:rsidR="00663A5A" w:rsidRDefault="00663A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C0E" w:rsidRDefault="000A3C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9307D2E"/>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61E061E0"/>
    <w:lvl w:ilvl="0">
      <w:numFmt w:val="bullet"/>
      <w:lvlText w:val="*"/>
      <w:lvlJc w:val="left"/>
    </w:lvl>
  </w:abstractNum>
  <w:abstractNum w:abstractNumId="2">
    <w:nsid w:val="0EEE029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nsid w:val="112C7589"/>
    <w:multiLevelType w:val="hybridMultilevel"/>
    <w:tmpl w:val="C03C589E"/>
    <w:lvl w:ilvl="0" w:tplc="B0FC4216">
      <w:start w:val="1"/>
      <w:numFmt w:val="lowerRoman"/>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19602259"/>
    <w:multiLevelType w:val="hybridMultilevel"/>
    <w:tmpl w:val="D082B0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1969121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
    <w:nsid w:val="1C094284"/>
    <w:multiLevelType w:val="hybridMultilevel"/>
    <w:tmpl w:val="40BE4A68"/>
    <w:lvl w:ilvl="0" w:tplc="F3B61A0A">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1DF7523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nsid w:val="217A7B7D"/>
    <w:multiLevelType w:val="singleLevel"/>
    <w:tmpl w:val="F47CF97C"/>
    <w:lvl w:ilvl="0">
      <w:start w:val="1"/>
      <w:numFmt w:val="bullet"/>
      <w:pStyle w:val="ListBullet"/>
      <w:lvlText w:val=""/>
      <w:lvlJc w:val="left"/>
      <w:pPr>
        <w:tabs>
          <w:tab w:val="num" w:pos="720"/>
        </w:tabs>
        <w:ind w:left="720" w:hanging="720"/>
      </w:pPr>
      <w:rPr>
        <w:rFonts w:ascii="Symbol" w:hAnsi="Symbol" w:hint="default"/>
      </w:rPr>
    </w:lvl>
  </w:abstractNum>
  <w:abstractNum w:abstractNumId="9">
    <w:nsid w:val="31751429"/>
    <w:multiLevelType w:val="hybridMultilevel"/>
    <w:tmpl w:val="2DBC0374"/>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58B4839"/>
    <w:multiLevelType w:val="hybridMultilevel"/>
    <w:tmpl w:val="FDDEBB68"/>
    <w:lvl w:ilvl="0" w:tplc="0C090001">
      <w:start w:val="1"/>
      <w:numFmt w:val="bullet"/>
      <w:lvlText w:val=""/>
      <w:lvlJc w:val="left"/>
      <w:pPr>
        <w:ind w:left="720" w:hanging="360"/>
      </w:pPr>
      <w:rPr>
        <w:rFonts w:ascii="Symbol" w:hAnsi="Symbol" w:hint="default"/>
      </w:r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11">
    <w:nsid w:val="36AF0A68"/>
    <w:multiLevelType w:val="hybridMultilevel"/>
    <w:tmpl w:val="C5E68D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76E2E5C"/>
    <w:multiLevelType w:val="hybridMultilevel"/>
    <w:tmpl w:val="8F36AA20"/>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13">
    <w:nsid w:val="38DA506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4">
    <w:nsid w:val="3C9E2CB1"/>
    <w:multiLevelType w:val="hybridMultilevel"/>
    <w:tmpl w:val="83082A1A"/>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42CD62C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6">
    <w:nsid w:val="44471BB9"/>
    <w:multiLevelType w:val="hybridMultilevel"/>
    <w:tmpl w:val="7C50AE8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4D255C36"/>
    <w:multiLevelType w:val="hybridMultilevel"/>
    <w:tmpl w:val="41607B8E"/>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18">
    <w:nsid w:val="57895C19"/>
    <w:multiLevelType w:val="hybridMultilevel"/>
    <w:tmpl w:val="E1B0CF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597F180A"/>
    <w:multiLevelType w:val="hybridMultilevel"/>
    <w:tmpl w:val="C40695E4"/>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20">
    <w:nsid w:val="5B94791B"/>
    <w:multiLevelType w:val="hybridMultilevel"/>
    <w:tmpl w:val="6F8A58B2"/>
    <w:lvl w:ilvl="0" w:tplc="6936A812">
      <w:start w:val="1"/>
      <w:numFmt w:val="lowerRoman"/>
      <w:lvlText w:val="%1."/>
      <w:lvlJc w:val="righ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DC87D42"/>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2">
    <w:nsid w:val="5EFB05C0"/>
    <w:multiLevelType w:val="hybridMultilevel"/>
    <w:tmpl w:val="CF4A06FA"/>
    <w:lvl w:ilvl="0" w:tplc="2B5CF6D8">
      <w:start w:val="1"/>
      <w:numFmt w:val="bullet"/>
      <w:lvlText w:val=""/>
      <w:lvlJc w:val="left"/>
      <w:pPr>
        <w:tabs>
          <w:tab w:val="num" w:pos="1080"/>
        </w:tabs>
        <w:ind w:left="1080" w:hanging="360"/>
      </w:pPr>
      <w:rPr>
        <w:rFonts w:ascii="Symbol" w:hAnsi="Symbol" w:hint="default"/>
        <w:sz w:val="22"/>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3">
    <w:nsid w:val="5FB8637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4">
    <w:nsid w:val="5FE9430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5">
    <w:nsid w:val="680C57D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6">
    <w:nsid w:val="69813F79"/>
    <w:multiLevelType w:val="hybridMultilevel"/>
    <w:tmpl w:val="7222E010"/>
    <w:lvl w:ilvl="0" w:tplc="0C090001">
      <w:start w:val="1"/>
      <w:numFmt w:val="bullet"/>
      <w:lvlText w:val=""/>
      <w:lvlJc w:val="left"/>
      <w:pPr>
        <w:ind w:left="1080" w:hanging="360"/>
      </w:pPr>
      <w:rPr>
        <w:rFonts w:ascii="Symbol" w:hAnsi="Symbol" w:hint="default"/>
      </w:rPr>
    </w:lvl>
    <w:lvl w:ilvl="1" w:tplc="0C090019">
      <w:start w:val="1"/>
      <w:numFmt w:val="decimal"/>
      <w:lvlText w:val="%2."/>
      <w:lvlJc w:val="left"/>
      <w:pPr>
        <w:tabs>
          <w:tab w:val="num" w:pos="1800"/>
        </w:tabs>
        <w:ind w:left="1800" w:hanging="360"/>
      </w:pPr>
    </w:lvl>
    <w:lvl w:ilvl="2" w:tplc="0C09001B">
      <w:start w:val="1"/>
      <w:numFmt w:val="decimal"/>
      <w:lvlText w:val="%3."/>
      <w:lvlJc w:val="left"/>
      <w:pPr>
        <w:tabs>
          <w:tab w:val="num" w:pos="2520"/>
        </w:tabs>
        <w:ind w:left="2520" w:hanging="360"/>
      </w:pPr>
    </w:lvl>
    <w:lvl w:ilvl="3" w:tplc="0C09000F">
      <w:start w:val="1"/>
      <w:numFmt w:val="decimal"/>
      <w:lvlText w:val="%4."/>
      <w:lvlJc w:val="left"/>
      <w:pPr>
        <w:tabs>
          <w:tab w:val="num" w:pos="3240"/>
        </w:tabs>
        <w:ind w:left="3240" w:hanging="360"/>
      </w:pPr>
    </w:lvl>
    <w:lvl w:ilvl="4" w:tplc="0C090019">
      <w:start w:val="1"/>
      <w:numFmt w:val="decimal"/>
      <w:lvlText w:val="%5."/>
      <w:lvlJc w:val="left"/>
      <w:pPr>
        <w:tabs>
          <w:tab w:val="num" w:pos="3960"/>
        </w:tabs>
        <w:ind w:left="3960" w:hanging="360"/>
      </w:pPr>
    </w:lvl>
    <w:lvl w:ilvl="5" w:tplc="0C09001B">
      <w:start w:val="1"/>
      <w:numFmt w:val="decimal"/>
      <w:lvlText w:val="%6."/>
      <w:lvlJc w:val="left"/>
      <w:pPr>
        <w:tabs>
          <w:tab w:val="num" w:pos="4680"/>
        </w:tabs>
        <w:ind w:left="4680" w:hanging="360"/>
      </w:pPr>
    </w:lvl>
    <w:lvl w:ilvl="6" w:tplc="0C09000F">
      <w:start w:val="1"/>
      <w:numFmt w:val="decimal"/>
      <w:lvlText w:val="%7."/>
      <w:lvlJc w:val="left"/>
      <w:pPr>
        <w:tabs>
          <w:tab w:val="num" w:pos="5400"/>
        </w:tabs>
        <w:ind w:left="5400" w:hanging="360"/>
      </w:pPr>
    </w:lvl>
    <w:lvl w:ilvl="7" w:tplc="0C090019">
      <w:start w:val="1"/>
      <w:numFmt w:val="decimal"/>
      <w:lvlText w:val="%8."/>
      <w:lvlJc w:val="left"/>
      <w:pPr>
        <w:tabs>
          <w:tab w:val="num" w:pos="6120"/>
        </w:tabs>
        <w:ind w:left="6120" w:hanging="360"/>
      </w:pPr>
    </w:lvl>
    <w:lvl w:ilvl="8" w:tplc="0C09001B">
      <w:start w:val="1"/>
      <w:numFmt w:val="decimal"/>
      <w:lvlText w:val="%9."/>
      <w:lvlJc w:val="left"/>
      <w:pPr>
        <w:tabs>
          <w:tab w:val="num" w:pos="6840"/>
        </w:tabs>
        <w:ind w:left="6840" w:hanging="360"/>
      </w:pPr>
    </w:lvl>
  </w:abstractNum>
  <w:abstractNum w:abstractNumId="27">
    <w:nsid w:val="6A5B7352"/>
    <w:multiLevelType w:val="hybridMultilevel"/>
    <w:tmpl w:val="B43276DA"/>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6B003227"/>
    <w:multiLevelType w:val="hybridMultilevel"/>
    <w:tmpl w:val="8026A54A"/>
    <w:lvl w:ilvl="0" w:tplc="2B5CF6D8">
      <w:start w:val="1"/>
      <w:numFmt w:val="bullet"/>
      <w:lvlText w:val=""/>
      <w:lvlJc w:val="left"/>
      <w:pPr>
        <w:tabs>
          <w:tab w:val="num" w:pos="720"/>
        </w:tabs>
        <w:ind w:left="720" w:hanging="360"/>
      </w:pPr>
      <w:rPr>
        <w:rFonts w:ascii="Symbol" w:hAnsi="Symbol" w:hint="default"/>
        <w:sz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9">
    <w:nsid w:val="73B3700E"/>
    <w:multiLevelType w:val="hybridMultilevel"/>
    <w:tmpl w:val="35D6D380"/>
    <w:lvl w:ilvl="0" w:tplc="9C54C006">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51572A1"/>
    <w:multiLevelType w:val="hybridMultilevel"/>
    <w:tmpl w:val="B49C5D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76DA6AB5"/>
    <w:multiLevelType w:val="hybridMultilevel"/>
    <w:tmpl w:val="E42045F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2">
    <w:nsid w:val="78424646"/>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8"/>
  </w:num>
  <w:num w:numId="3">
    <w:abstractNumId w:val="24"/>
  </w:num>
  <w:num w:numId="4">
    <w:abstractNumId w:val="7"/>
  </w:num>
  <w:num w:numId="5">
    <w:abstractNumId w:val="21"/>
  </w:num>
  <w:num w:numId="6">
    <w:abstractNumId w:val="2"/>
  </w:num>
  <w:num w:numId="7">
    <w:abstractNumId w:val="15"/>
  </w:num>
  <w:num w:numId="8">
    <w:abstractNumId w:val="23"/>
  </w:num>
  <w:num w:numId="9">
    <w:abstractNumId w:val="25"/>
  </w:num>
  <w:num w:numId="10">
    <w:abstractNumId w:val="32"/>
  </w:num>
  <w:num w:numId="11">
    <w:abstractNumId w:val="13"/>
  </w:num>
  <w:num w:numId="12">
    <w:abstractNumId w:val="5"/>
  </w:num>
  <w:num w:numId="13">
    <w:abstractNumId w:val="17"/>
  </w:num>
  <w:num w:numId="14">
    <w:abstractNumId w:val="28"/>
  </w:num>
  <w:num w:numId="15">
    <w:abstractNumId w:val="22"/>
  </w:num>
  <w:num w:numId="16">
    <w:abstractNumId w:val="1"/>
    <w:lvlOverride w:ilvl="0">
      <w:lvl w:ilvl="0">
        <w:numFmt w:val="bullet"/>
        <w:lvlText w:val=""/>
        <w:legacy w:legacy="1" w:legacySpace="0" w:legacyIndent="0"/>
        <w:lvlJc w:val="left"/>
        <w:rPr>
          <w:rFonts w:ascii="Symbol" w:hAnsi="Symbol" w:hint="default"/>
        </w:rPr>
      </w:lvl>
    </w:lvlOverride>
  </w:num>
  <w:num w:numId="17">
    <w:abstractNumId w:val="9"/>
  </w:num>
  <w:num w:numId="18">
    <w:abstractNumId w:val="14"/>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31"/>
  </w:num>
  <w:num w:numId="25">
    <w:abstractNumId w:val="11"/>
  </w:num>
  <w:num w:numId="26">
    <w:abstractNumId w:val="4"/>
  </w:num>
  <w:num w:numId="27">
    <w:abstractNumId w:val="29"/>
  </w:num>
  <w:num w:numId="28">
    <w:abstractNumId w:val="20"/>
  </w:num>
  <w:num w:numId="29">
    <w:abstractNumId w:val="16"/>
  </w:num>
  <w:num w:numId="30">
    <w:abstractNumId w:val="6"/>
  </w:num>
  <w:num w:numId="31">
    <w:abstractNumId w:val="3"/>
  </w:num>
  <w:num w:numId="32">
    <w:abstractNumId w:val="27"/>
  </w:num>
  <w:num w:numId="33">
    <w:abstractNumId w:val="18"/>
  </w:num>
  <w:num w:numId="3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5400E8"/>
    <w:rsid w:val="00017B8C"/>
    <w:rsid w:val="00026035"/>
    <w:rsid w:val="00044008"/>
    <w:rsid w:val="00046648"/>
    <w:rsid w:val="00053377"/>
    <w:rsid w:val="00063934"/>
    <w:rsid w:val="0007536F"/>
    <w:rsid w:val="000922F5"/>
    <w:rsid w:val="000A3C0E"/>
    <w:rsid w:val="000D168D"/>
    <w:rsid w:val="000E194A"/>
    <w:rsid w:val="000E62FA"/>
    <w:rsid w:val="000F6B1A"/>
    <w:rsid w:val="000F6CA7"/>
    <w:rsid w:val="000F7599"/>
    <w:rsid w:val="001172A8"/>
    <w:rsid w:val="0012612F"/>
    <w:rsid w:val="0018305B"/>
    <w:rsid w:val="001840A3"/>
    <w:rsid w:val="001B1F81"/>
    <w:rsid w:val="001B2B99"/>
    <w:rsid w:val="001C05C7"/>
    <w:rsid w:val="001C5F3C"/>
    <w:rsid w:val="001C6AE9"/>
    <w:rsid w:val="001C7EFF"/>
    <w:rsid w:val="001D5A7B"/>
    <w:rsid w:val="001D7959"/>
    <w:rsid w:val="00201DDD"/>
    <w:rsid w:val="0020338B"/>
    <w:rsid w:val="0021254F"/>
    <w:rsid w:val="00214E5D"/>
    <w:rsid w:val="00217DF4"/>
    <w:rsid w:val="00232EB9"/>
    <w:rsid w:val="002343DD"/>
    <w:rsid w:val="002452DC"/>
    <w:rsid w:val="00263C47"/>
    <w:rsid w:val="0027018D"/>
    <w:rsid w:val="002C6FC7"/>
    <w:rsid w:val="002D7756"/>
    <w:rsid w:val="002F20DB"/>
    <w:rsid w:val="00300ACC"/>
    <w:rsid w:val="003155BC"/>
    <w:rsid w:val="00332669"/>
    <w:rsid w:val="00336823"/>
    <w:rsid w:val="00340DEB"/>
    <w:rsid w:val="00342CCD"/>
    <w:rsid w:val="00357F7E"/>
    <w:rsid w:val="00363DEA"/>
    <w:rsid w:val="00363E8A"/>
    <w:rsid w:val="00371521"/>
    <w:rsid w:val="00372CBA"/>
    <w:rsid w:val="003B1AB1"/>
    <w:rsid w:val="003D2ECE"/>
    <w:rsid w:val="003D72C0"/>
    <w:rsid w:val="004005BD"/>
    <w:rsid w:val="00422E06"/>
    <w:rsid w:val="004409E0"/>
    <w:rsid w:val="00462E9B"/>
    <w:rsid w:val="00464619"/>
    <w:rsid w:val="0046487C"/>
    <w:rsid w:val="00485181"/>
    <w:rsid w:val="004A63AD"/>
    <w:rsid w:val="004A67E0"/>
    <w:rsid w:val="004B7C7C"/>
    <w:rsid w:val="004C62D2"/>
    <w:rsid w:val="004D4859"/>
    <w:rsid w:val="004D624B"/>
    <w:rsid w:val="004D6FFB"/>
    <w:rsid w:val="004E483A"/>
    <w:rsid w:val="0050427A"/>
    <w:rsid w:val="00520B4E"/>
    <w:rsid w:val="005264FD"/>
    <w:rsid w:val="005400E8"/>
    <w:rsid w:val="00584539"/>
    <w:rsid w:val="00590A35"/>
    <w:rsid w:val="005A048D"/>
    <w:rsid w:val="005B50D4"/>
    <w:rsid w:val="005C11CA"/>
    <w:rsid w:val="005D0658"/>
    <w:rsid w:val="005D54DA"/>
    <w:rsid w:val="005F70C1"/>
    <w:rsid w:val="00610B34"/>
    <w:rsid w:val="0061318D"/>
    <w:rsid w:val="00621294"/>
    <w:rsid w:val="00622ED1"/>
    <w:rsid w:val="00635EB8"/>
    <w:rsid w:val="006369A1"/>
    <w:rsid w:val="006378D8"/>
    <w:rsid w:val="00641145"/>
    <w:rsid w:val="0064712E"/>
    <w:rsid w:val="00655C89"/>
    <w:rsid w:val="00660186"/>
    <w:rsid w:val="00663A5A"/>
    <w:rsid w:val="0068772A"/>
    <w:rsid w:val="0069794A"/>
    <w:rsid w:val="006A46D2"/>
    <w:rsid w:val="006A6AD6"/>
    <w:rsid w:val="006E5C06"/>
    <w:rsid w:val="007207CD"/>
    <w:rsid w:val="00721D67"/>
    <w:rsid w:val="0072267A"/>
    <w:rsid w:val="0073228A"/>
    <w:rsid w:val="007463CD"/>
    <w:rsid w:val="00761161"/>
    <w:rsid w:val="007754D5"/>
    <w:rsid w:val="007A3F97"/>
    <w:rsid w:val="007A6383"/>
    <w:rsid w:val="007B0BE8"/>
    <w:rsid w:val="007E6840"/>
    <w:rsid w:val="007E7658"/>
    <w:rsid w:val="00806DF4"/>
    <w:rsid w:val="00813751"/>
    <w:rsid w:val="0083502C"/>
    <w:rsid w:val="0084358A"/>
    <w:rsid w:val="00865FD9"/>
    <w:rsid w:val="00887A33"/>
    <w:rsid w:val="00891640"/>
    <w:rsid w:val="008B1601"/>
    <w:rsid w:val="008B39BD"/>
    <w:rsid w:val="008C122B"/>
    <w:rsid w:val="008E4B1D"/>
    <w:rsid w:val="008E504A"/>
    <w:rsid w:val="008F6ABA"/>
    <w:rsid w:val="00922245"/>
    <w:rsid w:val="00936181"/>
    <w:rsid w:val="00940063"/>
    <w:rsid w:val="00956429"/>
    <w:rsid w:val="00963D2B"/>
    <w:rsid w:val="009643B9"/>
    <w:rsid w:val="00965B92"/>
    <w:rsid w:val="00976AFA"/>
    <w:rsid w:val="009932BA"/>
    <w:rsid w:val="009A6D44"/>
    <w:rsid w:val="009C5B30"/>
    <w:rsid w:val="00A10047"/>
    <w:rsid w:val="00A155A0"/>
    <w:rsid w:val="00A245FE"/>
    <w:rsid w:val="00A45554"/>
    <w:rsid w:val="00A907D5"/>
    <w:rsid w:val="00A97F42"/>
    <w:rsid w:val="00AB062D"/>
    <w:rsid w:val="00AB4C8A"/>
    <w:rsid w:val="00AC69F4"/>
    <w:rsid w:val="00AD19BC"/>
    <w:rsid w:val="00AD52D6"/>
    <w:rsid w:val="00AD5525"/>
    <w:rsid w:val="00AD7FD7"/>
    <w:rsid w:val="00AF4FE6"/>
    <w:rsid w:val="00B00285"/>
    <w:rsid w:val="00B12B86"/>
    <w:rsid w:val="00B21D0B"/>
    <w:rsid w:val="00B5359A"/>
    <w:rsid w:val="00B65183"/>
    <w:rsid w:val="00B65313"/>
    <w:rsid w:val="00B7008B"/>
    <w:rsid w:val="00B72B99"/>
    <w:rsid w:val="00B937B4"/>
    <w:rsid w:val="00B9433D"/>
    <w:rsid w:val="00BA55DD"/>
    <w:rsid w:val="00BB6523"/>
    <w:rsid w:val="00BC2050"/>
    <w:rsid w:val="00BD760C"/>
    <w:rsid w:val="00C16571"/>
    <w:rsid w:val="00C16D0E"/>
    <w:rsid w:val="00C16EAB"/>
    <w:rsid w:val="00C2315A"/>
    <w:rsid w:val="00C276E0"/>
    <w:rsid w:val="00C87194"/>
    <w:rsid w:val="00CA6A34"/>
    <w:rsid w:val="00CB6840"/>
    <w:rsid w:val="00CC0A2D"/>
    <w:rsid w:val="00CC1335"/>
    <w:rsid w:val="00CC177B"/>
    <w:rsid w:val="00CE2E62"/>
    <w:rsid w:val="00CE5A2F"/>
    <w:rsid w:val="00CF01A7"/>
    <w:rsid w:val="00CF0C4C"/>
    <w:rsid w:val="00D06638"/>
    <w:rsid w:val="00D159E4"/>
    <w:rsid w:val="00D41D53"/>
    <w:rsid w:val="00D706E9"/>
    <w:rsid w:val="00DA2E5D"/>
    <w:rsid w:val="00DD4A21"/>
    <w:rsid w:val="00DE7331"/>
    <w:rsid w:val="00DF4186"/>
    <w:rsid w:val="00DF6EAD"/>
    <w:rsid w:val="00E0425B"/>
    <w:rsid w:val="00E22E3A"/>
    <w:rsid w:val="00E27DCB"/>
    <w:rsid w:val="00E3398A"/>
    <w:rsid w:val="00E5021E"/>
    <w:rsid w:val="00E57487"/>
    <w:rsid w:val="00E60791"/>
    <w:rsid w:val="00E61851"/>
    <w:rsid w:val="00E6360B"/>
    <w:rsid w:val="00E9632C"/>
    <w:rsid w:val="00EB6FA0"/>
    <w:rsid w:val="00EC0D53"/>
    <w:rsid w:val="00EC3F79"/>
    <w:rsid w:val="00EC7338"/>
    <w:rsid w:val="00F150DC"/>
    <w:rsid w:val="00F243BB"/>
    <w:rsid w:val="00F329BB"/>
    <w:rsid w:val="00F402AF"/>
    <w:rsid w:val="00F40BCE"/>
    <w:rsid w:val="00F44BF6"/>
    <w:rsid w:val="00F508D7"/>
    <w:rsid w:val="00F72F2F"/>
    <w:rsid w:val="00F77A1C"/>
    <w:rsid w:val="00F82BF5"/>
    <w:rsid w:val="00FA155F"/>
    <w:rsid w:val="00FB07D5"/>
    <w:rsid w:val="00FD2BEE"/>
    <w:rsid w:val="00FE02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6A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A6A34"/>
    <w:pPr>
      <w:spacing w:after="340" w:line="340" w:lineRule="exact"/>
      <w:jc w:val="both"/>
    </w:pPr>
    <w:rPr>
      <w:sz w:val="23"/>
    </w:rPr>
  </w:style>
  <w:style w:type="paragraph" w:styleId="ListBullet">
    <w:name w:val="List Bullet"/>
    <w:basedOn w:val="Normal"/>
    <w:autoRedefine/>
    <w:rsid w:val="00CA6A34"/>
    <w:pPr>
      <w:numPr>
        <w:numId w:val="2"/>
      </w:numPr>
      <w:spacing w:after="120" w:line="280" w:lineRule="exact"/>
      <w:jc w:val="both"/>
    </w:pPr>
    <w:rPr>
      <w:rFonts w:ascii="Arial" w:hAnsi="Arial"/>
      <w:sz w:val="22"/>
    </w:rPr>
  </w:style>
  <w:style w:type="character" w:customStyle="1" w:styleId="Heading">
    <w:name w:val="Heading"/>
    <w:basedOn w:val="DefaultParagraphFont"/>
    <w:rsid w:val="00CA6A34"/>
    <w:rPr>
      <w:rFonts w:ascii="Arial" w:hAnsi="Arial"/>
      <w:b/>
      <w:caps/>
      <w:sz w:val="19"/>
    </w:rPr>
  </w:style>
  <w:style w:type="character" w:customStyle="1" w:styleId="Subheading">
    <w:name w:val="Subheading"/>
    <w:basedOn w:val="DefaultParagraphFont"/>
    <w:rsid w:val="00CA6A34"/>
    <w:rPr>
      <w:rFonts w:ascii="Arial" w:hAnsi="Arial"/>
      <w:b/>
      <w:sz w:val="19"/>
    </w:rPr>
  </w:style>
  <w:style w:type="paragraph" w:styleId="Header">
    <w:name w:val="header"/>
    <w:basedOn w:val="Normal"/>
    <w:rsid w:val="00CA6A34"/>
    <w:pPr>
      <w:tabs>
        <w:tab w:val="center" w:pos="4153"/>
        <w:tab w:val="right" w:pos="8306"/>
      </w:tabs>
    </w:pPr>
  </w:style>
  <w:style w:type="character" w:styleId="PageNumber">
    <w:name w:val="page number"/>
    <w:basedOn w:val="DefaultParagraphFont"/>
    <w:rsid w:val="00CA6A34"/>
  </w:style>
  <w:style w:type="paragraph" w:styleId="Footer">
    <w:name w:val="footer"/>
    <w:basedOn w:val="Normal"/>
    <w:rsid w:val="00CA6A34"/>
    <w:pPr>
      <w:tabs>
        <w:tab w:val="center" w:pos="4153"/>
        <w:tab w:val="right" w:pos="8306"/>
      </w:tabs>
    </w:pPr>
  </w:style>
  <w:style w:type="character" w:styleId="Hyperlink">
    <w:name w:val="Hyperlink"/>
    <w:basedOn w:val="DefaultParagraphFont"/>
    <w:rsid w:val="009A6D44"/>
    <w:rPr>
      <w:color w:val="0000FF"/>
      <w:u w:val="single"/>
    </w:rPr>
  </w:style>
  <w:style w:type="character" w:styleId="CommentReference">
    <w:name w:val="annotation reference"/>
    <w:basedOn w:val="DefaultParagraphFont"/>
    <w:semiHidden/>
    <w:rsid w:val="00B72B99"/>
    <w:rPr>
      <w:sz w:val="16"/>
      <w:szCs w:val="16"/>
    </w:rPr>
  </w:style>
  <w:style w:type="paragraph" w:styleId="CommentText">
    <w:name w:val="annotation text"/>
    <w:basedOn w:val="Normal"/>
    <w:semiHidden/>
    <w:rsid w:val="00B72B99"/>
  </w:style>
  <w:style w:type="paragraph" w:styleId="CommentSubject">
    <w:name w:val="annotation subject"/>
    <w:basedOn w:val="CommentText"/>
    <w:next w:val="CommentText"/>
    <w:semiHidden/>
    <w:rsid w:val="00B72B99"/>
    <w:rPr>
      <w:b/>
      <w:bCs/>
    </w:rPr>
  </w:style>
  <w:style w:type="paragraph" w:styleId="BalloonText">
    <w:name w:val="Balloon Text"/>
    <w:basedOn w:val="Normal"/>
    <w:semiHidden/>
    <w:rsid w:val="00B72B99"/>
    <w:rPr>
      <w:rFonts w:ascii="Tahoma" w:hAnsi="Tahoma" w:cs="Tahoma"/>
      <w:sz w:val="16"/>
      <w:szCs w:val="16"/>
    </w:rPr>
  </w:style>
  <w:style w:type="paragraph" w:styleId="FootnoteText">
    <w:name w:val="footnote text"/>
    <w:basedOn w:val="Normal"/>
    <w:semiHidden/>
    <w:rsid w:val="00B72B99"/>
  </w:style>
  <w:style w:type="character" w:styleId="FootnoteReference">
    <w:name w:val="footnote reference"/>
    <w:basedOn w:val="DefaultParagraphFont"/>
    <w:semiHidden/>
    <w:rsid w:val="00B72B99"/>
    <w:rPr>
      <w:vertAlign w:val="superscript"/>
    </w:rPr>
  </w:style>
  <w:style w:type="paragraph" w:styleId="ListParagraph">
    <w:name w:val="List Paragraph"/>
    <w:basedOn w:val="Normal"/>
    <w:uiPriority w:val="34"/>
    <w:qFormat/>
    <w:rsid w:val="0027018D"/>
    <w:pPr>
      <w:ind w:left="720"/>
    </w:pPr>
    <w:rPr>
      <w:rFonts w:ascii="Calibri" w:hAnsi="Calibri"/>
      <w:sz w:val="22"/>
      <w:szCs w:val="22"/>
      <w:lang w:eastAsia="en-US"/>
    </w:rPr>
  </w:style>
  <w:style w:type="character" w:customStyle="1" w:styleId="BodyTextChar">
    <w:name w:val="Body Text Char"/>
    <w:basedOn w:val="DefaultParagraphFont"/>
    <w:link w:val="BodyText"/>
    <w:rsid w:val="00CE5A2F"/>
    <w:rPr>
      <w:sz w:val="23"/>
    </w:rPr>
  </w:style>
  <w:style w:type="paragraph" w:styleId="EndnoteText">
    <w:name w:val="endnote text"/>
    <w:basedOn w:val="Normal"/>
    <w:link w:val="EndnoteTextChar"/>
    <w:rsid w:val="008E4B1D"/>
  </w:style>
  <w:style w:type="character" w:customStyle="1" w:styleId="EndnoteTextChar">
    <w:name w:val="Endnote Text Char"/>
    <w:basedOn w:val="DefaultParagraphFont"/>
    <w:link w:val="EndnoteText"/>
    <w:rsid w:val="008E4B1D"/>
  </w:style>
  <w:style w:type="character" w:styleId="EndnoteReference">
    <w:name w:val="endnote reference"/>
    <w:basedOn w:val="DefaultParagraphFont"/>
    <w:rsid w:val="008E4B1D"/>
    <w:rPr>
      <w:vertAlign w:val="superscript"/>
    </w:rPr>
  </w:style>
  <w:style w:type="table" w:styleId="TableGrid">
    <w:name w:val="Table Grid"/>
    <w:basedOn w:val="TableNormal"/>
    <w:uiPriority w:val="59"/>
    <w:rsid w:val="00E9632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155B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260116">
      <w:bodyDiv w:val="1"/>
      <w:marLeft w:val="0"/>
      <w:marRight w:val="0"/>
      <w:marTop w:val="0"/>
      <w:marBottom w:val="0"/>
      <w:divBdr>
        <w:top w:val="none" w:sz="0" w:space="0" w:color="auto"/>
        <w:left w:val="none" w:sz="0" w:space="0" w:color="auto"/>
        <w:bottom w:val="none" w:sz="0" w:space="0" w:color="auto"/>
        <w:right w:val="none" w:sz="0" w:space="0" w:color="auto"/>
      </w:divBdr>
    </w:div>
    <w:div w:id="893271065">
      <w:bodyDiv w:val="1"/>
      <w:marLeft w:val="0"/>
      <w:marRight w:val="0"/>
      <w:marTop w:val="0"/>
      <w:marBottom w:val="0"/>
      <w:divBdr>
        <w:top w:val="none" w:sz="0" w:space="0" w:color="auto"/>
        <w:left w:val="none" w:sz="0" w:space="0" w:color="auto"/>
        <w:bottom w:val="none" w:sz="0" w:space="0" w:color="auto"/>
        <w:right w:val="none" w:sz="0" w:space="0" w:color="auto"/>
      </w:divBdr>
    </w:div>
    <w:div w:id="178068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ysubmissions@rba.gov.au"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woodward@cba.com,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594EDB-DC80-48AA-848F-3898EEB9E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E87C38B3.dotm</Template>
  <TotalTime>0</TotalTime>
  <Pages>2</Pages>
  <Words>1009</Words>
  <Characters>5547</Characters>
  <Application>Microsoft Office Word</Application>
  <DocSecurity>0</DocSecurity>
  <Lines>151</Lines>
  <Paragraphs>51</Paragraphs>
  <ScaleCrop>false</ScaleCrop>
  <Company/>
  <LinksUpToDate>false</LinksUpToDate>
  <CharactersWithSpaces>6550</CharactersWithSpaces>
  <SharedDoc>false</SharedDoc>
  <HLinks>
    <vt:vector size="12" baseType="variant">
      <vt:variant>
        <vt:i4>4522041</vt:i4>
      </vt:variant>
      <vt:variant>
        <vt:i4>0</vt:i4>
      </vt:variant>
      <vt:variant>
        <vt:i4>0</vt:i4>
      </vt:variant>
      <vt:variant>
        <vt:i4>5</vt:i4>
      </vt:variant>
      <vt:variant>
        <vt:lpwstr>mailto:adjudication@accc.gov.au</vt:lpwstr>
      </vt:variant>
      <vt:variant>
        <vt:lpwstr/>
      </vt:variant>
      <vt:variant>
        <vt:i4>6553643</vt:i4>
      </vt:variant>
      <vt:variant>
        <vt:i4>0</vt:i4>
      </vt:variant>
      <vt:variant>
        <vt:i4>0</vt:i4>
      </vt:variant>
      <vt:variant>
        <vt:i4>5</vt:i4>
      </vt:variant>
      <vt:variant>
        <vt:lpwstr>http://personal.macquarie.com.au/personal/products/credit_cards/platinum_card.htm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keywords/>
  <dc:description/>
  <cp:lastModifiedBy>Reserve Bank of Australia</cp:lastModifiedBy>
  <cp:revision>2</cp:revision>
  <dcterms:created xsi:type="dcterms:W3CDTF">2017-02-14T02:25:00Z</dcterms:created>
  <dcterms:modified xsi:type="dcterms:W3CDTF">2017-02-14T02:25:00Z</dcterms:modified>
</cp:coreProperties>
</file>