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5A5B" w:rsidRPr="00210B4F" w:rsidRDefault="00905A5B" w:rsidP="00905A5B">
      <w:pPr>
        <w:pStyle w:val="NormalWeb"/>
        <w:contextualSpacing/>
        <w:rPr>
          <w:rFonts w:ascii="Arial Narrow" w:hAnsi="Arial Narrow" w:cs="Calibri"/>
          <w:color w:val="000000"/>
        </w:rPr>
      </w:pPr>
      <w:bookmarkStart w:id="0" w:name="_GoBack"/>
      <w:bookmarkEnd w:id="0"/>
      <w:r w:rsidRPr="00210B4F">
        <w:rPr>
          <w:rFonts w:ascii="Arial Narrow" w:hAnsi="Arial Narrow" w:cs="Calibri"/>
          <w:color w:val="000000"/>
        </w:rPr>
        <w:t xml:space="preserve">Head of Payments Policy Department </w:t>
      </w:r>
    </w:p>
    <w:p w:rsidR="00905A5B" w:rsidRPr="00210B4F" w:rsidRDefault="00905A5B" w:rsidP="00905A5B">
      <w:pPr>
        <w:pStyle w:val="NormalWeb"/>
        <w:contextualSpacing/>
        <w:rPr>
          <w:rFonts w:ascii="Arial Narrow" w:hAnsi="Arial Narrow" w:cs="Calibri"/>
          <w:color w:val="000000"/>
        </w:rPr>
      </w:pPr>
      <w:r w:rsidRPr="00210B4F">
        <w:rPr>
          <w:rFonts w:ascii="Arial Narrow" w:hAnsi="Arial Narrow" w:cs="Calibri"/>
          <w:color w:val="000000"/>
        </w:rPr>
        <w:t>Reserve Bank of Australia</w:t>
      </w:r>
      <w:r w:rsidRPr="00210B4F">
        <w:rPr>
          <w:rFonts w:ascii="Arial Narrow" w:hAnsi="Arial Narrow" w:cs="Calibri"/>
          <w:color w:val="000000"/>
        </w:rPr>
        <w:br/>
        <w:t>GPO Box 3947</w:t>
      </w:r>
      <w:r w:rsidRPr="00210B4F">
        <w:rPr>
          <w:rFonts w:ascii="Arial Narrow" w:hAnsi="Arial Narrow" w:cs="Calibri"/>
          <w:color w:val="000000"/>
        </w:rPr>
        <w:br/>
      </w:r>
    </w:p>
    <w:p w:rsidR="00905A5B" w:rsidRPr="00210B4F" w:rsidRDefault="00905A5B" w:rsidP="00905A5B">
      <w:pPr>
        <w:pStyle w:val="NormalWeb"/>
        <w:contextualSpacing/>
        <w:rPr>
          <w:rFonts w:ascii="Arial Narrow" w:hAnsi="Arial Narrow" w:cs="Calibri"/>
          <w:color w:val="000000"/>
        </w:rPr>
      </w:pPr>
      <w:r w:rsidRPr="00210B4F">
        <w:rPr>
          <w:rFonts w:ascii="Arial Narrow" w:hAnsi="Arial Narrow" w:cs="Calibri"/>
          <w:color w:val="000000"/>
        </w:rPr>
        <w:t xml:space="preserve">Sydney NSW 2001 </w:t>
      </w:r>
    </w:p>
    <w:p w:rsidR="00905A5B" w:rsidRPr="00210B4F" w:rsidRDefault="00905A5B" w:rsidP="00905A5B">
      <w:pPr>
        <w:pStyle w:val="NormalWeb"/>
        <w:contextualSpacing/>
        <w:rPr>
          <w:rFonts w:ascii="Arial Narrow" w:hAnsi="Arial Narrow" w:cs="Calibri"/>
          <w:color w:val="0000FF"/>
        </w:rPr>
      </w:pPr>
    </w:p>
    <w:p w:rsidR="00905A5B" w:rsidRPr="00210B4F" w:rsidRDefault="006445A3" w:rsidP="00210B4F">
      <w:pPr>
        <w:pStyle w:val="NormalWeb"/>
        <w:contextualSpacing/>
        <w:rPr>
          <w:rFonts w:ascii="Arial Narrow" w:hAnsi="Arial Narrow" w:cs="Calibri"/>
          <w:color w:val="000000"/>
        </w:rPr>
      </w:pPr>
      <w:hyperlink r:id="rId9" w:history="1">
        <w:r w:rsidR="00905A5B" w:rsidRPr="00210B4F">
          <w:rPr>
            <w:rStyle w:val="Hyperlink"/>
            <w:rFonts w:ascii="Arial Narrow" w:hAnsi="Arial Narrow" w:cs="Calibri"/>
          </w:rPr>
          <w:t>pysubmissions@rba.gov.au</w:t>
        </w:r>
      </w:hyperlink>
      <w:r w:rsidR="00905A5B" w:rsidRPr="00210B4F">
        <w:rPr>
          <w:rFonts w:ascii="Arial Narrow" w:hAnsi="Arial Narrow" w:cs="Calibri"/>
          <w:color w:val="000000"/>
        </w:rPr>
        <w:t>. </w:t>
      </w:r>
    </w:p>
    <w:p w:rsidR="00596EA4" w:rsidRPr="00210B4F" w:rsidRDefault="00366642" w:rsidP="00FE0148">
      <w:pPr>
        <w:pStyle w:val="BodyText"/>
        <w:ind w:left="0"/>
        <w:contextualSpacing/>
        <w:rPr>
          <w:rFonts w:cs="Arial"/>
          <w:sz w:val="24"/>
          <w:szCs w:val="24"/>
          <w:lang w:val="en-AU"/>
        </w:rPr>
      </w:pPr>
      <w:r w:rsidRPr="00210B4F">
        <w:rPr>
          <w:rFonts w:cs="Arial"/>
          <w:sz w:val="24"/>
          <w:szCs w:val="24"/>
          <w:lang w:val="en-AU"/>
        </w:rPr>
        <w:t>To whom it may concern,</w:t>
      </w:r>
    </w:p>
    <w:p w:rsidR="002F01E4" w:rsidRPr="00210B4F" w:rsidRDefault="00BA43C5" w:rsidP="00F906DE">
      <w:pPr>
        <w:pStyle w:val="NormalWeb"/>
        <w:contextualSpacing/>
        <w:jc w:val="center"/>
        <w:rPr>
          <w:rFonts w:ascii="Arial Narrow" w:hAnsi="Arial Narrow"/>
          <w:b/>
        </w:rPr>
      </w:pPr>
      <w:r w:rsidRPr="00210B4F">
        <w:rPr>
          <w:rFonts w:ascii="Arial Narrow" w:hAnsi="Arial Narrow"/>
          <w:b/>
        </w:rPr>
        <w:t>Third p</w:t>
      </w:r>
      <w:r w:rsidR="00F906DE" w:rsidRPr="00210B4F">
        <w:rPr>
          <w:rFonts w:ascii="Arial Narrow" w:hAnsi="Arial Narrow"/>
          <w:b/>
        </w:rPr>
        <w:t>arty mobile wallet application submission for</w:t>
      </w:r>
      <w:r w:rsidR="002F01E4" w:rsidRPr="00210B4F">
        <w:rPr>
          <w:rFonts w:ascii="Arial Narrow" w:hAnsi="Arial Narrow"/>
          <w:b/>
        </w:rPr>
        <w:t xml:space="preserve"> retailers</w:t>
      </w:r>
    </w:p>
    <w:p w:rsidR="002F01E4" w:rsidRPr="00210B4F" w:rsidRDefault="00F906DE" w:rsidP="00FE0148">
      <w:pPr>
        <w:pStyle w:val="BodyText"/>
        <w:ind w:left="0"/>
        <w:contextualSpacing/>
        <w:rPr>
          <w:rFonts w:cs="Arial"/>
          <w:sz w:val="24"/>
          <w:szCs w:val="24"/>
          <w:lang w:val="en-AU"/>
        </w:rPr>
      </w:pPr>
      <w:r w:rsidRPr="00210B4F">
        <w:rPr>
          <w:rFonts w:cs="Arial"/>
          <w:sz w:val="24"/>
          <w:szCs w:val="24"/>
          <w:lang w:val="en-AU"/>
        </w:rPr>
        <w:t>Tuesday 3 February</w:t>
      </w:r>
      <w:r w:rsidR="002F01E4" w:rsidRPr="00210B4F">
        <w:rPr>
          <w:rFonts w:cs="Arial"/>
          <w:sz w:val="24"/>
          <w:szCs w:val="24"/>
          <w:lang w:val="en-AU"/>
        </w:rPr>
        <w:t xml:space="preserve"> 2017</w:t>
      </w:r>
    </w:p>
    <w:p w:rsidR="002F01E4" w:rsidRPr="00210B4F" w:rsidRDefault="002F01E4" w:rsidP="00FE0148">
      <w:pPr>
        <w:pStyle w:val="BodyText"/>
        <w:ind w:left="0"/>
        <w:contextualSpacing/>
        <w:rPr>
          <w:b/>
          <w:sz w:val="24"/>
          <w:szCs w:val="24"/>
          <w:lang w:val="en-AU"/>
        </w:rPr>
      </w:pPr>
    </w:p>
    <w:p w:rsidR="002F01E4" w:rsidRPr="00210B4F" w:rsidRDefault="002F01E4" w:rsidP="00FE0148">
      <w:pPr>
        <w:pStyle w:val="Heading1"/>
        <w:numPr>
          <w:ilvl w:val="0"/>
          <w:numId w:val="0"/>
        </w:numPr>
        <w:ind w:left="567" w:hanging="567"/>
        <w:contextualSpacing/>
        <w:rPr>
          <w:rFonts w:ascii="Arial Narrow" w:hAnsi="Arial Narrow"/>
          <w:sz w:val="24"/>
          <w:szCs w:val="24"/>
        </w:rPr>
      </w:pPr>
      <w:r w:rsidRPr="00210B4F">
        <w:rPr>
          <w:rFonts w:ascii="Arial Narrow" w:hAnsi="Arial Narrow"/>
          <w:sz w:val="24"/>
          <w:szCs w:val="24"/>
        </w:rPr>
        <w:t>Introduction</w:t>
      </w:r>
    </w:p>
    <w:p w:rsidR="00B83410" w:rsidRPr="00210B4F" w:rsidRDefault="00B83410" w:rsidP="00B83410">
      <w:pPr>
        <w:rPr>
          <w:rFonts w:ascii="Arial Narrow" w:hAnsi="Arial Narrow"/>
          <w:b/>
        </w:rPr>
      </w:pPr>
      <w:r w:rsidRPr="00210B4F">
        <w:rPr>
          <w:rFonts w:ascii="Arial Narrow" w:hAnsi="Arial Narrow"/>
          <w:b/>
        </w:rPr>
        <w:t>Preserving consumer and merchant choice</w:t>
      </w:r>
    </w:p>
    <w:p w:rsidR="00B83410" w:rsidRPr="00210B4F" w:rsidRDefault="00B83410" w:rsidP="00B83410">
      <w:pPr>
        <w:rPr>
          <w:rFonts w:ascii="Arial Narrow" w:hAnsi="Arial Narrow"/>
        </w:rPr>
      </w:pPr>
    </w:p>
    <w:p w:rsidR="00267129" w:rsidRPr="00210B4F" w:rsidRDefault="00267129" w:rsidP="00267129">
      <w:pPr>
        <w:pStyle w:val="BodyText"/>
        <w:ind w:left="0"/>
        <w:contextualSpacing/>
        <w:rPr>
          <w:sz w:val="24"/>
          <w:szCs w:val="24"/>
          <w:lang w:val="en-AU"/>
        </w:rPr>
      </w:pPr>
      <w:r w:rsidRPr="00210B4F">
        <w:rPr>
          <w:sz w:val="24"/>
          <w:szCs w:val="24"/>
          <w:lang w:val="en-AU"/>
        </w:rPr>
        <w:t>The Australian Retailers Association (</w:t>
      </w:r>
      <w:r w:rsidRPr="00210B4F">
        <w:rPr>
          <w:b/>
          <w:sz w:val="24"/>
          <w:szCs w:val="24"/>
          <w:lang w:val="en-AU"/>
        </w:rPr>
        <w:t>ARA</w:t>
      </w:r>
      <w:r w:rsidRPr="00210B4F">
        <w:rPr>
          <w:sz w:val="24"/>
          <w:szCs w:val="24"/>
          <w:lang w:val="en-AU"/>
        </w:rPr>
        <w:t>) is the retail industry’s peak representative body representing Australia’s $310 billion sector, which employs more than 1.2 million people. The ARA works to ensure retail success by informing, protecting, advocating, educating and saving money for its 5,000 independent and national retail members, which represent in excess of 50,000 shop fronts throughout Australia. </w:t>
      </w:r>
    </w:p>
    <w:p w:rsidR="00267129" w:rsidRPr="00210B4F" w:rsidRDefault="00267129" w:rsidP="00622E5C">
      <w:pPr>
        <w:contextualSpacing/>
        <w:rPr>
          <w:rFonts w:ascii="Arial Narrow" w:hAnsi="Arial Narrow"/>
        </w:rPr>
      </w:pPr>
    </w:p>
    <w:p w:rsidR="00B83410" w:rsidRPr="00210B4F" w:rsidRDefault="00B83410" w:rsidP="00622E5C">
      <w:pPr>
        <w:contextualSpacing/>
        <w:rPr>
          <w:rFonts w:ascii="Arial Narrow" w:hAnsi="Arial Narrow"/>
        </w:rPr>
      </w:pPr>
      <w:r w:rsidRPr="00210B4F">
        <w:rPr>
          <w:rFonts w:ascii="Arial Narrow" w:hAnsi="Arial Narrow"/>
        </w:rPr>
        <w:t xml:space="preserve">Dual Network Cards enable consumer account selection and access to differentiated payment products such as cash out at Point of Sale, as well as routing choice for merchants. Maintaining consumer and merchant choice across all payment channels and environments is critical as we move to new form factors such as Mobile.  </w:t>
      </w:r>
    </w:p>
    <w:p w:rsidR="00267129" w:rsidRPr="00210B4F" w:rsidRDefault="00267129" w:rsidP="00267129">
      <w:pPr>
        <w:pStyle w:val="BodyText"/>
        <w:ind w:left="0"/>
        <w:contextualSpacing/>
        <w:rPr>
          <w:sz w:val="24"/>
          <w:szCs w:val="24"/>
          <w:lang w:val="en-AU"/>
        </w:rPr>
      </w:pPr>
    </w:p>
    <w:p w:rsidR="00267129" w:rsidRPr="00210B4F" w:rsidRDefault="00267129" w:rsidP="00267129">
      <w:pPr>
        <w:pStyle w:val="BodyText"/>
        <w:ind w:left="0"/>
        <w:contextualSpacing/>
        <w:rPr>
          <w:sz w:val="24"/>
          <w:szCs w:val="24"/>
          <w:lang w:val="en-AU"/>
        </w:rPr>
      </w:pPr>
      <w:r w:rsidRPr="00210B4F">
        <w:rPr>
          <w:sz w:val="24"/>
          <w:szCs w:val="24"/>
          <w:lang w:val="en-AU"/>
        </w:rPr>
        <w:t xml:space="preserve">The ARA runs the </w:t>
      </w:r>
      <w:r w:rsidRPr="00210B4F">
        <w:rPr>
          <w:b/>
          <w:sz w:val="24"/>
          <w:szCs w:val="24"/>
          <w:lang w:val="en-AU"/>
        </w:rPr>
        <w:t>Australian Merchant Payments Forum (AMPF</w:t>
      </w:r>
      <w:r w:rsidRPr="00210B4F">
        <w:rPr>
          <w:sz w:val="24"/>
          <w:szCs w:val="24"/>
          <w:lang w:val="en-AU"/>
        </w:rPr>
        <w:t>) on behalf of Australia’s retail merchants to advocate competitive, innovative and consumer friendly payment options for the retail sector.</w:t>
      </w:r>
    </w:p>
    <w:p w:rsidR="00267129" w:rsidRPr="00210B4F" w:rsidRDefault="00267129" w:rsidP="00B83410">
      <w:pPr>
        <w:rPr>
          <w:rFonts w:ascii="Arial Narrow" w:hAnsi="Arial Narrow"/>
        </w:rPr>
      </w:pPr>
    </w:p>
    <w:p w:rsidR="00B83410" w:rsidRPr="00210B4F" w:rsidRDefault="00B83410" w:rsidP="00267129">
      <w:pPr>
        <w:contextualSpacing/>
        <w:rPr>
          <w:rFonts w:ascii="Arial Narrow" w:hAnsi="Arial Narrow"/>
        </w:rPr>
      </w:pPr>
      <w:r w:rsidRPr="00210B4F">
        <w:rPr>
          <w:rFonts w:ascii="Arial Narrow" w:hAnsi="Arial Narrow"/>
        </w:rPr>
        <w:t>Contactless transactions on Dual Network Cards currently take this choice away from consumers and merchants because P</w:t>
      </w:r>
      <w:r w:rsidR="000032CE" w:rsidRPr="00210B4F">
        <w:rPr>
          <w:rFonts w:ascii="Arial Narrow" w:hAnsi="Arial Narrow"/>
        </w:rPr>
        <w:t>oint of Sale (POS)</w:t>
      </w:r>
      <w:r w:rsidRPr="00210B4F">
        <w:rPr>
          <w:rFonts w:ascii="Arial Narrow" w:hAnsi="Arial Narrow"/>
        </w:rPr>
        <w:t xml:space="preserve"> terminals only read the first contactless application on the chip, and automatically route the transaction according to this priority, which may be at a higher cost. This is effectively a technology lockout that removes choice for consumers and merchants and makes it more difficult to manage the costs associated with different payment products and networks.</w:t>
      </w:r>
    </w:p>
    <w:p w:rsidR="00B83410" w:rsidRPr="00210B4F" w:rsidRDefault="00B83410" w:rsidP="00B83410">
      <w:pPr>
        <w:rPr>
          <w:rFonts w:ascii="Arial Narrow" w:hAnsi="Arial Narrow"/>
        </w:rPr>
      </w:pPr>
    </w:p>
    <w:p w:rsidR="00B83410" w:rsidRPr="00210B4F" w:rsidRDefault="00B83410" w:rsidP="00267129">
      <w:pPr>
        <w:contextualSpacing/>
        <w:rPr>
          <w:rFonts w:ascii="Arial Narrow" w:hAnsi="Arial Narrow"/>
        </w:rPr>
      </w:pPr>
      <w:r w:rsidRPr="00210B4F">
        <w:rPr>
          <w:rFonts w:ascii="Arial Narrow" w:hAnsi="Arial Narrow"/>
        </w:rPr>
        <w:t>Lock</w:t>
      </w:r>
      <w:r w:rsidR="00F16B8E">
        <w:rPr>
          <w:rFonts w:ascii="Arial Narrow" w:hAnsi="Arial Narrow"/>
        </w:rPr>
        <w:t xml:space="preserve">out is also a risk for Mobile. </w:t>
      </w:r>
      <w:r w:rsidRPr="00210B4F">
        <w:rPr>
          <w:rFonts w:ascii="Arial Narrow" w:hAnsi="Arial Narrow"/>
        </w:rPr>
        <w:t xml:space="preserve">Mobile payments will significantly impact the ability of merchants to choose the payment network that best suits their needs. In a mobile world, only one scheme application will be observable to the consumer or merchant/acquirer for any given transaction, eliminating any existing network choice that they may have. </w:t>
      </w:r>
    </w:p>
    <w:p w:rsidR="00B83410" w:rsidRPr="00210B4F" w:rsidRDefault="00B83410" w:rsidP="00B83410">
      <w:pPr>
        <w:rPr>
          <w:rFonts w:ascii="Arial Narrow" w:hAnsi="Arial Narrow"/>
        </w:rPr>
      </w:pPr>
    </w:p>
    <w:p w:rsidR="00B83410" w:rsidRPr="00210B4F" w:rsidRDefault="00B83410" w:rsidP="00267129">
      <w:pPr>
        <w:contextualSpacing/>
        <w:rPr>
          <w:rFonts w:ascii="Arial Narrow" w:hAnsi="Arial Narrow"/>
        </w:rPr>
      </w:pPr>
      <w:r w:rsidRPr="00210B4F">
        <w:rPr>
          <w:rFonts w:ascii="Arial Narrow" w:hAnsi="Arial Narrow"/>
        </w:rPr>
        <w:t>Without open competition in consumer payments and a viable domestic payment network freely able to compete on a level playing field with its contactless and mobile products, interchange rates, merchant fees and consumer costs may rise.</w:t>
      </w:r>
    </w:p>
    <w:p w:rsidR="00B83410" w:rsidRPr="00210B4F" w:rsidRDefault="00B83410" w:rsidP="00B83410">
      <w:pPr>
        <w:ind w:left="360"/>
        <w:rPr>
          <w:rFonts w:ascii="Arial Narrow" w:hAnsi="Arial Narrow"/>
        </w:rPr>
      </w:pPr>
    </w:p>
    <w:p w:rsidR="00B83410" w:rsidRPr="00210B4F" w:rsidRDefault="00B83410" w:rsidP="00267129">
      <w:pPr>
        <w:contextualSpacing/>
        <w:rPr>
          <w:rFonts w:ascii="Arial Narrow" w:hAnsi="Arial Narrow"/>
        </w:rPr>
      </w:pPr>
      <w:r w:rsidRPr="00210B4F">
        <w:rPr>
          <w:rFonts w:ascii="Arial Narrow" w:hAnsi="Arial Narrow"/>
        </w:rPr>
        <w:t xml:space="preserve">In addition to contactless, current examples where technology lockout may occur include tokenisation (Mobile, In-App, Online), closed loop payments (Transit) and Primary Account Reference (PAR) values.  </w:t>
      </w:r>
    </w:p>
    <w:p w:rsidR="00B83410" w:rsidRPr="00210B4F" w:rsidRDefault="00B83410" w:rsidP="00B83410">
      <w:pPr>
        <w:pStyle w:val="ListParagraph"/>
        <w:rPr>
          <w:rFonts w:ascii="Arial Narrow" w:hAnsi="Arial Narrow"/>
          <w:sz w:val="24"/>
          <w:szCs w:val="24"/>
          <w:lang w:val="en-AU"/>
        </w:rPr>
      </w:pPr>
    </w:p>
    <w:p w:rsidR="00B83410" w:rsidRPr="00210B4F" w:rsidRDefault="000032CE" w:rsidP="00267129">
      <w:pPr>
        <w:contextualSpacing/>
        <w:rPr>
          <w:rFonts w:ascii="Arial Narrow" w:hAnsi="Arial Narrow"/>
        </w:rPr>
      </w:pPr>
      <w:r w:rsidRPr="00210B4F">
        <w:rPr>
          <w:rFonts w:ascii="Arial Narrow" w:hAnsi="Arial Narrow"/>
        </w:rPr>
        <w:t>C</w:t>
      </w:r>
      <w:r w:rsidR="00B83410" w:rsidRPr="00210B4F">
        <w:rPr>
          <w:rFonts w:ascii="Arial Narrow" w:hAnsi="Arial Narrow"/>
        </w:rPr>
        <w:t>onsumer research also indicates that consumers expect to see eftpos as an avail</w:t>
      </w:r>
      <w:r w:rsidRPr="00210B4F">
        <w:rPr>
          <w:rFonts w:ascii="Arial Narrow" w:hAnsi="Arial Narrow"/>
        </w:rPr>
        <w:t>able choice in mobile payments which does not currently occur.</w:t>
      </w:r>
    </w:p>
    <w:p w:rsidR="00B83410" w:rsidRPr="00305961" w:rsidRDefault="00B83410" w:rsidP="00B83410">
      <w:pPr>
        <w:rPr>
          <w:rFonts w:ascii="Arial Narrow" w:hAnsi="Arial Narrow"/>
          <w:b/>
        </w:rPr>
      </w:pPr>
    </w:p>
    <w:p w:rsidR="00305961" w:rsidRDefault="00305961" w:rsidP="00B83410">
      <w:pPr>
        <w:rPr>
          <w:rFonts w:ascii="Arial Narrow" w:hAnsi="Arial Narrow"/>
        </w:rPr>
      </w:pPr>
      <w:r>
        <w:rPr>
          <w:rFonts w:ascii="Arial Narrow" w:hAnsi="Arial Narrow"/>
        </w:rPr>
        <w:t xml:space="preserve">The ARA is aware </w:t>
      </w:r>
      <w:r w:rsidRPr="00305961">
        <w:rPr>
          <w:rFonts w:ascii="Arial Narrow" w:hAnsi="Arial Narrow"/>
        </w:rPr>
        <w:t xml:space="preserve">since the rollout of the contact solution there is no ability for a consumer at the point of sale to determine how </w:t>
      </w:r>
      <w:r>
        <w:rPr>
          <w:rFonts w:ascii="Arial Narrow" w:hAnsi="Arial Narrow"/>
        </w:rPr>
        <w:t>that transaction will be routed.</w:t>
      </w:r>
    </w:p>
    <w:p w:rsidR="00305961" w:rsidRDefault="00305961" w:rsidP="00B83410">
      <w:pPr>
        <w:rPr>
          <w:rFonts w:ascii="Arial Narrow" w:hAnsi="Arial Narrow"/>
        </w:rPr>
      </w:pPr>
    </w:p>
    <w:p w:rsidR="00305961" w:rsidRDefault="00305961" w:rsidP="00B83410">
      <w:pPr>
        <w:rPr>
          <w:rFonts w:ascii="Arial Narrow" w:hAnsi="Arial Narrow"/>
        </w:rPr>
      </w:pPr>
      <w:r>
        <w:rPr>
          <w:rFonts w:ascii="Arial Narrow" w:hAnsi="Arial Narrow"/>
        </w:rPr>
        <w:t>C</w:t>
      </w:r>
      <w:r w:rsidRPr="00305961">
        <w:rPr>
          <w:rFonts w:ascii="Arial Narrow" w:hAnsi="Arial Narrow"/>
        </w:rPr>
        <w:t xml:space="preserve">urrently if a duel network card is presented and used as a contactless transaction the system will route via the scheme rails, and does not allow the customer the choice </w:t>
      </w:r>
      <w:r>
        <w:rPr>
          <w:rFonts w:ascii="Arial Narrow" w:hAnsi="Arial Narrow"/>
        </w:rPr>
        <w:t xml:space="preserve">of routing of the transaction. </w:t>
      </w:r>
    </w:p>
    <w:p w:rsidR="00305961" w:rsidRDefault="00305961" w:rsidP="00B83410">
      <w:pPr>
        <w:rPr>
          <w:rFonts w:ascii="Arial Narrow" w:hAnsi="Arial Narrow"/>
        </w:rPr>
      </w:pPr>
    </w:p>
    <w:p w:rsidR="000032CE" w:rsidRPr="00305961" w:rsidRDefault="00305961" w:rsidP="00B83410">
      <w:pPr>
        <w:rPr>
          <w:rFonts w:ascii="Arial Narrow" w:eastAsiaTheme="minorHAnsi" w:hAnsi="Arial Narrow"/>
          <w:lang w:eastAsia="en-US"/>
        </w:rPr>
      </w:pPr>
      <w:r>
        <w:rPr>
          <w:rFonts w:ascii="Arial Narrow" w:hAnsi="Arial Narrow"/>
        </w:rPr>
        <w:t>An</w:t>
      </w:r>
      <w:r w:rsidRPr="00305961">
        <w:rPr>
          <w:rFonts w:ascii="Arial Narrow" w:hAnsi="Arial Narrow"/>
        </w:rPr>
        <w:t xml:space="preserve"> ARA </w:t>
      </w:r>
      <w:r>
        <w:rPr>
          <w:rFonts w:ascii="Arial Narrow" w:hAnsi="Arial Narrow"/>
        </w:rPr>
        <w:t xml:space="preserve">member </w:t>
      </w:r>
      <w:r w:rsidRPr="00305961">
        <w:rPr>
          <w:rFonts w:ascii="Arial Narrow" w:hAnsi="Arial Narrow"/>
        </w:rPr>
        <w:t>has forwarded to</w:t>
      </w:r>
      <w:r>
        <w:rPr>
          <w:rFonts w:ascii="Arial Narrow" w:hAnsi="Arial Narrow"/>
        </w:rPr>
        <w:t xml:space="preserve"> the RBA</w:t>
      </w:r>
      <w:r w:rsidRPr="00305961">
        <w:rPr>
          <w:rFonts w:ascii="Arial Narrow" w:hAnsi="Arial Narrow"/>
        </w:rPr>
        <w:t xml:space="preserve"> information showing that the extra costs i</w:t>
      </w:r>
      <w:r>
        <w:rPr>
          <w:rFonts w:ascii="Arial Narrow" w:hAnsi="Arial Narrow"/>
        </w:rPr>
        <w:t>nvolved was in excess of a $400,000 increase</w:t>
      </w:r>
      <w:r w:rsidRPr="00305961">
        <w:rPr>
          <w:rFonts w:ascii="Arial Narrow" w:hAnsi="Arial Narrow"/>
        </w:rPr>
        <w:t xml:space="preserve"> </w:t>
      </w:r>
      <w:r>
        <w:rPr>
          <w:rFonts w:ascii="Arial Narrow" w:hAnsi="Arial Narrow"/>
        </w:rPr>
        <w:t xml:space="preserve">in </w:t>
      </w:r>
      <w:r w:rsidRPr="00305961">
        <w:rPr>
          <w:rFonts w:ascii="Arial Narrow" w:hAnsi="Arial Narrow"/>
        </w:rPr>
        <w:t>charges</w:t>
      </w:r>
      <w:r>
        <w:rPr>
          <w:rFonts w:ascii="Arial Narrow" w:hAnsi="Arial Narrow"/>
        </w:rPr>
        <w:t xml:space="preserve"> compared to pre-contactless introduction</w:t>
      </w:r>
      <w:r w:rsidRPr="00305961">
        <w:rPr>
          <w:rFonts w:ascii="Arial Narrow" w:hAnsi="Arial Narrow"/>
        </w:rPr>
        <w:t xml:space="preserve">. </w:t>
      </w:r>
      <w:r>
        <w:rPr>
          <w:rFonts w:ascii="Arial Narrow" w:hAnsi="Arial Narrow"/>
        </w:rPr>
        <w:t>The ARA and our members are concerned that as we</w:t>
      </w:r>
      <w:r w:rsidRPr="00305961">
        <w:rPr>
          <w:rFonts w:ascii="Arial Narrow" w:hAnsi="Arial Narrow"/>
        </w:rPr>
        <w:t xml:space="preserve"> move toward Third Party Mobile Wallets the choice of</w:t>
      </w:r>
      <w:r>
        <w:rPr>
          <w:rFonts w:ascii="Arial Narrow" w:hAnsi="Arial Narrow"/>
        </w:rPr>
        <w:t xml:space="preserve"> routing will be taken away increasing cost to merchants. The example we refer to </w:t>
      </w:r>
      <w:r w:rsidRPr="00305961">
        <w:rPr>
          <w:rFonts w:ascii="Arial Narrow" w:hAnsi="Arial Narrow"/>
        </w:rPr>
        <w:t xml:space="preserve">is by no means the largest merchant that the ARA has spoken to regarding the increase in cost, </w:t>
      </w:r>
      <w:r>
        <w:rPr>
          <w:rFonts w:ascii="Arial Narrow" w:hAnsi="Arial Narrow"/>
        </w:rPr>
        <w:t xml:space="preserve">the </w:t>
      </w:r>
      <w:r w:rsidRPr="00305961">
        <w:rPr>
          <w:rFonts w:ascii="Arial Narrow" w:hAnsi="Arial Narrow"/>
        </w:rPr>
        <w:t xml:space="preserve">ARA is of the view that these cost will be even more substantial to other merchant members. </w:t>
      </w:r>
    </w:p>
    <w:p w:rsidR="00305961" w:rsidRPr="00210B4F" w:rsidRDefault="00305961" w:rsidP="00B83410">
      <w:pPr>
        <w:rPr>
          <w:rFonts w:ascii="Arial Narrow" w:hAnsi="Arial Narrow"/>
          <w:b/>
        </w:rPr>
      </w:pPr>
    </w:p>
    <w:p w:rsidR="00B83410" w:rsidRPr="00210B4F" w:rsidRDefault="00B83410" w:rsidP="00B83410">
      <w:pPr>
        <w:rPr>
          <w:rFonts w:ascii="Arial Narrow" w:hAnsi="Arial Narrow"/>
          <w:b/>
        </w:rPr>
      </w:pPr>
      <w:r w:rsidRPr="00210B4F">
        <w:rPr>
          <w:rFonts w:ascii="Arial Narrow" w:hAnsi="Arial Narrow"/>
          <w:b/>
        </w:rPr>
        <w:t>How can choice be maintained on mobile?</w:t>
      </w:r>
    </w:p>
    <w:p w:rsidR="00B83410" w:rsidRPr="00210B4F" w:rsidRDefault="00B83410" w:rsidP="00B83410">
      <w:pPr>
        <w:rPr>
          <w:rFonts w:ascii="Arial Narrow" w:hAnsi="Arial Narrow"/>
          <w:b/>
        </w:rPr>
      </w:pPr>
    </w:p>
    <w:p w:rsidR="00B83410" w:rsidRPr="00210B4F" w:rsidRDefault="000032CE" w:rsidP="00267129">
      <w:pPr>
        <w:contextualSpacing/>
        <w:rPr>
          <w:rFonts w:ascii="Arial Narrow" w:hAnsi="Arial Narrow"/>
        </w:rPr>
      </w:pPr>
      <w:r w:rsidRPr="00210B4F">
        <w:rPr>
          <w:rFonts w:ascii="Arial Narrow" w:hAnsi="Arial Narrow"/>
        </w:rPr>
        <w:t>The ARA</w:t>
      </w:r>
      <w:r w:rsidR="00B83410" w:rsidRPr="00210B4F">
        <w:rPr>
          <w:rFonts w:ascii="Arial Narrow" w:hAnsi="Arial Narrow"/>
        </w:rPr>
        <w:t xml:space="preserve"> believes that unless Dual Network Card provisioning is made simple to understand, unbiased and easy for the consumer to execute, the only networks represented within consumer wallets will be the more expensive networks.</w:t>
      </w:r>
    </w:p>
    <w:p w:rsidR="00B83410" w:rsidRPr="00210B4F" w:rsidRDefault="00B83410" w:rsidP="00B83410">
      <w:pPr>
        <w:pStyle w:val="ListParagraph"/>
        <w:rPr>
          <w:rFonts w:ascii="Arial Narrow" w:hAnsi="Arial Narrow"/>
          <w:sz w:val="24"/>
          <w:szCs w:val="24"/>
          <w:lang w:val="en-AU"/>
        </w:rPr>
      </w:pPr>
    </w:p>
    <w:p w:rsidR="00B83410" w:rsidRPr="00210B4F" w:rsidRDefault="000032CE" w:rsidP="00267129">
      <w:pPr>
        <w:contextualSpacing/>
        <w:rPr>
          <w:rFonts w:ascii="Arial Narrow" w:hAnsi="Arial Narrow"/>
        </w:rPr>
      </w:pPr>
      <w:r w:rsidRPr="00210B4F">
        <w:rPr>
          <w:rFonts w:ascii="Arial Narrow" w:hAnsi="Arial Narrow"/>
        </w:rPr>
        <w:t>Our</w:t>
      </w:r>
      <w:r w:rsidR="00B83410" w:rsidRPr="00210B4F">
        <w:rPr>
          <w:rFonts w:ascii="Arial Narrow" w:hAnsi="Arial Narrow"/>
        </w:rPr>
        <w:t xml:space="preserve"> preference is for the provisioning of eftpos tokens to occur at the same time as the provisioning of any other payment network token.  In addition, either separate card art bearing the eftpos brand should be displayed within the mobile wallet, or card art with equivalence of eftpos branding alongside other payment network branding.</w:t>
      </w:r>
    </w:p>
    <w:p w:rsidR="00B83410" w:rsidRPr="00210B4F" w:rsidRDefault="00B83410" w:rsidP="00B83410">
      <w:pPr>
        <w:rPr>
          <w:rFonts w:ascii="Arial Narrow" w:hAnsi="Arial Narrow"/>
        </w:rPr>
      </w:pPr>
    </w:p>
    <w:p w:rsidR="00B83410" w:rsidRPr="00210B4F" w:rsidRDefault="00B83410" w:rsidP="00B83410">
      <w:pPr>
        <w:rPr>
          <w:rFonts w:ascii="Arial Narrow" w:hAnsi="Arial Narrow"/>
          <w:b/>
        </w:rPr>
      </w:pPr>
      <w:r w:rsidRPr="00210B4F">
        <w:rPr>
          <w:rFonts w:ascii="Arial Narrow" w:hAnsi="Arial Narrow"/>
          <w:b/>
        </w:rPr>
        <w:t>International experience</w:t>
      </w:r>
    </w:p>
    <w:p w:rsidR="00B83410" w:rsidRPr="00210B4F" w:rsidRDefault="00B83410" w:rsidP="00B83410">
      <w:pPr>
        <w:rPr>
          <w:rFonts w:ascii="Arial Narrow" w:hAnsi="Arial Narrow"/>
        </w:rPr>
      </w:pPr>
    </w:p>
    <w:p w:rsidR="00B83410" w:rsidRPr="00210B4F" w:rsidRDefault="00B83410" w:rsidP="00267129">
      <w:pPr>
        <w:contextualSpacing/>
        <w:rPr>
          <w:rFonts w:ascii="Arial Narrow" w:hAnsi="Arial Narrow"/>
        </w:rPr>
      </w:pPr>
      <w:r w:rsidRPr="00210B4F">
        <w:rPr>
          <w:rFonts w:ascii="Arial Narrow" w:hAnsi="Arial Narrow"/>
        </w:rPr>
        <w:t xml:space="preserve">Creating rules or regulation promote choice and avoid technology lock out is not unprecedented and already exists in Canada, Denmark, the European Union and France.  An additional relevant jurisdiction is Malaysia, where the regulator is actively ensuring choice of the lowest cost debit network.  Also, regulators in the USA have recently taken action against technology lockout activity that confuses consumers at the point of sale. </w:t>
      </w:r>
    </w:p>
    <w:p w:rsidR="00B83410" w:rsidRPr="00210B4F" w:rsidRDefault="00B83410" w:rsidP="00B83410">
      <w:pPr>
        <w:pStyle w:val="ListParagraph"/>
        <w:rPr>
          <w:rFonts w:ascii="Arial Narrow" w:hAnsi="Arial Narrow"/>
          <w:sz w:val="24"/>
          <w:szCs w:val="24"/>
          <w:lang w:val="en-AU"/>
        </w:rPr>
      </w:pPr>
    </w:p>
    <w:p w:rsidR="00B83410" w:rsidRPr="00210B4F" w:rsidRDefault="00B83410" w:rsidP="00B83410">
      <w:pPr>
        <w:rPr>
          <w:rFonts w:ascii="Arial Narrow" w:hAnsi="Arial Narrow"/>
        </w:rPr>
      </w:pPr>
    </w:p>
    <w:p w:rsidR="00F16B8E" w:rsidRDefault="00F16B8E">
      <w:pPr>
        <w:spacing w:after="160" w:line="259" w:lineRule="auto"/>
        <w:rPr>
          <w:rFonts w:ascii="Arial Narrow" w:hAnsi="Arial Narrow"/>
          <w:b/>
        </w:rPr>
      </w:pPr>
      <w:r>
        <w:rPr>
          <w:rFonts w:ascii="Arial Narrow" w:hAnsi="Arial Narrow"/>
          <w:b/>
        </w:rPr>
        <w:br w:type="page"/>
      </w:r>
    </w:p>
    <w:p w:rsidR="00B83410" w:rsidRPr="00210B4F" w:rsidRDefault="00B83410" w:rsidP="00B83410">
      <w:pPr>
        <w:rPr>
          <w:rFonts w:ascii="Arial Narrow" w:hAnsi="Arial Narrow"/>
          <w:b/>
        </w:rPr>
      </w:pPr>
      <w:r w:rsidRPr="00210B4F">
        <w:rPr>
          <w:rFonts w:ascii="Arial Narrow" w:hAnsi="Arial Narrow"/>
          <w:b/>
        </w:rPr>
        <w:t>Contractual constraints and undertakings</w:t>
      </w:r>
    </w:p>
    <w:p w:rsidR="00B83410" w:rsidRPr="00210B4F" w:rsidRDefault="00B83410" w:rsidP="00B83410">
      <w:pPr>
        <w:rPr>
          <w:rFonts w:ascii="Arial Narrow" w:hAnsi="Arial Narrow"/>
        </w:rPr>
      </w:pPr>
    </w:p>
    <w:p w:rsidR="00B83410" w:rsidRPr="00210B4F" w:rsidRDefault="00B83410" w:rsidP="00267129">
      <w:pPr>
        <w:contextualSpacing/>
        <w:rPr>
          <w:rFonts w:ascii="Arial Narrow" w:hAnsi="Arial Narrow"/>
        </w:rPr>
      </w:pPr>
      <w:r w:rsidRPr="00210B4F">
        <w:rPr>
          <w:rFonts w:ascii="Arial Narrow" w:hAnsi="Arial Narrow"/>
        </w:rPr>
        <w:t xml:space="preserve">One international payment system has a rule that prohibits Issuers from generating a token from a competitive payment network on cards having a BIN allocated by that international payment system, and, we understand, contractual restraints that either prohibit or impose additional costs to Issuers if they elect to tokenise a competing payment network on those cards.  These provisions apply even if another payment system is currently available on physical cards currently issued under those BINs in a market.  </w:t>
      </w:r>
    </w:p>
    <w:p w:rsidR="00B83410" w:rsidRPr="00210B4F" w:rsidRDefault="00B83410" w:rsidP="00B83410">
      <w:pPr>
        <w:rPr>
          <w:rFonts w:ascii="Arial Narrow" w:hAnsi="Arial Narrow"/>
        </w:rPr>
      </w:pPr>
    </w:p>
    <w:p w:rsidR="00B83410" w:rsidRPr="00210B4F" w:rsidRDefault="00B83410" w:rsidP="00267129">
      <w:pPr>
        <w:contextualSpacing/>
        <w:rPr>
          <w:rFonts w:ascii="Arial Narrow" w:hAnsi="Arial Narrow"/>
        </w:rPr>
      </w:pPr>
      <w:r w:rsidRPr="00210B4F">
        <w:rPr>
          <w:rFonts w:ascii="Arial Narrow" w:hAnsi="Arial Narrow"/>
        </w:rPr>
        <w:t xml:space="preserve">These payment network rules and contract obligations prevent or delay Issuer implementation of competing payment networks within Mobile Wallet and deliberately remove the existing choice available to consumers today, as well as add significant costs of the provisioning of payment services to consumers and merchants.  </w:t>
      </w:r>
    </w:p>
    <w:p w:rsidR="00B83410" w:rsidRPr="00210B4F" w:rsidRDefault="00B83410" w:rsidP="00B83410">
      <w:pPr>
        <w:rPr>
          <w:rFonts w:ascii="Arial Narrow" w:hAnsi="Arial Narrow"/>
        </w:rPr>
      </w:pPr>
    </w:p>
    <w:p w:rsidR="00B83410" w:rsidRPr="00210B4F" w:rsidRDefault="00B83410" w:rsidP="00267129">
      <w:pPr>
        <w:contextualSpacing/>
        <w:rPr>
          <w:rFonts w:ascii="Arial Narrow" w:hAnsi="Arial Narrow"/>
        </w:rPr>
      </w:pPr>
      <w:r w:rsidRPr="00210B4F">
        <w:rPr>
          <w:rFonts w:ascii="Arial Narrow" w:hAnsi="Arial Narrow"/>
        </w:rPr>
        <w:t xml:space="preserve">Visa and MasterCard have also announced a co-operation agreement to allow each other’s tokens to be provisioned and shared for online, in-app and in-store payments.  This recent agreement indicates that there is little commercial justification for a prohibition on tokens from competing domestic networks.  </w:t>
      </w:r>
    </w:p>
    <w:p w:rsidR="00B83410" w:rsidRPr="00210B4F" w:rsidRDefault="00B83410" w:rsidP="00B83410">
      <w:pPr>
        <w:pStyle w:val="ListParagraph"/>
        <w:rPr>
          <w:rFonts w:ascii="Arial Narrow" w:hAnsi="Arial Narrow"/>
          <w:sz w:val="24"/>
          <w:szCs w:val="24"/>
          <w:lang w:val="en-AU"/>
        </w:rPr>
      </w:pPr>
    </w:p>
    <w:p w:rsidR="00B83410" w:rsidRPr="00210B4F" w:rsidRDefault="000032CE" w:rsidP="00267129">
      <w:pPr>
        <w:contextualSpacing/>
        <w:rPr>
          <w:rFonts w:ascii="Arial Narrow" w:hAnsi="Arial Narrow"/>
        </w:rPr>
      </w:pPr>
      <w:r w:rsidRPr="00210B4F">
        <w:rPr>
          <w:rFonts w:ascii="Arial Narrow" w:hAnsi="Arial Narrow"/>
        </w:rPr>
        <w:t>The ARA</w:t>
      </w:r>
      <w:r w:rsidR="00B83410" w:rsidRPr="00210B4F">
        <w:rPr>
          <w:rFonts w:ascii="Arial Narrow" w:hAnsi="Arial Narrow"/>
        </w:rPr>
        <w:t xml:space="preserve"> does not believe the current undertakings are effective, as they are not public documents and the entities providing these undertakings are not publicly accountable for compliance.  Having no regulation or ineffective undertakings will have a far greater impact on the long term competitive environment for retail payments in Australia.</w:t>
      </w:r>
    </w:p>
    <w:p w:rsidR="00B83410" w:rsidRPr="00210B4F" w:rsidRDefault="00B83410" w:rsidP="00B83410">
      <w:pPr>
        <w:pStyle w:val="ListParagraph"/>
        <w:rPr>
          <w:rFonts w:ascii="Arial Narrow" w:hAnsi="Arial Narrow"/>
          <w:sz w:val="24"/>
          <w:szCs w:val="24"/>
          <w:lang w:val="en-AU"/>
        </w:rPr>
      </w:pPr>
    </w:p>
    <w:p w:rsidR="00B83410" w:rsidRPr="00210B4F" w:rsidRDefault="00B83410" w:rsidP="00267129">
      <w:pPr>
        <w:contextualSpacing/>
        <w:rPr>
          <w:rFonts w:ascii="Arial Narrow" w:hAnsi="Arial Narrow"/>
        </w:rPr>
      </w:pPr>
      <w:r w:rsidRPr="00210B4F">
        <w:rPr>
          <w:rFonts w:ascii="Arial Narrow" w:hAnsi="Arial Narrow"/>
        </w:rPr>
        <w:t>Any extension to the current undertakings before regulations come into effect should cover the following:</w:t>
      </w:r>
    </w:p>
    <w:p w:rsidR="00267129" w:rsidRPr="00210B4F" w:rsidRDefault="00267129" w:rsidP="00267129">
      <w:pPr>
        <w:contextualSpacing/>
        <w:rPr>
          <w:rFonts w:ascii="Arial Narrow" w:hAnsi="Arial Narrow"/>
        </w:rPr>
      </w:pPr>
    </w:p>
    <w:p w:rsidR="00B83410" w:rsidRPr="00210B4F" w:rsidRDefault="00B83410" w:rsidP="00B83410">
      <w:pPr>
        <w:pStyle w:val="ListParagraph"/>
        <w:numPr>
          <w:ilvl w:val="0"/>
          <w:numId w:val="13"/>
        </w:numPr>
        <w:contextualSpacing/>
        <w:rPr>
          <w:rFonts w:ascii="Arial Narrow" w:hAnsi="Arial Narrow"/>
          <w:sz w:val="24"/>
          <w:szCs w:val="24"/>
          <w:lang w:val="en-AU"/>
        </w:rPr>
      </w:pPr>
      <w:r w:rsidRPr="00210B4F">
        <w:rPr>
          <w:rFonts w:ascii="Arial Narrow" w:hAnsi="Arial Narrow"/>
          <w:sz w:val="24"/>
          <w:szCs w:val="24"/>
          <w:lang w:val="en-AU"/>
        </w:rPr>
        <w:t>no prohibition/restriction/fettering of issuers provisioning all payment networks available on a card within a mobile wallet,</w:t>
      </w:r>
    </w:p>
    <w:p w:rsidR="00B83410" w:rsidRPr="00210B4F" w:rsidRDefault="00B83410" w:rsidP="00B83410">
      <w:pPr>
        <w:pStyle w:val="ListParagraph"/>
        <w:numPr>
          <w:ilvl w:val="0"/>
          <w:numId w:val="13"/>
        </w:numPr>
        <w:contextualSpacing/>
        <w:rPr>
          <w:rFonts w:ascii="Arial Narrow" w:hAnsi="Arial Narrow"/>
          <w:sz w:val="24"/>
          <w:szCs w:val="24"/>
          <w:lang w:val="en-AU"/>
        </w:rPr>
      </w:pPr>
      <w:r w:rsidRPr="00210B4F">
        <w:rPr>
          <w:rFonts w:ascii="Arial Narrow" w:hAnsi="Arial Narrow"/>
          <w:sz w:val="24"/>
          <w:szCs w:val="24"/>
          <w:lang w:val="en-AU"/>
        </w:rPr>
        <w:t>co-residency of available payment functionality on cards in mobile wallets and devices,</w:t>
      </w:r>
    </w:p>
    <w:p w:rsidR="00B83410" w:rsidRPr="00210B4F" w:rsidRDefault="00B83410" w:rsidP="00B83410">
      <w:pPr>
        <w:pStyle w:val="ListParagraph"/>
        <w:numPr>
          <w:ilvl w:val="0"/>
          <w:numId w:val="13"/>
        </w:numPr>
        <w:contextualSpacing/>
        <w:rPr>
          <w:rFonts w:ascii="Arial Narrow" w:hAnsi="Arial Narrow"/>
          <w:sz w:val="24"/>
          <w:szCs w:val="24"/>
          <w:lang w:val="en-AU"/>
        </w:rPr>
      </w:pPr>
      <w:r w:rsidRPr="00210B4F">
        <w:rPr>
          <w:rFonts w:ascii="Arial Narrow" w:hAnsi="Arial Narrow"/>
          <w:sz w:val="24"/>
          <w:szCs w:val="24"/>
          <w:lang w:val="en-AU"/>
        </w:rPr>
        <w:t>parity of representation of card images for all available networks (including brand) in mobile wallets, and</w:t>
      </w:r>
    </w:p>
    <w:p w:rsidR="00B83410" w:rsidRPr="00210B4F" w:rsidRDefault="00B83410" w:rsidP="00B83410">
      <w:pPr>
        <w:pStyle w:val="ListParagraph"/>
        <w:numPr>
          <w:ilvl w:val="0"/>
          <w:numId w:val="13"/>
        </w:numPr>
        <w:contextualSpacing/>
        <w:rPr>
          <w:rFonts w:ascii="Arial Narrow" w:hAnsi="Arial Narrow"/>
          <w:sz w:val="24"/>
          <w:szCs w:val="24"/>
          <w:lang w:val="en-AU"/>
        </w:rPr>
      </w:pPr>
      <w:r w:rsidRPr="00210B4F">
        <w:rPr>
          <w:rFonts w:ascii="Arial Narrow" w:hAnsi="Arial Narrow"/>
          <w:sz w:val="24"/>
          <w:szCs w:val="24"/>
          <w:lang w:val="en-AU"/>
        </w:rPr>
        <w:t>consumer control of default settings and choice of payment network within the mobile wallet.</w:t>
      </w:r>
    </w:p>
    <w:p w:rsidR="00B83410" w:rsidRPr="00210B4F" w:rsidRDefault="00B83410" w:rsidP="00B83410">
      <w:pPr>
        <w:rPr>
          <w:rFonts w:ascii="Arial Narrow" w:hAnsi="Arial Narrow"/>
        </w:rPr>
      </w:pPr>
    </w:p>
    <w:p w:rsidR="00B83410" w:rsidRPr="00210B4F" w:rsidRDefault="000032CE" w:rsidP="00267129">
      <w:pPr>
        <w:contextualSpacing/>
        <w:rPr>
          <w:rFonts w:ascii="Arial Narrow" w:hAnsi="Arial Narrow"/>
        </w:rPr>
      </w:pPr>
      <w:r w:rsidRPr="00210B4F">
        <w:rPr>
          <w:rFonts w:ascii="Arial Narrow" w:hAnsi="Arial Narrow"/>
        </w:rPr>
        <w:t>The ARA</w:t>
      </w:r>
      <w:r w:rsidR="00B83410" w:rsidRPr="00210B4F">
        <w:rPr>
          <w:rFonts w:ascii="Arial Narrow" w:hAnsi="Arial Narrow"/>
        </w:rPr>
        <w:t xml:space="preserve"> does not consider that the compliance costs would exponentially increase from compliance with the undertakings if standards were introduced. </w:t>
      </w:r>
      <w:r w:rsidR="00F16B8E">
        <w:rPr>
          <w:rFonts w:ascii="Arial Narrow" w:hAnsi="Arial Narrow"/>
        </w:rPr>
        <w:br/>
      </w:r>
    </w:p>
    <w:p w:rsidR="00FE0148" w:rsidRPr="00305961" w:rsidRDefault="00F16B8E" w:rsidP="00FE0148">
      <w:pPr>
        <w:pStyle w:val="ListBullet"/>
        <w:numPr>
          <w:ilvl w:val="0"/>
          <w:numId w:val="0"/>
        </w:numPr>
        <w:contextualSpacing/>
        <w:mirrorIndents/>
        <w:rPr>
          <w:rFonts w:ascii="Arial Narrow" w:hAnsi="Arial Narrow"/>
          <w:sz w:val="24"/>
          <w:szCs w:val="24"/>
        </w:rPr>
      </w:pPr>
      <w:r w:rsidRPr="00210B4F">
        <w:rPr>
          <w:rFonts w:ascii="Arial Narrow" w:hAnsi="Arial Narrow" w:cs="Arial"/>
          <w:sz w:val="24"/>
          <w:szCs w:val="24"/>
        </w:rPr>
        <w:t>Kind regards,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5477"/>
      </w:tblGrid>
      <w:tr w:rsidR="00F16B8E" w:rsidTr="00F16B8E">
        <w:trPr>
          <w:trHeight w:val="991"/>
        </w:trPr>
        <w:tc>
          <w:tcPr>
            <w:tcW w:w="3539" w:type="dxa"/>
          </w:tcPr>
          <w:p w:rsidR="00F16B8E" w:rsidRDefault="00F16B8E" w:rsidP="00FE0148">
            <w:pPr>
              <w:pStyle w:val="ListBullet"/>
              <w:numPr>
                <w:ilvl w:val="0"/>
                <w:numId w:val="0"/>
              </w:numPr>
              <w:contextualSpacing/>
              <w:mirrorIndents/>
              <w:rPr>
                <w:rFonts w:ascii="Arial Narrow" w:hAnsi="Arial Narrow"/>
                <w:sz w:val="24"/>
                <w:szCs w:val="24"/>
              </w:rPr>
            </w:pPr>
            <w:r w:rsidRPr="00210B4F">
              <w:rPr>
                <w:rFonts w:ascii="Arial Narrow" w:eastAsia="Arial Narrow" w:hAnsi="Arial Narrow" w:cs="Arial"/>
                <w:noProof/>
              </w:rPr>
              <w:drawing>
                <wp:anchor distT="0" distB="0" distL="114300" distR="114300" simplePos="0" relativeHeight="251659264" behindDoc="1" locked="0" layoutInCell="1" allowOverlap="1">
                  <wp:simplePos x="0" y="0"/>
                  <wp:positionH relativeFrom="column">
                    <wp:posOffset>-1905</wp:posOffset>
                  </wp:positionH>
                  <wp:positionV relativeFrom="paragraph">
                    <wp:posOffset>28575</wp:posOffset>
                  </wp:positionV>
                  <wp:extent cx="1165255" cy="641267"/>
                  <wp:effectExtent l="0" t="0" r="0" b="6985"/>
                  <wp:wrapTight wrapText="bothSides">
                    <wp:wrapPolygon edited="0">
                      <wp:start x="0" y="0"/>
                      <wp:lineTo x="0" y="21193"/>
                      <wp:lineTo x="21188" y="21193"/>
                      <wp:lineTo x="21188" y="0"/>
                      <wp:lineTo x="0" y="0"/>
                    </wp:wrapPolygon>
                  </wp:wrapTight>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65255" cy="641267"/>
                          </a:xfrm>
                          <a:prstGeom prst="rect">
                            <a:avLst/>
                          </a:prstGeom>
                        </pic:spPr>
                      </pic:pic>
                    </a:graphicData>
                  </a:graphic>
                </wp:anchor>
              </w:drawing>
            </w:r>
          </w:p>
        </w:tc>
        <w:tc>
          <w:tcPr>
            <w:tcW w:w="5477" w:type="dxa"/>
          </w:tcPr>
          <w:p w:rsidR="00F16B8E" w:rsidRDefault="00F16B8E" w:rsidP="00F16B8E">
            <w:pPr>
              <w:pStyle w:val="ListBullet"/>
              <w:numPr>
                <w:ilvl w:val="0"/>
                <w:numId w:val="0"/>
              </w:numPr>
              <w:spacing w:before="240"/>
              <w:contextualSpacing/>
              <w:mirrorIndents/>
              <w:rPr>
                <w:rFonts w:ascii="Arial Narrow" w:hAnsi="Arial Narrow"/>
                <w:sz w:val="24"/>
                <w:szCs w:val="24"/>
              </w:rPr>
            </w:pPr>
            <w:r w:rsidRPr="00210B4F">
              <w:rPr>
                <w:rFonts w:ascii="Arial Narrow" w:hAnsi="Arial Narrow"/>
                <w:noProof/>
              </w:rPr>
              <w:drawing>
                <wp:anchor distT="0" distB="0" distL="114300" distR="114300" simplePos="0" relativeHeight="251658240" behindDoc="1" locked="0" layoutInCell="1" allowOverlap="1">
                  <wp:simplePos x="0" y="0"/>
                  <wp:positionH relativeFrom="column">
                    <wp:posOffset>-1270</wp:posOffset>
                  </wp:positionH>
                  <wp:positionV relativeFrom="paragraph">
                    <wp:posOffset>95250</wp:posOffset>
                  </wp:positionV>
                  <wp:extent cx="1353787" cy="533165"/>
                  <wp:effectExtent l="0" t="0" r="0" b="635"/>
                  <wp:wrapTight wrapText="bothSides">
                    <wp:wrapPolygon edited="0">
                      <wp:start x="0" y="0"/>
                      <wp:lineTo x="0" y="20853"/>
                      <wp:lineTo x="21286" y="20853"/>
                      <wp:lineTo x="21286" y="0"/>
                      <wp:lineTo x="0" y="0"/>
                    </wp:wrapPolygon>
                  </wp:wrapTight>
                  <wp:docPr id="10" name="Picture 1" descr="HM Sig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M Sig (3).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53787" cy="533165"/>
                          </a:xfrm>
                          <a:prstGeom prst="rect">
                            <a:avLst/>
                          </a:prstGeom>
                        </pic:spPr>
                      </pic:pic>
                    </a:graphicData>
                  </a:graphic>
                </wp:anchor>
              </w:drawing>
            </w:r>
          </w:p>
        </w:tc>
      </w:tr>
      <w:tr w:rsidR="00F16B8E" w:rsidTr="00F16B8E">
        <w:trPr>
          <w:trHeight w:val="752"/>
        </w:trPr>
        <w:tc>
          <w:tcPr>
            <w:tcW w:w="3539" w:type="dxa"/>
          </w:tcPr>
          <w:p w:rsidR="00F16B8E" w:rsidRPr="00F16B8E" w:rsidRDefault="00F16B8E" w:rsidP="00F16B8E">
            <w:pPr>
              <w:pStyle w:val="ListBullet"/>
              <w:numPr>
                <w:ilvl w:val="0"/>
                <w:numId w:val="0"/>
              </w:numPr>
              <w:ind w:left="567" w:hanging="567"/>
              <w:contextualSpacing/>
              <w:mirrorIndents/>
              <w:rPr>
                <w:rFonts w:ascii="Arial Narrow" w:hAnsi="Arial Narrow"/>
                <w:b/>
                <w:sz w:val="24"/>
                <w:szCs w:val="24"/>
              </w:rPr>
            </w:pPr>
            <w:r w:rsidRPr="00F16B8E">
              <w:rPr>
                <w:rFonts w:ascii="Arial Narrow" w:hAnsi="Arial Narrow"/>
                <w:b/>
                <w:sz w:val="24"/>
                <w:szCs w:val="24"/>
              </w:rPr>
              <w:t xml:space="preserve">Russell Zimmerman </w:t>
            </w:r>
          </w:p>
          <w:p w:rsidR="00F16B8E" w:rsidRPr="00F16B8E" w:rsidRDefault="00F16B8E" w:rsidP="00F16B8E">
            <w:pPr>
              <w:pStyle w:val="ListBullet"/>
              <w:numPr>
                <w:ilvl w:val="0"/>
                <w:numId w:val="0"/>
              </w:numPr>
              <w:ind w:left="567" w:hanging="567"/>
              <w:contextualSpacing/>
              <w:mirrorIndents/>
              <w:rPr>
                <w:rFonts w:ascii="Arial Narrow" w:hAnsi="Arial Narrow"/>
                <w:sz w:val="24"/>
                <w:szCs w:val="24"/>
              </w:rPr>
            </w:pPr>
            <w:r w:rsidRPr="00F16B8E">
              <w:rPr>
                <w:rFonts w:ascii="Arial Narrow" w:hAnsi="Arial Narrow"/>
                <w:sz w:val="24"/>
                <w:szCs w:val="24"/>
              </w:rPr>
              <w:t>Executive Director</w:t>
            </w:r>
          </w:p>
          <w:p w:rsidR="00F16B8E" w:rsidRDefault="00F16B8E" w:rsidP="00F16B8E">
            <w:pPr>
              <w:pStyle w:val="ListBullet"/>
              <w:numPr>
                <w:ilvl w:val="0"/>
                <w:numId w:val="0"/>
              </w:numPr>
              <w:spacing w:after="0"/>
              <w:contextualSpacing/>
              <w:mirrorIndents/>
              <w:rPr>
                <w:rFonts w:ascii="Arial Narrow" w:hAnsi="Arial Narrow"/>
                <w:sz w:val="24"/>
                <w:szCs w:val="24"/>
              </w:rPr>
            </w:pPr>
            <w:r w:rsidRPr="00F16B8E">
              <w:rPr>
                <w:rFonts w:ascii="Arial Narrow" w:hAnsi="Arial Narrow"/>
                <w:sz w:val="24"/>
                <w:szCs w:val="24"/>
              </w:rPr>
              <w:t>Australian Retailers Association</w:t>
            </w:r>
          </w:p>
        </w:tc>
        <w:tc>
          <w:tcPr>
            <w:tcW w:w="5477" w:type="dxa"/>
          </w:tcPr>
          <w:p w:rsidR="00F16B8E" w:rsidRPr="00F16B8E" w:rsidRDefault="00F16B8E" w:rsidP="00F16B8E">
            <w:pPr>
              <w:pStyle w:val="ListBullet"/>
              <w:numPr>
                <w:ilvl w:val="0"/>
                <w:numId w:val="0"/>
              </w:numPr>
              <w:ind w:left="567" w:hanging="567"/>
              <w:contextualSpacing/>
              <w:mirrorIndents/>
              <w:rPr>
                <w:rFonts w:ascii="Arial Narrow" w:hAnsi="Arial Narrow"/>
                <w:b/>
                <w:sz w:val="24"/>
                <w:szCs w:val="24"/>
              </w:rPr>
            </w:pPr>
            <w:r w:rsidRPr="00F16B8E">
              <w:rPr>
                <w:rFonts w:ascii="Arial Narrow" w:hAnsi="Arial Narrow"/>
                <w:b/>
                <w:sz w:val="24"/>
                <w:szCs w:val="24"/>
              </w:rPr>
              <w:t>Heath Michael</w:t>
            </w:r>
          </w:p>
          <w:p w:rsidR="00F16B8E" w:rsidRPr="00F16B8E" w:rsidRDefault="00F16B8E" w:rsidP="00F16B8E">
            <w:pPr>
              <w:pStyle w:val="ListBullet"/>
              <w:numPr>
                <w:ilvl w:val="0"/>
                <w:numId w:val="0"/>
              </w:numPr>
              <w:contextualSpacing/>
              <w:mirrorIndents/>
              <w:rPr>
                <w:rFonts w:ascii="Arial Narrow" w:hAnsi="Arial Narrow"/>
                <w:sz w:val="24"/>
                <w:szCs w:val="24"/>
              </w:rPr>
            </w:pPr>
            <w:r w:rsidRPr="00F16B8E">
              <w:rPr>
                <w:rFonts w:ascii="Arial Narrow" w:hAnsi="Arial Narrow"/>
                <w:sz w:val="24"/>
                <w:szCs w:val="24"/>
              </w:rPr>
              <w:t>Director of</w:t>
            </w:r>
            <w:r>
              <w:rPr>
                <w:rFonts w:ascii="Arial Narrow" w:hAnsi="Arial Narrow"/>
                <w:sz w:val="24"/>
                <w:szCs w:val="24"/>
              </w:rPr>
              <w:t xml:space="preserve"> Policy, Government &amp; Corporate </w:t>
            </w:r>
            <w:r w:rsidRPr="00F16B8E">
              <w:rPr>
                <w:rFonts w:ascii="Arial Narrow" w:hAnsi="Arial Narrow"/>
                <w:sz w:val="24"/>
                <w:szCs w:val="24"/>
              </w:rPr>
              <w:t>Relations</w:t>
            </w:r>
          </w:p>
          <w:p w:rsidR="00F16B8E" w:rsidRDefault="00F16B8E" w:rsidP="00F16B8E">
            <w:pPr>
              <w:pStyle w:val="ListBullet"/>
              <w:numPr>
                <w:ilvl w:val="0"/>
                <w:numId w:val="0"/>
              </w:numPr>
              <w:spacing w:after="0"/>
              <w:contextualSpacing/>
              <w:mirrorIndents/>
              <w:rPr>
                <w:rFonts w:ascii="Arial Narrow" w:hAnsi="Arial Narrow"/>
                <w:sz w:val="24"/>
                <w:szCs w:val="24"/>
              </w:rPr>
            </w:pPr>
            <w:r w:rsidRPr="00F16B8E">
              <w:rPr>
                <w:rFonts w:ascii="Arial Narrow" w:hAnsi="Arial Narrow"/>
                <w:sz w:val="24"/>
                <w:szCs w:val="24"/>
              </w:rPr>
              <w:t>Australian Retailers Association</w:t>
            </w:r>
          </w:p>
        </w:tc>
      </w:tr>
    </w:tbl>
    <w:p w:rsidR="00210B4F" w:rsidRPr="00210B4F" w:rsidRDefault="00210B4F" w:rsidP="00F16B8E">
      <w:pPr>
        <w:contextualSpacing/>
        <w:rPr>
          <w:rFonts w:ascii="Arial Narrow" w:hAnsi="Arial Narrow" w:cs="Arial"/>
        </w:rPr>
      </w:pPr>
    </w:p>
    <w:sectPr w:rsidR="00210B4F" w:rsidRPr="00210B4F" w:rsidSect="00AA585C">
      <w:headerReference w:type="default" r:id="rId12"/>
      <w:pgSz w:w="11906" w:h="16838"/>
      <w:pgMar w:top="1440" w:right="1440" w:bottom="1440" w:left="1440"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50F9" w:rsidRDefault="00A550F9" w:rsidP="00015477">
      <w:r>
        <w:separator/>
      </w:r>
    </w:p>
  </w:endnote>
  <w:endnote w:type="continuationSeparator" w:id="0">
    <w:p w:rsidR="00A550F9" w:rsidRDefault="00A550F9" w:rsidP="000154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UHOAX A+ Myriad Pro">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EngraversGothic BT">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50F9" w:rsidRDefault="00A550F9" w:rsidP="00015477">
      <w:r>
        <w:separator/>
      </w:r>
    </w:p>
  </w:footnote>
  <w:footnote w:type="continuationSeparator" w:id="0">
    <w:p w:rsidR="00A550F9" w:rsidRDefault="00A550F9" w:rsidP="000154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5477" w:rsidRDefault="00DB3A61">
    <w:pPr>
      <w:pStyle w:val="Header"/>
    </w:pPr>
    <w:r w:rsidRPr="009C5F45">
      <w:rPr>
        <w:noProof/>
        <w:lang w:eastAsia="en-AU"/>
      </w:rPr>
      <w:drawing>
        <wp:anchor distT="0" distB="0" distL="114300" distR="114300" simplePos="0" relativeHeight="251660288" behindDoc="0" locked="0" layoutInCell="1" allowOverlap="1" wp14:anchorId="301EC061" wp14:editId="309CEBD0">
          <wp:simplePos x="0" y="0"/>
          <wp:positionH relativeFrom="margin">
            <wp:posOffset>1741805</wp:posOffset>
          </wp:positionH>
          <wp:positionV relativeFrom="paragraph">
            <wp:posOffset>198120</wp:posOffset>
          </wp:positionV>
          <wp:extent cx="2314575" cy="641350"/>
          <wp:effectExtent l="0" t="0" r="9525" b="6350"/>
          <wp:wrapSquare wrapText="bothSides"/>
          <wp:docPr id="6" name="Picture 53" descr="C:\Users\shaun.bajada.ARA\Desktop\Untitle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shaun.bajada.ARA\Desktop\Untitled-1.png"/>
                  <pic:cNvPicPr>
                    <a:picLocks noChangeAspect="1" noChangeArrowheads="1"/>
                  </pic:cNvPicPr>
                </pic:nvPicPr>
                <pic:blipFill rotWithShape="1">
                  <a:blip r:embed="rId1"/>
                  <a:srcRect l="3921" t="9009" r="784"/>
                  <a:stretch/>
                </pic:blipFill>
                <pic:spPr bwMode="auto">
                  <a:xfrm>
                    <a:off x="0" y="0"/>
                    <a:ext cx="2314575" cy="6413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15477">
      <w:rPr>
        <w:noProof/>
        <w:lang w:eastAsia="en-AU"/>
      </w:rPr>
      <w:drawing>
        <wp:anchor distT="0" distB="0" distL="114300" distR="114300" simplePos="0" relativeHeight="251658240" behindDoc="0" locked="0" layoutInCell="1" allowOverlap="1" wp14:anchorId="35F77555" wp14:editId="715CFB8B">
          <wp:simplePos x="0" y="0"/>
          <wp:positionH relativeFrom="page">
            <wp:align>right</wp:align>
          </wp:positionH>
          <wp:positionV relativeFrom="paragraph">
            <wp:posOffset>-449580</wp:posOffset>
          </wp:positionV>
          <wp:extent cx="7526655" cy="1466850"/>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7526655" cy="146685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1"/>
    <w:multiLevelType w:val="singleLevel"/>
    <w:tmpl w:val="A394DB6A"/>
    <w:lvl w:ilvl="0">
      <w:start w:val="1"/>
      <w:numFmt w:val="bullet"/>
      <w:pStyle w:val="ListBullet4"/>
      <w:lvlText w:val=""/>
      <w:lvlJc w:val="left"/>
      <w:pPr>
        <w:tabs>
          <w:tab w:val="num" w:pos="1209"/>
        </w:tabs>
        <w:ind w:left="1209" w:hanging="360"/>
      </w:pPr>
      <w:rPr>
        <w:rFonts w:ascii="Symbol" w:hAnsi="Symbol" w:hint="default"/>
      </w:rPr>
    </w:lvl>
  </w:abstractNum>
  <w:abstractNum w:abstractNumId="1">
    <w:nsid w:val="08ED1AF2"/>
    <w:multiLevelType w:val="hybridMultilevel"/>
    <w:tmpl w:val="B92442F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0B6F62E6"/>
    <w:multiLevelType w:val="hybridMultilevel"/>
    <w:tmpl w:val="AB4888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2271F01"/>
    <w:multiLevelType w:val="hybridMultilevel"/>
    <w:tmpl w:val="2AA8E128"/>
    <w:lvl w:ilvl="0" w:tplc="48624480">
      <w:start w:val="1"/>
      <w:numFmt w:val="bullet"/>
      <w:pStyle w:val="Bullet-Highlight"/>
      <w:lvlText w:val="•"/>
      <w:lvlJc w:val="left"/>
      <w:pPr>
        <w:ind w:left="720" w:hanging="360"/>
      </w:pPr>
      <w:rPr>
        <w:rFonts w:ascii="Times New Roman" w:hAnsi="Times New Roman" w:cs="Times New Roman" w:hint="default"/>
        <w:color w:val="4472C4" w:themeColor="accent5"/>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142C1E9F"/>
    <w:multiLevelType w:val="hybridMultilevel"/>
    <w:tmpl w:val="E3FA75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1A0910CF"/>
    <w:multiLevelType w:val="hybridMultilevel"/>
    <w:tmpl w:val="C6F6848A"/>
    <w:lvl w:ilvl="0" w:tplc="04FA60D0">
      <w:start w:val="1"/>
      <w:numFmt w:val="bullet"/>
      <w:pStyle w:val="Bullet"/>
      <w:lvlText w:val="•"/>
      <w:lvlJc w:val="left"/>
      <w:pPr>
        <w:ind w:left="720" w:hanging="360"/>
      </w:pPr>
      <w:rPr>
        <w:rFonts w:ascii="Times New Roman" w:hAnsi="Times New Roman" w:cs="Times New Roman" w:hint="default"/>
      </w:rPr>
    </w:lvl>
    <w:lvl w:ilvl="1" w:tplc="0C090003" w:tentative="1">
      <w:start w:val="1"/>
      <w:numFmt w:val="bullet"/>
      <w:pStyle w:val="BoxDashInden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1FF8147B"/>
    <w:multiLevelType w:val="hybridMultilevel"/>
    <w:tmpl w:val="A98616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20D2466E"/>
    <w:multiLevelType w:val="hybridMultilevel"/>
    <w:tmpl w:val="506C934A"/>
    <w:lvl w:ilvl="0" w:tplc="F9F86240">
      <w:numFmt w:val="bullet"/>
      <w:lvlText w:val="•"/>
      <w:lvlJc w:val="left"/>
      <w:pPr>
        <w:ind w:left="1080" w:hanging="72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24840B28"/>
    <w:multiLevelType w:val="multilevel"/>
    <w:tmpl w:val="55925CE2"/>
    <w:lvl w:ilvl="0">
      <w:start w:val="1"/>
      <w:numFmt w:val="bullet"/>
      <w:pStyle w:val="ListBullet"/>
      <w:lvlText w:val=""/>
      <w:lvlJc w:val="left"/>
      <w:pPr>
        <w:tabs>
          <w:tab w:val="num" w:pos="567"/>
        </w:tabs>
        <w:ind w:left="567" w:hanging="567"/>
      </w:pPr>
      <w:rPr>
        <w:rFonts w:ascii="Wingdings 2" w:hAnsi="Wingdings 2" w:hint="default"/>
      </w:rPr>
    </w:lvl>
    <w:lvl w:ilvl="1">
      <w:start w:val="1"/>
      <w:numFmt w:val="bullet"/>
      <w:lvlText w:val=""/>
      <w:lvlJc w:val="left"/>
      <w:pPr>
        <w:tabs>
          <w:tab w:val="num" w:pos="1134"/>
        </w:tabs>
        <w:ind w:left="1134" w:hanging="567"/>
      </w:pPr>
      <w:rPr>
        <w:rFonts w:ascii="Symbol" w:hAnsi="Symbol" w:hint="default"/>
      </w:rPr>
    </w:lvl>
    <w:lvl w:ilvl="2">
      <w:start w:val="1"/>
      <w:numFmt w:val="none"/>
      <w:lvlText w:val=""/>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
      <w:lvlJc w:val="left"/>
      <w:pPr>
        <w:tabs>
          <w:tab w:val="num" w:pos="3402"/>
        </w:tabs>
        <w:ind w:left="3402" w:hanging="567"/>
      </w:pPr>
      <w:rPr>
        <w:rFonts w:hint="default"/>
      </w:rPr>
    </w:lvl>
    <w:lvl w:ilvl="7">
      <w:start w:val="1"/>
      <w:numFmt w:val="none"/>
      <w:lvlText w:val=""/>
      <w:lvlJc w:val="left"/>
      <w:pPr>
        <w:tabs>
          <w:tab w:val="num" w:pos="3969"/>
        </w:tabs>
        <w:ind w:left="3969" w:hanging="567"/>
      </w:pPr>
      <w:rPr>
        <w:rFonts w:hint="default"/>
      </w:rPr>
    </w:lvl>
    <w:lvl w:ilvl="8">
      <w:start w:val="1"/>
      <w:numFmt w:val="none"/>
      <w:lvlText w:val=""/>
      <w:lvlJc w:val="left"/>
      <w:pPr>
        <w:tabs>
          <w:tab w:val="num" w:pos="5103"/>
        </w:tabs>
        <w:ind w:left="5103" w:hanging="567"/>
      </w:pPr>
      <w:rPr>
        <w:rFonts w:hint="default"/>
      </w:rPr>
    </w:lvl>
  </w:abstractNum>
  <w:abstractNum w:abstractNumId="9">
    <w:nsid w:val="43CD5447"/>
    <w:multiLevelType w:val="multilevel"/>
    <w:tmpl w:val="840649F8"/>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lowerLetter"/>
      <w:pStyle w:val="Heading3"/>
      <w:lvlText w:val="(%3)"/>
      <w:lvlJc w:val="left"/>
      <w:pPr>
        <w:tabs>
          <w:tab w:val="num" w:pos="567"/>
        </w:tabs>
        <w:ind w:left="567" w:hanging="567"/>
      </w:pPr>
      <w:rPr>
        <w:rFonts w:hint="default"/>
      </w:rPr>
    </w:lvl>
    <w:lvl w:ilvl="3">
      <w:start w:val="1"/>
      <w:numFmt w:val="lowerRoman"/>
      <w:pStyle w:val="Heading4"/>
      <w:lvlText w:val="(%4)"/>
      <w:lvlJc w:val="left"/>
      <w:pPr>
        <w:tabs>
          <w:tab w:val="num" w:pos="567"/>
        </w:tabs>
        <w:ind w:left="1134" w:hanging="567"/>
      </w:pPr>
      <w:rPr>
        <w:rFonts w:hint="default"/>
      </w:rPr>
    </w:lvl>
    <w:lvl w:ilvl="4">
      <w:start w:val="1"/>
      <w:numFmt w:val="upperLetter"/>
      <w:pStyle w:val="Heading5"/>
      <w:lvlText w:val="(%5)"/>
      <w:lvlJc w:val="left"/>
      <w:pPr>
        <w:tabs>
          <w:tab w:val="num" w:pos="567"/>
        </w:tabs>
        <w:ind w:left="1701" w:hanging="567"/>
      </w:pPr>
      <w:rPr>
        <w:rFonts w:ascii="Arial" w:hAnsi="Arial" w:hint="default"/>
        <w:sz w:val="16"/>
        <w:szCs w:val="16"/>
      </w:rPr>
    </w:lvl>
    <w:lvl w:ilvl="5">
      <w:start w:val="1"/>
      <w:numFmt w:val="none"/>
      <w:lvlRestart w:val="3"/>
      <w:pStyle w:val="Heading6"/>
      <w:lvlText w:val=""/>
      <w:lvlJc w:val="left"/>
      <w:pPr>
        <w:tabs>
          <w:tab w:val="num" w:pos="0"/>
        </w:tabs>
        <w:ind w:left="0" w:firstLine="0"/>
      </w:pPr>
      <w:rPr>
        <w:rFonts w:hint="default"/>
      </w:rPr>
    </w:lvl>
    <w:lvl w:ilvl="6">
      <w:start w:val="1"/>
      <w:numFmt w:val="none"/>
      <w:pStyle w:val="Heading7"/>
      <w:lvlText w:val="%7"/>
      <w:lvlJc w:val="left"/>
      <w:pPr>
        <w:tabs>
          <w:tab w:val="num" w:pos="0"/>
        </w:tabs>
        <w:ind w:left="0" w:firstLine="0"/>
      </w:pPr>
      <w:rPr>
        <w:rFonts w:hint="default"/>
      </w:rPr>
    </w:lvl>
    <w:lvl w:ilvl="7">
      <w:start w:val="1"/>
      <w:numFmt w:val="none"/>
      <w:pStyle w:val="Heading8"/>
      <w:lvlText w:val=""/>
      <w:lvlJc w:val="left"/>
      <w:pPr>
        <w:tabs>
          <w:tab w:val="num" w:pos="0"/>
        </w:tabs>
        <w:ind w:left="0" w:firstLine="0"/>
      </w:pPr>
      <w:rPr>
        <w:rFonts w:hint="default"/>
      </w:rPr>
    </w:lvl>
    <w:lvl w:ilvl="8">
      <w:start w:val="1"/>
      <w:numFmt w:val="none"/>
      <w:pStyle w:val="Heading9"/>
      <w:lvlText w:val=""/>
      <w:lvlJc w:val="left"/>
      <w:pPr>
        <w:tabs>
          <w:tab w:val="num" w:pos="0"/>
        </w:tabs>
        <w:ind w:left="0" w:firstLine="0"/>
      </w:pPr>
      <w:rPr>
        <w:rFonts w:hint="default"/>
      </w:rPr>
    </w:lvl>
  </w:abstractNum>
  <w:abstractNum w:abstractNumId="10">
    <w:nsid w:val="451572DA"/>
    <w:multiLevelType w:val="hybridMultilevel"/>
    <w:tmpl w:val="D488E6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61A70F01"/>
    <w:multiLevelType w:val="hybridMultilevel"/>
    <w:tmpl w:val="D3726972"/>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2">
    <w:nsid w:val="72F853A4"/>
    <w:multiLevelType w:val="hybridMultilevel"/>
    <w:tmpl w:val="E452E2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9"/>
  </w:num>
  <w:num w:numId="4">
    <w:abstractNumId w:val="8"/>
  </w:num>
  <w:num w:numId="5">
    <w:abstractNumId w:val="5"/>
  </w:num>
  <w:num w:numId="6">
    <w:abstractNumId w:val="3"/>
  </w:num>
  <w:num w:numId="7">
    <w:abstractNumId w:val="12"/>
  </w:num>
  <w:num w:numId="8">
    <w:abstractNumId w:val="0"/>
  </w:num>
  <w:num w:numId="9">
    <w:abstractNumId w:val="10"/>
  </w:num>
  <w:num w:numId="10">
    <w:abstractNumId w:val="4"/>
  </w:num>
  <w:num w:numId="11">
    <w:abstractNumId w:val="6"/>
  </w:num>
  <w:num w:numId="12">
    <w:abstractNumId w:val="7"/>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DateAndTime/>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5477"/>
    <w:rsid w:val="000021E9"/>
    <w:rsid w:val="000031F2"/>
    <w:rsid w:val="000032CE"/>
    <w:rsid w:val="00013540"/>
    <w:rsid w:val="00015477"/>
    <w:rsid w:val="00020C3E"/>
    <w:rsid w:val="0003096B"/>
    <w:rsid w:val="000348DA"/>
    <w:rsid w:val="00053538"/>
    <w:rsid w:val="00060911"/>
    <w:rsid w:val="00061B9D"/>
    <w:rsid w:val="0007054F"/>
    <w:rsid w:val="0007509F"/>
    <w:rsid w:val="00096C47"/>
    <w:rsid w:val="000B111F"/>
    <w:rsid w:val="000C2CBF"/>
    <w:rsid w:val="000C6290"/>
    <w:rsid w:val="000C7B83"/>
    <w:rsid w:val="000C7ED8"/>
    <w:rsid w:val="000D48BF"/>
    <w:rsid w:val="000F4660"/>
    <w:rsid w:val="000F48C4"/>
    <w:rsid w:val="000F7FC1"/>
    <w:rsid w:val="001001B1"/>
    <w:rsid w:val="0010251F"/>
    <w:rsid w:val="001208E6"/>
    <w:rsid w:val="00122504"/>
    <w:rsid w:val="001417DD"/>
    <w:rsid w:val="00143043"/>
    <w:rsid w:val="00153020"/>
    <w:rsid w:val="00155783"/>
    <w:rsid w:val="0015702B"/>
    <w:rsid w:val="001577A4"/>
    <w:rsid w:val="00164093"/>
    <w:rsid w:val="00164898"/>
    <w:rsid w:val="001714ED"/>
    <w:rsid w:val="00172304"/>
    <w:rsid w:val="0018063D"/>
    <w:rsid w:val="001833DB"/>
    <w:rsid w:val="00183485"/>
    <w:rsid w:val="00192156"/>
    <w:rsid w:val="00197906"/>
    <w:rsid w:val="001A35E9"/>
    <w:rsid w:val="001A6257"/>
    <w:rsid w:val="001D615A"/>
    <w:rsid w:val="001E6A6A"/>
    <w:rsid w:val="001F1E6E"/>
    <w:rsid w:val="0020118A"/>
    <w:rsid w:val="00204779"/>
    <w:rsid w:val="002075CA"/>
    <w:rsid w:val="00210B4F"/>
    <w:rsid w:val="00214742"/>
    <w:rsid w:val="002310D1"/>
    <w:rsid w:val="00235F13"/>
    <w:rsid w:val="002446A0"/>
    <w:rsid w:val="0025191C"/>
    <w:rsid w:val="00253F6A"/>
    <w:rsid w:val="0025644C"/>
    <w:rsid w:val="00257E9B"/>
    <w:rsid w:val="00267129"/>
    <w:rsid w:val="002817A7"/>
    <w:rsid w:val="00282167"/>
    <w:rsid w:val="002A21E6"/>
    <w:rsid w:val="002B09BA"/>
    <w:rsid w:val="002B73C2"/>
    <w:rsid w:val="002B7E91"/>
    <w:rsid w:val="002C7350"/>
    <w:rsid w:val="002D39B5"/>
    <w:rsid w:val="002D66E6"/>
    <w:rsid w:val="002F007D"/>
    <w:rsid w:val="002F01E4"/>
    <w:rsid w:val="002F2F06"/>
    <w:rsid w:val="0030411F"/>
    <w:rsid w:val="00305961"/>
    <w:rsid w:val="0032393E"/>
    <w:rsid w:val="00332D20"/>
    <w:rsid w:val="0033651E"/>
    <w:rsid w:val="003452A3"/>
    <w:rsid w:val="00345336"/>
    <w:rsid w:val="00347AF2"/>
    <w:rsid w:val="00347B70"/>
    <w:rsid w:val="00353AF3"/>
    <w:rsid w:val="0035607F"/>
    <w:rsid w:val="00356827"/>
    <w:rsid w:val="003578AA"/>
    <w:rsid w:val="00362B53"/>
    <w:rsid w:val="00366642"/>
    <w:rsid w:val="00376EB6"/>
    <w:rsid w:val="00382F95"/>
    <w:rsid w:val="00383611"/>
    <w:rsid w:val="00386442"/>
    <w:rsid w:val="00395AA1"/>
    <w:rsid w:val="00396B72"/>
    <w:rsid w:val="003A2BF8"/>
    <w:rsid w:val="003A403A"/>
    <w:rsid w:val="003B7CF3"/>
    <w:rsid w:val="003C53A8"/>
    <w:rsid w:val="003C6F22"/>
    <w:rsid w:val="003D3C96"/>
    <w:rsid w:val="003E15A4"/>
    <w:rsid w:val="003F15A2"/>
    <w:rsid w:val="00414167"/>
    <w:rsid w:val="0042074D"/>
    <w:rsid w:val="00425959"/>
    <w:rsid w:val="00432780"/>
    <w:rsid w:val="00437D41"/>
    <w:rsid w:val="00440B15"/>
    <w:rsid w:val="004411AE"/>
    <w:rsid w:val="00443C89"/>
    <w:rsid w:val="00454B6C"/>
    <w:rsid w:val="0045722A"/>
    <w:rsid w:val="00481C3B"/>
    <w:rsid w:val="00482934"/>
    <w:rsid w:val="00484D0F"/>
    <w:rsid w:val="00495495"/>
    <w:rsid w:val="00496DDC"/>
    <w:rsid w:val="004B5CDF"/>
    <w:rsid w:val="004D7E94"/>
    <w:rsid w:val="004E2761"/>
    <w:rsid w:val="004E77B2"/>
    <w:rsid w:val="004E7F15"/>
    <w:rsid w:val="00500855"/>
    <w:rsid w:val="00514884"/>
    <w:rsid w:val="005154E4"/>
    <w:rsid w:val="00516B68"/>
    <w:rsid w:val="00526C7F"/>
    <w:rsid w:val="005310BF"/>
    <w:rsid w:val="00541666"/>
    <w:rsid w:val="005461B1"/>
    <w:rsid w:val="00560430"/>
    <w:rsid w:val="0057646A"/>
    <w:rsid w:val="00586019"/>
    <w:rsid w:val="005871F3"/>
    <w:rsid w:val="00596EA4"/>
    <w:rsid w:val="005B40EB"/>
    <w:rsid w:val="005C174F"/>
    <w:rsid w:val="005C4B6E"/>
    <w:rsid w:val="005C4B9A"/>
    <w:rsid w:val="005D4DD4"/>
    <w:rsid w:val="005D78EF"/>
    <w:rsid w:val="005E001E"/>
    <w:rsid w:val="005E3D21"/>
    <w:rsid w:val="005F3E86"/>
    <w:rsid w:val="00603CC3"/>
    <w:rsid w:val="00604F2B"/>
    <w:rsid w:val="00607A98"/>
    <w:rsid w:val="006104DA"/>
    <w:rsid w:val="00611CE3"/>
    <w:rsid w:val="00612FA4"/>
    <w:rsid w:val="00614C3C"/>
    <w:rsid w:val="006159C3"/>
    <w:rsid w:val="00622E5C"/>
    <w:rsid w:val="006263F0"/>
    <w:rsid w:val="0063223A"/>
    <w:rsid w:val="00640454"/>
    <w:rsid w:val="006445A3"/>
    <w:rsid w:val="00664C90"/>
    <w:rsid w:val="00671E6F"/>
    <w:rsid w:val="00673F11"/>
    <w:rsid w:val="00677DC7"/>
    <w:rsid w:val="0068577C"/>
    <w:rsid w:val="0068726D"/>
    <w:rsid w:val="00693E32"/>
    <w:rsid w:val="006B4172"/>
    <w:rsid w:val="006C1FF4"/>
    <w:rsid w:val="006D63A3"/>
    <w:rsid w:val="006E4F34"/>
    <w:rsid w:val="006E59DC"/>
    <w:rsid w:val="006F1065"/>
    <w:rsid w:val="00710ECD"/>
    <w:rsid w:val="00711B72"/>
    <w:rsid w:val="0071753D"/>
    <w:rsid w:val="00731706"/>
    <w:rsid w:val="00734541"/>
    <w:rsid w:val="00745CF5"/>
    <w:rsid w:val="00750543"/>
    <w:rsid w:val="007509B6"/>
    <w:rsid w:val="007560D2"/>
    <w:rsid w:val="0076075D"/>
    <w:rsid w:val="007623CF"/>
    <w:rsid w:val="00762DF3"/>
    <w:rsid w:val="00763239"/>
    <w:rsid w:val="00771C58"/>
    <w:rsid w:val="00780F45"/>
    <w:rsid w:val="0078113D"/>
    <w:rsid w:val="0079013E"/>
    <w:rsid w:val="00791865"/>
    <w:rsid w:val="007935F9"/>
    <w:rsid w:val="00794574"/>
    <w:rsid w:val="00794588"/>
    <w:rsid w:val="00795A37"/>
    <w:rsid w:val="0079617F"/>
    <w:rsid w:val="0079711D"/>
    <w:rsid w:val="007A7112"/>
    <w:rsid w:val="007B35F1"/>
    <w:rsid w:val="007B6177"/>
    <w:rsid w:val="007C653E"/>
    <w:rsid w:val="007C7BA7"/>
    <w:rsid w:val="007C7D84"/>
    <w:rsid w:val="007D5F74"/>
    <w:rsid w:val="007E1798"/>
    <w:rsid w:val="007E48BE"/>
    <w:rsid w:val="007F05A3"/>
    <w:rsid w:val="007F6315"/>
    <w:rsid w:val="008020CC"/>
    <w:rsid w:val="00806C5A"/>
    <w:rsid w:val="00814D22"/>
    <w:rsid w:val="008217D2"/>
    <w:rsid w:val="00823BF4"/>
    <w:rsid w:val="0082447A"/>
    <w:rsid w:val="00830CBF"/>
    <w:rsid w:val="00835972"/>
    <w:rsid w:val="00836DE4"/>
    <w:rsid w:val="00842CC7"/>
    <w:rsid w:val="0085122B"/>
    <w:rsid w:val="0087221B"/>
    <w:rsid w:val="00872A89"/>
    <w:rsid w:val="008834EB"/>
    <w:rsid w:val="00887292"/>
    <w:rsid w:val="0089440D"/>
    <w:rsid w:val="008A1191"/>
    <w:rsid w:val="008A2BEF"/>
    <w:rsid w:val="008A79C8"/>
    <w:rsid w:val="008B09CB"/>
    <w:rsid w:val="008C3F9D"/>
    <w:rsid w:val="008E5DAA"/>
    <w:rsid w:val="008F7D53"/>
    <w:rsid w:val="009014E2"/>
    <w:rsid w:val="009018AE"/>
    <w:rsid w:val="0090437E"/>
    <w:rsid w:val="00905A5B"/>
    <w:rsid w:val="00911F4D"/>
    <w:rsid w:val="0091354A"/>
    <w:rsid w:val="009307D8"/>
    <w:rsid w:val="009427DF"/>
    <w:rsid w:val="00943B95"/>
    <w:rsid w:val="0094551D"/>
    <w:rsid w:val="00945DC0"/>
    <w:rsid w:val="009473D8"/>
    <w:rsid w:val="009474C8"/>
    <w:rsid w:val="009523A0"/>
    <w:rsid w:val="009529E9"/>
    <w:rsid w:val="00960873"/>
    <w:rsid w:val="009621A3"/>
    <w:rsid w:val="009659C3"/>
    <w:rsid w:val="009679C3"/>
    <w:rsid w:val="00970274"/>
    <w:rsid w:val="009722CA"/>
    <w:rsid w:val="00972FC5"/>
    <w:rsid w:val="00982E34"/>
    <w:rsid w:val="009851CA"/>
    <w:rsid w:val="009875A7"/>
    <w:rsid w:val="009925B9"/>
    <w:rsid w:val="0099556A"/>
    <w:rsid w:val="009A1E8C"/>
    <w:rsid w:val="009A7472"/>
    <w:rsid w:val="009C5A57"/>
    <w:rsid w:val="009D0A8D"/>
    <w:rsid w:val="009D1CDC"/>
    <w:rsid w:val="009E1AA2"/>
    <w:rsid w:val="009E2C65"/>
    <w:rsid w:val="009E4EAD"/>
    <w:rsid w:val="009E6353"/>
    <w:rsid w:val="009F1950"/>
    <w:rsid w:val="00A01584"/>
    <w:rsid w:val="00A10BF3"/>
    <w:rsid w:val="00A11F63"/>
    <w:rsid w:val="00A12C56"/>
    <w:rsid w:val="00A150DC"/>
    <w:rsid w:val="00A25226"/>
    <w:rsid w:val="00A257C3"/>
    <w:rsid w:val="00A27A24"/>
    <w:rsid w:val="00A4520E"/>
    <w:rsid w:val="00A550F9"/>
    <w:rsid w:val="00A5516D"/>
    <w:rsid w:val="00A55AB2"/>
    <w:rsid w:val="00A67BCB"/>
    <w:rsid w:val="00A72228"/>
    <w:rsid w:val="00A73D11"/>
    <w:rsid w:val="00A843A9"/>
    <w:rsid w:val="00A84C7A"/>
    <w:rsid w:val="00A91336"/>
    <w:rsid w:val="00A91521"/>
    <w:rsid w:val="00A924C5"/>
    <w:rsid w:val="00A95539"/>
    <w:rsid w:val="00A96725"/>
    <w:rsid w:val="00AA44D3"/>
    <w:rsid w:val="00AA56C8"/>
    <w:rsid w:val="00AA585C"/>
    <w:rsid w:val="00AB65CE"/>
    <w:rsid w:val="00AC0D34"/>
    <w:rsid w:val="00AC2DB9"/>
    <w:rsid w:val="00AC5EA5"/>
    <w:rsid w:val="00AD5760"/>
    <w:rsid w:val="00AE7868"/>
    <w:rsid w:val="00AF1AC1"/>
    <w:rsid w:val="00B05EE1"/>
    <w:rsid w:val="00B2020C"/>
    <w:rsid w:val="00B21EB9"/>
    <w:rsid w:val="00B33C64"/>
    <w:rsid w:val="00B35390"/>
    <w:rsid w:val="00B36589"/>
    <w:rsid w:val="00B44928"/>
    <w:rsid w:val="00B53853"/>
    <w:rsid w:val="00B57B0B"/>
    <w:rsid w:val="00B61065"/>
    <w:rsid w:val="00B61628"/>
    <w:rsid w:val="00B63AB0"/>
    <w:rsid w:val="00B67BF2"/>
    <w:rsid w:val="00B707E8"/>
    <w:rsid w:val="00B729B6"/>
    <w:rsid w:val="00B75BCD"/>
    <w:rsid w:val="00B82414"/>
    <w:rsid w:val="00B83410"/>
    <w:rsid w:val="00B94ECF"/>
    <w:rsid w:val="00B9518D"/>
    <w:rsid w:val="00BA43C5"/>
    <w:rsid w:val="00BA5EF1"/>
    <w:rsid w:val="00BA6C24"/>
    <w:rsid w:val="00BE6107"/>
    <w:rsid w:val="00BE703F"/>
    <w:rsid w:val="00C036AF"/>
    <w:rsid w:val="00C12636"/>
    <w:rsid w:val="00C13AD0"/>
    <w:rsid w:val="00C14535"/>
    <w:rsid w:val="00C203E2"/>
    <w:rsid w:val="00C23B1A"/>
    <w:rsid w:val="00C2591C"/>
    <w:rsid w:val="00C26B3F"/>
    <w:rsid w:val="00C31CEA"/>
    <w:rsid w:val="00C440BA"/>
    <w:rsid w:val="00C4520C"/>
    <w:rsid w:val="00C505B6"/>
    <w:rsid w:val="00C51633"/>
    <w:rsid w:val="00C6000A"/>
    <w:rsid w:val="00C615F4"/>
    <w:rsid w:val="00C72CFB"/>
    <w:rsid w:val="00C750E8"/>
    <w:rsid w:val="00C82BE7"/>
    <w:rsid w:val="00C84475"/>
    <w:rsid w:val="00C87AFA"/>
    <w:rsid w:val="00C87D0E"/>
    <w:rsid w:val="00C9185A"/>
    <w:rsid w:val="00C95C7E"/>
    <w:rsid w:val="00CA3F5C"/>
    <w:rsid w:val="00CA6896"/>
    <w:rsid w:val="00CC1FF4"/>
    <w:rsid w:val="00CD272C"/>
    <w:rsid w:val="00CE6AF7"/>
    <w:rsid w:val="00CF5310"/>
    <w:rsid w:val="00D02387"/>
    <w:rsid w:val="00D10AE5"/>
    <w:rsid w:val="00D11F77"/>
    <w:rsid w:val="00D1647D"/>
    <w:rsid w:val="00D207BF"/>
    <w:rsid w:val="00D32C06"/>
    <w:rsid w:val="00D41804"/>
    <w:rsid w:val="00D52096"/>
    <w:rsid w:val="00D625B8"/>
    <w:rsid w:val="00D644BE"/>
    <w:rsid w:val="00D6795A"/>
    <w:rsid w:val="00D70BAF"/>
    <w:rsid w:val="00D92B36"/>
    <w:rsid w:val="00D94682"/>
    <w:rsid w:val="00DB11B2"/>
    <w:rsid w:val="00DB3A61"/>
    <w:rsid w:val="00DC186B"/>
    <w:rsid w:val="00DC3173"/>
    <w:rsid w:val="00DC3A5A"/>
    <w:rsid w:val="00DD3A5A"/>
    <w:rsid w:val="00DD6546"/>
    <w:rsid w:val="00E16B57"/>
    <w:rsid w:val="00E21EE3"/>
    <w:rsid w:val="00E3167E"/>
    <w:rsid w:val="00E31BA8"/>
    <w:rsid w:val="00E31CB9"/>
    <w:rsid w:val="00E321C5"/>
    <w:rsid w:val="00E349D4"/>
    <w:rsid w:val="00E34A85"/>
    <w:rsid w:val="00E34B09"/>
    <w:rsid w:val="00E37E9A"/>
    <w:rsid w:val="00E5538C"/>
    <w:rsid w:val="00E56E3A"/>
    <w:rsid w:val="00E73B09"/>
    <w:rsid w:val="00E76BB8"/>
    <w:rsid w:val="00E96FAD"/>
    <w:rsid w:val="00EA13C0"/>
    <w:rsid w:val="00EA4367"/>
    <w:rsid w:val="00EA76DC"/>
    <w:rsid w:val="00EB5A86"/>
    <w:rsid w:val="00ED07C7"/>
    <w:rsid w:val="00ED2CFC"/>
    <w:rsid w:val="00EE08F9"/>
    <w:rsid w:val="00EE4248"/>
    <w:rsid w:val="00EE4743"/>
    <w:rsid w:val="00F10181"/>
    <w:rsid w:val="00F16B8E"/>
    <w:rsid w:val="00F27052"/>
    <w:rsid w:val="00F323D5"/>
    <w:rsid w:val="00F54187"/>
    <w:rsid w:val="00F54603"/>
    <w:rsid w:val="00F61B4B"/>
    <w:rsid w:val="00F70E38"/>
    <w:rsid w:val="00F73F1F"/>
    <w:rsid w:val="00F73F79"/>
    <w:rsid w:val="00F81F31"/>
    <w:rsid w:val="00F906DE"/>
    <w:rsid w:val="00F973F4"/>
    <w:rsid w:val="00FA1F5F"/>
    <w:rsid w:val="00FA5421"/>
    <w:rsid w:val="00FB0AE2"/>
    <w:rsid w:val="00FB3BF3"/>
    <w:rsid w:val="00FC668D"/>
    <w:rsid w:val="00FC6E58"/>
    <w:rsid w:val="00FD0A86"/>
    <w:rsid w:val="00FD26DE"/>
    <w:rsid w:val="00FD2DAA"/>
    <w:rsid w:val="00FE0148"/>
    <w:rsid w:val="00FE171E"/>
    <w:rsid w:val="00FE4028"/>
    <w:rsid w:val="00FE40A1"/>
    <w:rsid w:val="00FF7F8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envelope return" w:uiPriority="0"/>
    <w:lsdException w:name="annotation reference" w:uiPriority="0"/>
    <w:lsdException w:name="List Bullet" w:uiPriority="0" w:qFormat="1"/>
    <w:lsdException w:name="List Bullet 4"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3F79"/>
    <w:pPr>
      <w:spacing w:after="0" w:line="240" w:lineRule="auto"/>
    </w:pPr>
    <w:rPr>
      <w:rFonts w:ascii="Times New Roman" w:eastAsia="SimSun" w:hAnsi="Times New Roman" w:cs="Times New Roman"/>
      <w:sz w:val="24"/>
      <w:szCs w:val="24"/>
      <w:lang w:eastAsia="zh-CN"/>
    </w:rPr>
  </w:style>
  <w:style w:type="paragraph" w:styleId="Heading1">
    <w:name w:val="heading 1"/>
    <w:basedOn w:val="Normal"/>
    <w:next w:val="BodyText"/>
    <w:link w:val="Heading1Char"/>
    <w:qFormat/>
    <w:rsid w:val="00596EA4"/>
    <w:pPr>
      <w:keepNext/>
      <w:numPr>
        <w:numId w:val="3"/>
      </w:numPr>
      <w:tabs>
        <w:tab w:val="clear" w:pos="567"/>
      </w:tabs>
      <w:spacing w:after="240" w:line="240" w:lineRule="atLeast"/>
      <w:outlineLvl w:val="0"/>
    </w:pPr>
    <w:rPr>
      <w:rFonts w:ascii="Arial" w:eastAsia="Times New Roman" w:hAnsi="Arial"/>
      <w:b/>
      <w:kern w:val="28"/>
      <w:sz w:val="20"/>
      <w:szCs w:val="20"/>
      <w:lang w:eastAsia="en-AU"/>
    </w:rPr>
  </w:style>
  <w:style w:type="paragraph" w:styleId="Heading2">
    <w:name w:val="heading 2"/>
    <w:basedOn w:val="Normal"/>
    <w:next w:val="BodyText"/>
    <w:link w:val="Heading2Char"/>
    <w:qFormat/>
    <w:rsid w:val="00596EA4"/>
    <w:pPr>
      <w:keepNext/>
      <w:numPr>
        <w:ilvl w:val="1"/>
        <w:numId w:val="3"/>
      </w:numPr>
      <w:tabs>
        <w:tab w:val="clear" w:pos="567"/>
      </w:tabs>
      <w:spacing w:after="240" w:line="240" w:lineRule="atLeast"/>
      <w:outlineLvl w:val="1"/>
    </w:pPr>
    <w:rPr>
      <w:rFonts w:ascii="Arial" w:eastAsia="Times New Roman" w:hAnsi="Arial"/>
      <w:sz w:val="20"/>
      <w:szCs w:val="20"/>
      <w:lang w:eastAsia="en-AU"/>
    </w:rPr>
  </w:style>
  <w:style w:type="paragraph" w:styleId="Heading3">
    <w:name w:val="heading 3"/>
    <w:basedOn w:val="Normal"/>
    <w:link w:val="Heading3Char"/>
    <w:qFormat/>
    <w:rsid w:val="00596EA4"/>
    <w:pPr>
      <w:numPr>
        <w:ilvl w:val="2"/>
        <w:numId w:val="3"/>
      </w:numPr>
      <w:tabs>
        <w:tab w:val="clear" w:pos="567"/>
      </w:tabs>
      <w:spacing w:after="240" w:line="240" w:lineRule="atLeast"/>
      <w:outlineLvl w:val="2"/>
    </w:pPr>
    <w:rPr>
      <w:rFonts w:ascii="Arial" w:eastAsia="Times New Roman" w:hAnsi="Arial"/>
      <w:sz w:val="20"/>
      <w:szCs w:val="20"/>
      <w:lang w:eastAsia="en-AU"/>
    </w:rPr>
  </w:style>
  <w:style w:type="paragraph" w:styleId="Heading4">
    <w:name w:val="heading 4"/>
    <w:basedOn w:val="BodyText"/>
    <w:link w:val="Heading4Char"/>
    <w:qFormat/>
    <w:rsid w:val="00596EA4"/>
    <w:pPr>
      <w:widowControl/>
      <w:numPr>
        <w:ilvl w:val="3"/>
        <w:numId w:val="3"/>
      </w:numPr>
      <w:tabs>
        <w:tab w:val="clear" w:pos="567"/>
      </w:tabs>
      <w:spacing w:after="240" w:line="240" w:lineRule="atLeast"/>
      <w:outlineLvl w:val="3"/>
    </w:pPr>
    <w:rPr>
      <w:rFonts w:ascii="Arial" w:eastAsia="Times New Roman" w:hAnsi="Arial" w:cs="Times New Roman"/>
      <w:sz w:val="20"/>
      <w:szCs w:val="20"/>
      <w:lang w:val="en-AU" w:eastAsia="en-AU"/>
    </w:rPr>
  </w:style>
  <w:style w:type="paragraph" w:styleId="Heading5">
    <w:name w:val="heading 5"/>
    <w:basedOn w:val="BodyText"/>
    <w:link w:val="Heading5Char"/>
    <w:qFormat/>
    <w:rsid w:val="00596EA4"/>
    <w:pPr>
      <w:widowControl/>
      <w:numPr>
        <w:ilvl w:val="4"/>
        <w:numId w:val="3"/>
      </w:numPr>
      <w:tabs>
        <w:tab w:val="clear" w:pos="567"/>
      </w:tabs>
      <w:spacing w:after="240" w:line="240" w:lineRule="atLeast"/>
      <w:outlineLvl w:val="4"/>
    </w:pPr>
    <w:rPr>
      <w:rFonts w:ascii="Arial" w:eastAsia="Times New Roman" w:hAnsi="Arial" w:cs="Times New Roman"/>
      <w:sz w:val="20"/>
      <w:szCs w:val="20"/>
      <w:lang w:val="en-AU" w:eastAsia="en-AU"/>
    </w:rPr>
  </w:style>
  <w:style w:type="paragraph" w:styleId="Heading6">
    <w:name w:val="heading 6"/>
    <w:basedOn w:val="BodyText"/>
    <w:next w:val="BodyText"/>
    <w:link w:val="Heading6Char"/>
    <w:semiHidden/>
    <w:qFormat/>
    <w:rsid w:val="00596EA4"/>
    <w:pPr>
      <w:widowControl/>
      <w:numPr>
        <w:ilvl w:val="5"/>
        <w:numId w:val="3"/>
      </w:numPr>
      <w:tabs>
        <w:tab w:val="clear" w:pos="0"/>
      </w:tabs>
      <w:spacing w:after="240" w:line="240" w:lineRule="atLeast"/>
      <w:outlineLvl w:val="5"/>
    </w:pPr>
    <w:rPr>
      <w:rFonts w:ascii="Arial" w:eastAsia="Times New Roman" w:hAnsi="Arial" w:cs="Times New Roman"/>
      <w:sz w:val="20"/>
      <w:szCs w:val="20"/>
      <w:lang w:val="en-AU" w:eastAsia="en-AU"/>
    </w:rPr>
  </w:style>
  <w:style w:type="paragraph" w:styleId="Heading7">
    <w:name w:val="heading 7"/>
    <w:basedOn w:val="BodyText"/>
    <w:next w:val="BodyText"/>
    <w:link w:val="Heading7Char"/>
    <w:semiHidden/>
    <w:qFormat/>
    <w:rsid w:val="00596EA4"/>
    <w:pPr>
      <w:widowControl/>
      <w:numPr>
        <w:ilvl w:val="6"/>
        <w:numId w:val="3"/>
      </w:numPr>
      <w:tabs>
        <w:tab w:val="clear" w:pos="0"/>
      </w:tabs>
      <w:spacing w:after="240" w:line="240" w:lineRule="atLeast"/>
      <w:outlineLvl w:val="6"/>
    </w:pPr>
    <w:rPr>
      <w:rFonts w:ascii="Arial" w:eastAsia="Times New Roman" w:hAnsi="Arial" w:cs="Times New Roman"/>
      <w:sz w:val="20"/>
      <w:szCs w:val="20"/>
      <w:lang w:val="en-AU" w:eastAsia="en-AU"/>
    </w:rPr>
  </w:style>
  <w:style w:type="paragraph" w:styleId="Heading8">
    <w:name w:val="heading 8"/>
    <w:basedOn w:val="BodyText"/>
    <w:next w:val="BodyText"/>
    <w:link w:val="Heading8Char"/>
    <w:semiHidden/>
    <w:qFormat/>
    <w:rsid w:val="00596EA4"/>
    <w:pPr>
      <w:widowControl/>
      <w:numPr>
        <w:ilvl w:val="7"/>
        <w:numId w:val="3"/>
      </w:numPr>
      <w:tabs>
        <w:tab w:val="clear" w:pos="0"/>
      </w:tabs>
      <w:spacing w:after="240" w:line="240" w:lineRule="atLeast"/>
      <w:outlineLvl w:val="7"/>
    </w:pPr>
    <w:rPr>
      <w:rFonts w:ascii="Arial" w:eastAsia="Times New Roman" w:hAnsi="Arial" w:cs="Times New Roman"/>
      <w:sz w:val="20"/>
      <w:szCs w:val="20"/>
      <w:lang w:val="en-AU" w:eastAsia="en-AU"/>
    </w:rPr>
  </w:style>
  <w:style w:type="paragraph" w:styleId="Heading9">
    <w:name w:val="heading 9"/>
    <w:basedOn w:val="BodyText"/>
    <w:next w:val="BodyText"/>
    <w:link w:val="Heading9Char"/>
    <w:semiHidden/>
    <w:qFormat/>
    <w:rsid w:val="00596EA4"/>
    <w:pPr>
      <w:widowControl/>
      <w:numPr>
        <w:ilvl w:val="8"/>
        <w:numId w:val="3"/>
      </w:numPr>
      <w:tabs>
        <w:tab w:val="clear" w:pos="0"/>
      </w:tabs>
      <w:spacing w:after="240" w:line="240" w:lineRule="atLeast"/>
      <w:outlineLvl w:val="8"/>
    </w:pPr>
    <w:rPr>
      <w:rFonts w:ascii="Arial" w:eastAsia="Times New Roman" w:hAnsi="Arial" w:cs="Times New Roman"/>
      <w:sz w:val="20"/>
      <w:szCs w:val="20"/>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5477"/>
    <w:pPr>
      <w:tabs>
        <w:tab w:val="center" w:pos="4513"/>
        <w:tab w:val="right" w:pos="9026"/>
      </w:tabs>
    </w:pPr>
  </w:style>
  <w:style w:type="character" w:customStyle="1" w:styleId="HeaderChar">
    <w:name w:val="Header Char"/>
    <w:basedOn w:val="DefaultParagraphFont"/>
    <w:link w:val="Header"/>
    <w:uiPriority w:val="99"/>
    <w:rsid w:val="00015477"/>
  </w:style>
  <w:style w:type="paragraph" w:styleId="Footer">
    <w:name w:val="footer"/>
    <w:basedOn w:val="Normal"/>
    <w:link w:val="FooterChar"/>
    <w:uiPriority w:val="99"/>
    <w:unhideWhenUsed/>
    <w:rsid w:val="00015477"/>
    <w:pPr>
      <w:tabs>
        <w:tab w:val="center" w:pos="4513"/>
        <w:tab w:val="right" w:pos="9026"/>
      </w:tabs>
    </w:pPr>
  </w:style>
  <w:style w:type="character" w:customStyle="1" w:styleId="FooterChar">
    <w:name w:val="Footer Char"/>
    <w:basedOn w:val="DefaultParagraphFont"/>
    <w:link w:val="Footer"/>
    <w:uiPriority w:val="99"/>
    <w:rsid w:val="00015477"/>
  </w:style>
  <w:style w:type="character" w:styleId="Hyperlink">
    <w:name w:val="Hyperlink"/>
    <w:basedOn w:val="DefaultParagraphFont"/>
    <w:uiPriority w:val="99"/>
    <w:rsid w:val="00F73F79"/>
    <w:rPr>
      <w:color w:val="0000FF"/>
      <w:u w:val="single"/>
    </w:rPr>
  </w:style>
  <w:style w:type="paragraph" w:styleId="ListParagraph">
    <w:name w:val="List Paragraph"/>
    <w:basedOn w:val="Normal"/>
    <w:uiPriority w:val="34"/>
    <w:qFormat/>
    <w:rsid w:val="00F73F79"/>
    <w:pPr>
      <w:ind w:left="720"/>
    </w:pPr>
    <w:rPr>
      <w:rFonts w:ascii="Calibri" w:eastAsia="Calibri" w:hAnsi="Calibri"/>
      <w:sz w:val="22"/>
      <w:szCs w:val="22"/>
      <w:lang w:val="en-US" w:eastAsia="en-US"/>
    </w:rPr>
  </w:style>
  <w:style w:type="paragraph" w:customStyle="1" w:styleId="Pa2">
    <w:name w:val="Pa2"/>
    <w:basedOn w:val="Normal"/>
    <w:uiPriority w:val="99"/>
    <w:rsid w:val="00F73F79"/>
    <w:pPr>
      <w:autoSpaceDE w:val="0"/>
      <w:autoSpaceDN w:val="0"/>
      <w:spacing w:line="241" w:lineRule="atLeast"/>
    </w:pPr>
    <w:rPr>
      <w:rFonts w:ascii="UHOAX A+ Myriad Pro" w:eastAsia="Calibri" w:hAnsi="UHOAX A+ Myriad Pro"/>
      <w:lang w:eastAsia="en-AU"/>
    </w:rPr>
  </w:style>
  <w:style w:type="table" w:customStyle="1" w:styleId="ProposalTable">
    <w:name w:val="Proposal Table"/>
    <w:basedOn w:val="TableNormal"/>
    <w:uiPriority w:val="99"/>
    <w:rsid w:val="002310D1"/>
    <w:pPr>
      <w:spacing w:before="120" w:after="120" w:line="240" w:lineRule="auto"/>
    </w:pPr>
    <w:rPr>
      <w:color w:val="404040" w:themeColor="text1" w:themeTint="BF"/>
      <w:sz w:val="18"/>
      <w:szCs w:val="18"/>
      <w:lang w:val="en-US" w:eastAsia="ja-JP"/>
    </w:rPr>
    <w:tblP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left w:w="144" w:type="dxa"/>
        <w:right w:w="144" w:type="dxa"/>
      </w:tblCellMar>
    </w:tblPr>
    <w:tblStylePr w:type="firstRow">
      <w:pPr>
        <w:keepNext/>
        <w:wordWrap/>
      </w:pPr>
      <w:rPr>
        <w:b/>
      </w:rPr>
      <w:tblPr/>
      <w:tcPr>
        <w:shd w:val="clear" w:color="auto" w:fill="DEEAF6" w:themeFill="accent1" w:themeFillTint="33"/>
        <w:vAlign w:val="bottom"/>
      </w:tcPr>
    </w:tblStylePr>
    <w:tblStylePr w:type="lastRow">
      <w:rPr>
        <w:b/>
        <w:color w:val="FFFFFF" w:themeColor="background1"/>
      </w:rPr>
      <w:tblPr/>
      <w:tcPr>
        <w:shd w:val="clear" w:color="auto" w:fill="5B9BD5" w:themeFill="accent1"/>
      </w:tcPr>
    </w:tblStylePr>
  </w:style>
  <w:style w:type="paragraph" w:styleId="BalloonText">
    <w:name w:val="Balloon Text"/>
    <w:basedOn w:val="Normal"/>
    <w:link w:val="BalloonTextChar"/>
    <w:uiPriority w:val="99"/>
    <w:semiHidden/>
    <w:unhideWhenUsed/>
    <w:rsid w:val="00A9133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1336"/>
    <w:rPr>
      <w:rFonts w:ascii="Segoe UI" w:eastAsia="SimSun" w:hAnsi="Segoe UI" w:cs="Segoe UI"/>
      <w:sz w:val="18"/>
      <w:szCs w:val="18"/>
      <w:lang w:eastAsia="zh-CN"/>
    </w:rPr>
  </w:style>
  <w:style w:type="paragraph" w:styleId="EnvelopeReturn">
    <w:name w:val="envelope return"/>
    <w:basedOn w:val="Normal"/>
    <w:rsid w:val="00D644BE"/>
    <w:rPr>
      <w:rFonts w:ascii="EngraversGothic BT" w:eastAsia="Times New Roman" w:hAnsi="EngraversGothic BT" w:cs="Arial"/>
      <w:color w:val="000080"/>
      <w:sz w:val="20"/>
      <w:szCs w:val="20"/>
      <w:lang w:val="en-US"/>
    </w:rPr>
  </w:style>
  <w:style w:type="paragraph" w:styleId="NoSpacing">
    <w:name w:val="No Spacing"/>
    <w:uiPriority w:val="1"/>
    <w:qFormat/>
    <w:rsid w:val="00D644BE"/>
    <w:pPr>
      <w:spacing w:after="0" w:line="240" w:lineRule="auto"/>
    </w:pPr>
    <w:rPr>
      <w:rFonts w:ascii="Arial" w:eastAsia="Times New Roman" w:hAnsi="Arial" w:cs="Arial"/>
      <w:color w:val="000080"/>
      <w:sz w:val="24"/>
      <w:szCs w:val="24"/>
      <w:lang w:val="en-US" w:eastAsia="zh-CN"/>
    </w:rPr>
  </w:style>
  <w:style w:type="paragraph" w:styleId="NormalWeb">
    <w:name w:val="Normal (Web)"/>
    <w:basedOn w:val="Normal"/>
    <w:uiPriority w:val="99"/>
    <w:rsid w:val="009F1950"/>
    <w:pPr>
      <w:spacing w:before="100" w:beforeAutospacing="1" w:after="100" w:afterAutospacing="1"/>
    </w:pPr>
    <w:rPr>
      <w:rFonts w:eastAsia="Times New Roman"/>
      <w:lang w:eastAsia="en-AU"/>
    </w:rPr>
  </w:style>
  <w:style w:type="paragraph" w:customStyle="1" w:styleId="Default">
    <w:name w:val="Default"/>
    <w:rsid w:val="009F1950"/>
    <w:pPr>
      <w:autoSpaceDE w:val="0"/>
      <w:autoSpaceDN w:val="0"/>
      <w:adjustRightInd w:val="0"/>
      <w:spacing w:after="0" w:line="240" w:lineRule="auto"/>
    </w:pPr>
    <w:rPr>
      <w:rFonts w:ascii="Calibri" w:hAnsi="Calibri" w:cs="Calibri"/>
      <w:color w:val="000000"/>
      <w:sz w:val="24"/>
      <w:szCs w:val="24"/>
    </w:rPr>
  </w:style>
  <w:style w:type="paragraph" w:styleId="BodyText">
    <w:name w:val="Body Text"/>
    <w:basedOn w:val="Normal"/>
    <w:link w:val="BodyTextChar"/>
    <w:uiPriority w:val="1"/>
    <w:qFormat/>
    <w:rsid w:val="009F1950"/>
    <w:pPr>
      <w:widowControl w:val="0"/>
      <w:ind w:left="120"/>
    </w:pPr>
    <w:rPr>
      <w:rFonts w:ascii="Arial Narrow" w:eastAsia="Arial Narrow" w:hAnsi="Arial Narrow" w:cstheme="minorBidi"/>
      <w:sz w:val="22"/>
      <w:szCs w:val="22"/>
      <w:lang w:val="en-US" w:eastAsia="en-US"/>
    </w:rPr>
  </w:style>
  <w:style w:type="character" w:customStyle="1" w:styleId="BodyTextChar">
    <w:name w:val="Body Text Char"/>
    <w:basedOn w:val="DefaultParagraphFont"/>
    <w:link w:val="BodyText"/>
    <w:uiPriority w:val="1"/>
    <w:rsid w:val="009F1950"/>
    <w:rPr>
      <w:rFonts w:ascii="Arial Narrow" w:eastAsia="Arial Narrow" w:hAnsi="Arial Narrow"/>
      <w:lang w:val="en-US"/>
    </w:rPr>
  </w:style>
  <w:style w:type="character" w:customStyle="1" w:styleId="Heading1Char">
    <w:name w:val="Heading 1 Char"/>
    <w:basedOn w:val="DefaultParagraphFont"/>
    <w:link w:val="Heading1"/>
    <w:rsid w:val="00596EA4"/>
    <w:rPr>
      <w:rFonts w:ascii="Arial" w:eastAsia="Times New Roman" w:hAnsi="Arial" w:cs="Times New Roman"/>
      <w:b/>
      <w:kern w:val="28"/>
      <w:sz w:val="20"/>
      <w:szCs w:val="20"/>
      <w:lang w:eastAsia="en-AU"/>
    </w:rPr>
  </w:style>
  <w:style w:type="character" w:customStyle="1" w:styleId="Heading2Char">
    <w:name w:val="Heading 2 Char"/>
    <w:basedOn w:val="DefaultParagraphFont"/>
    <w:link w:val="Heading2"/>
    <w:rsid w:val="00596EA4"/>
    <w:rPr>
      <w:rFonts w:ascii="Arial" w:eastAsia="Times New Roman" w:hAnsi="Arial" w:cs="Times New Roman"/>
      <w:sz w:val="20"/>
      <w:szCs w:val="20"/>
      <w:lang w:eastAsia="en-AU"/>
    </w:rPr>
  </w:style>
  <w:style w:type="character" w:customStyle="1" w:styleId="Heading3Char">
    <w:name w:val="Heading 3 Char"/>
    <w:basedOn w:val="DefaultParagraphFont"/>
    <w:link w:val="Heading3"/>
    <w:rsid w:val="00596EA4"/>
    <w:rPr>
      <w:rFonts w:ascii="Arial" w:eastAsia="Times New Roman" w:hAnsi="Arial" w:cs="Times New Roman"/>
      <w:sz w:val="20"/>
      <w:szCs w:val="20"/>
      <w:lang w:eastAsia="en-AU"/>
    </w:rPr>
  </w:style>
  <w:style w:type="character" w:customStyle="1" w:styleId="Heading4Char">
    <w:name w:val="Heading 4 Char"/>
    <w:basedOn w:val="DefaultParagraphFont"/>
    <w:link w:val="Heading4"/>
    <w:rsid w:val="00596EA4"/>
    <w:rPr>
      <w:rFonts w:ascii="Arial" w:eastAsia="Times New Roman" w:hAnsi="Arial" w:cs="Times New Roman"/>
      <w:sz w:val="20"/>
      <w:szCs w:val="20"/>
      <w:lang w:eastAsia="en-AU"/>
    </w:rPr>
  </w:style>
  <w:style w:type="character" w:customStyle="1" w:styleId="Heading5Char">
    <w:name w:val="Heading 5 Char"/>
    <w:basedOn w:val="DefaultParagraphFont"/>
    <w:link w:val="Heading5"/>
    <w:rsid w:val="00596EA4"/>
    <w:rPr>
      <w:rFonts w:ascii="Arial" w:eastAsia="Times New Roman" w:hAnsi="Arial" w:cs="Times New Roman"/>
      <w:sz w:val="20"/>
      <w:szCs w:val="20"/>
      <w:lang w:eastAsia="en-AU"/>
    </w:rPr>
  </w:style>
  <w:style w:type="character" w:customStyle="1" w:styleId="Heading6Char">
    <w:name w:val="Heading 6 Char"/>
    <w:basedOn w:val="DefaultParagraphFont"/>
    <w:link w:val="Heading6"/>
    <w:semiHidden/>
    <w:rsid w:val="00596EA4"/>
    <w:rPr>
      <w:rFonts w:ascii="Arial" w:eastAsia="Times New Roman" w:hAnsi="Arial" w:cs="Times New Roman"/>
      <w:sz w:val="20"/>
      <w:szCs w:val="20"/>
      <w:lang w:eastAsia="en-AU"/>
    </w:rPr>
  </w:style>
  <w:style w:type="character" w:customStyle="1" w:styleId="Heading7Char">
    <w:name w:val="Heading 7 Char"/>
    <w:basedOn w:val="DefaultParagraphFont"/>
    <w:link w:val="Heading7"/>
    <w:semiHidden/>
    <w:rsid w:val="00596EA4"/>
    <w:rPr>
      <w:rFonts w:ascii="Arial" w:eastAsia="Times New Roman" w:hAnsi="Arial" w:cs="Times New Roman"/>
      <w:sz w:val="20"/>
      <w:szCs w:val="20"/>
      <w:lang w:eastAsia="en-AU"/>
    </w:rPr>
  </w:style>
  <w:style w:type="character" w:customStyle="1" w:styleId="Heading8Char">
    <w:name w:val="Heading 8 Char"/>
    <w:basedOn w:val="DefaultParagraphFont"/>
    <w:link w:val="Heading8"/>
    <w:semiHidden/>
    <w:rsid w:val="00596EA4"/>
    <w:rPr>
      <w:rFonts w:ascii="Arial" w:eastAsia="Times New Roman" w:hAnsi="Arial" w:cs="Times New Roman"/>
      <w:sz w:val="20"/>
      <w:szCs w:val="20"/>
      <w:lang w:eastAsia="en-AU"/>
    </w:rPr>
  </w:style>
  <w:style w:type="character" w:customStyle="1" w:styleId="Heading9Char">
    <w:name w:val="Heading 9 Char"/>
    <w:basedOn w:val="DefaultParagraphFont"/>
    <w:link w:val="Heading9"/>
    <w:semiHidden/>
    <w:rsid w:val="00596EA4"/>
    <w:rPr>
      <w:rFonts w:ascii="Arial" w:eastAsia="Times New Roman" w:hAnsi="Arial" w:cs="Times New Roman"/>
      <w:sz w:val="20"/>
      <w:szCs w:val="20"/>
      <w:lang w:eastAsia="en-AU"/>
    </w:rPr>
  </w:style>
  <w:style w:type="paragraph" w:customStyle="1" w:styleId="Heading">
    <w:name w:val="Heading"/>
    <w:basedOn w:val="Heading1"/>
    <w:next w:val="BodyText"/>
    <w:qFormat/>
    <w:rsid w:val="00596EA4"/>
    <w:pPr>
      <w:numPr>
        <w:numId w:val="0"/>
      </w:numPr>
    </w:pPr>
  </w:style>
  <w:style w:type="paragraph" w:styleId="ListBullet">
    <w:name w:val="List Bullet"/>
    <w:basedOn w:val="BodyText"/>
    <w:qFormat/>
    <w:rsid w:val="00596EA4"/>
    <w:pPr>
      <w:widowControl/>
      <w:numPr>
        <w:numId w:val="4"/>
      </w:numPr>
      <w:spacing w:after="240" w:line="240" w:lineRule="atLeast"/>
    </w:pPr>
    <w:rPr>
      <w:rFonts w:ascii="Arial" w:eastAsia="Times New Roman" w:hAnsi="Arial" w:cs="Times New Roman"/>
      <w:sz w:val="20"/>
      <w:szCs w:val="20"/>
      <w:lang w:val="en-AU" w:eastAsia="en-AU"/>
    </w:rPr>
  </w:style>
  <w:style w:type="character" w:customStyle="1" w:styleId="apple-converted-space">
    <w:name w:val="apple-converted-space"/>
    <w:basedOn w:val="DefaultParagraphFont"/>
    <w:rsid w:val="006F1065"/>
  </w:style>
  <w:style w:type="paragraph" w:customStyle="1" w:styleId="BoxText">
    <w:name w:val="Box Text"/>
    <w:basedOn w:val="Normal"/>
    <w:link w:val="BoxTextChar"/>
    <w:rsid w:val="00366642"/>
    <w:pPr>
      <w:spacing w:before="120" w:after="120"/>
      <w:jc w:val="both"/>
    </w:pPr>
    <w:rPr>
      <w:rFonts w:asciiTheme="minorHAnsi" w:eastAsia="Times New Roman" w:hAnsiTheme="minorHAnsi" w:cs="Arial"/>
      <w:color w:val="000000"/>
      <w:sz w:val="22"/>
      <w:szCs w:val="20"/>
      <w:lang w:eastAsia="en-AU"/>
    </w:rPr>
  </w:style>
  <w:style w:type="paragraph" w:customStyle="1" w:styleId="Bullet">
    <w:name w:val="Bullet"/>
    <w:basedOn w:val="Normal"/>
    <w:link w:val="BulletChar"/>
    <w:qFormat/>
    <w:rsid w:val="00366642"/>
    <w:pPr>
      <w:numPr>
        <w:numId w:val="5"/>
      </w:numPr>
      <w:tabs>
        <w:tab w:val="left" w:pos="425"/>
      </w:tabs>
      <w:spacing w:before="120" w:after="240"/>
      <w:ind w:left="426" w:hanging="426"/>
    </w:pPr>
    <w:rPr>
      <w:rFonts w:asciiTheme="minorHAnsi" w:eastAsia="Times New Roman" w:hAnsiTheme="minorHAnsi"/>
      <w:color w:val="000000"/>
      <w:sz w:val="22"/>
      <w:szCs w:val="20"/>
      <w:lang w:eastAsia="en-AU"/>
    </w:rPr>
  </w:style>
  <w:style w:type="character" w:customStyle="1" w:styleId="BoxTextChar">
    <w:name w:val="Box Text Char"/>
    <w:basedOn w:val="DefaultParagraphFont"/>
    <w:link w:val="BoxText"/>
    <w:rsid w:val="00366642"/>
    <w:rPr>
      <w:rFonts w:eastAsia="Times New Roman" w:cs="Arial"/>
      <w:color w:val="000000"/>
      <w:szCs w:val="20"/>
      <w:lang w:eastAsia="en-AU"/>
    </w:rPr>
  </w:style>
  <w:style w:type="character" w:customStyle="1" w:styleId="BulletChar">
    <w:name w:val="Bullet Char"/>
    <w:basedOn w:val="BoxTextChar"/>
    <w:link w:val="Bullet"/>
    <w:rsid w:val="00366642"/>
    <w:rPr>
      <w:rFonts w:eastAsia="Times New Roman" w:cs="Times New Roman"/>
      <w:color w:val="000000"/>
      <w:szCs w:val="20"/>
      <w:lang w:eastAsia="en-AU"/>
    </w:rPr>
  </w:style>
  <w:style w:type="paragraph" w:customStyle="1" w:styleId="BoxHeading-KeyObservation">
    <w:name w:val="Box Heading - Key Observation"/>
    <w:basedOn w:val="Normal"/>
    <w:qFormat/>
    <w:rsid w:val="00366642"/>
    <w:pPr>
      <w:widowControl w:val="0"/>
      <w:tabs>
        <w:tab w:val="left" w:pos="992"/>
      </w:tabs>
      <w:spacing w:before="120" w:after="120"/>
      <w:ind w:left="993" w:hanging="993"/>
      <w:jc w:val="both"/>
    </w:pPr>
    <w:rPr>
      <w:rFonts w:asciiTheme="minorHAnsi" w:eastAsia="Times New Roman" w:hAnsiTheme="minorHAnsi"/>
      <w:b/>
      <w:color w:val="ED7D31" w:themeColor="accent2"/>
      <w:szCs w:val="22"/>
      <w:lang w:eastAsia="en-AU"/>
    </w:rPr>
  </w:style>
  <w:style w:type="paragraph" w:customStyle="1" w:styleId="Normal-Highlight">
    <w:name w:val="Normal - Highlight"/>
    <w:basedOn w:val="Normal"/>
    <w:rsid w:val="00366642"/>
    <w:pPr>
      <w:spacing w:before="120" w:after="240"/>
      <w:ind w:left="709" w:right="567"/>
      <w:jc w:val="both"/>
    </w:pPr>
    <w:rPr>
      <w:rFonts w:ascii="Arial" w:eastAsia="Times New Roman" w:hAnsi="Arial" w:cs="Arial"/>
      <w:b/>
      <w:color w:val="4472C4" w:themeColor="accent5"/>
      <w:sz w:val="21"/>
      <w:szCs w:val="21"/>
      <w:lang w:eastAsia="en-AU"/>
    </w:rPr>
  </w:style>
  <w:style w:type="paragraph" w:customStyle="1" w:styleId="Bullet-Highlight">
    <w:name w:val="Bullet - Highlight"/>
    <w:basedOn w:val="Bullet"/>
    <w:rsid w:val="00366642"/>
    <w:pPr>
      <w:numPr>
        <w:numId w:val="6"/>
      </w:numPr>
      <w:tabs>
        <w:tab w:val="num" w:pos="360"/>
        <w:tab w:val="num" w:pos="1134"/>
      </w:tabs>
      <w:spacing w:after="200" w:line="260" w:lineRule="exact"/>
      <w:ind w:left="1134" w:right="567" w:hanging="425"/>
      <w:jc w:val="both"/>
    </w:pPr>
    <w:rPr>
      <w:rFonts w:ascii="Arial" w:hAnsi="Arial" w:cs="Arial"/>
      <w:b/>
      <w:color w:val="4472C4" w:themeColor="accent5"/>
      <w:sz w:val="21"/>
      <w:szCs w:val="21"/>
    </w:rPr>
  </w:style>
  <w:style w:type="paragraph" w:customStyle="1" w:styleId="BoxDashIndent">
    <w:name w:val="Box Dash Indent"/>
    <w:basedOn w:val="Normal"/>
    <w:rsid w:val="00366642"/>
    <w:pPr>
      <w:widowControl w:val="0"/>
      <w:numPr>
        <w:ilvl w:val="1"/>
        <w:numId w:val="5"/>
      </w:numPr>
      <w:spacing w:before="120" w:after="120"/>
      <w:jc w:val="both"/>
    </w:pPr>
    <w:rPr>
      <w:rFonts w:asciiTheme="minorHAnsi" w:eastAsia="Times New Roman" w:hAnsiTheme="minorHAnsi" w:cs="Arial"/>
      <w:color w:val="000000"/>
      <w:sz w:val="22"/>
      <w:szCs w:val="22"/>
      <w:lang w:eastAsia="en-AU"/>
    </w:rPr>
  </w:style>
  <w:style w:type="character" w:styleId="CommentReference">
    <w:name w:val="annotation reference"/>
    <w:basedOn w:val="DefaultParagraphFont"/>
    <w:semiHidden/>
    <w:unhideWhenUsed/>
    <w:rsid w:val="00763239"/>
    <w:rPr>
      <w:sz w:val="16"/>
      <w:szCs w:val="16"/>
    </w:rPr>
  </w:style>
  <w:style w:type="paragraph" w:styleId="CommentText">
    <w:name w:val="annotation text"/>
    <w:basedOn w:val="Normal"/>
    <w:link w:val="CommentTextChar"/>
    <w:semiHidden/>
    <w:unhideWhenUsed/>
    <w:rsid w:val="00763239"/>
    <w:rPr>
      <w:sz w:val="20"/>
      <w:szCs w:val="20"/>
    </w:rPr>
  </w:style>
  <w:style w:type="character" w:customStyle="1" w:styleId="CommentTextChar">
    <w:name w:val="Comment Text Char"/>
    <w:basedOn w:val="DefaultParagraphFont"/>
    <w:link w:val="CommentText"/>
    <w:uiPriority w:val="99"/>
    <w:semiHidden/>
    <w:rsid w:val="00763239"/>
    <w:rPr>
      <w:rFonts w:ascii="Times New Roman" w:eastAsia="SimSun" w:hAnsi="Times New Roman" w:cs="Times New Roman"/>
      <w:sz w:val="20"/>
      <w:szCs w:val="20"/>
      <w:lang w:eastAsia="zh-CN"/>
    </w:rPr>
  </w:style>
  <w:style w:type="paragraph" w:styleId="CommentSubject">
    <w:name w:val="annotation subject"/>
    <w:basedOn w:val="CommentText"/>
    <w:next w:val="CommentText"/>
    <w:link w:val="CommentSubjectChar"/>
    <w:uiPriority w:val="99"/>
    <w:semiHidden/>
    <w:unhideWhenUsed/>
    <w:rsid w:val="00763239"/>
    <w:rPr>
      <w:b/>
      <w:bCs/>
    </w:rPr>
  </w:style>
  <w:style w:type="character" w:customStyle="1" w:styleId="CommentSubjectChar">
    <w:name w:val="Comment Subject Char"/>
    <w:basedOn w:val="CommentTextChar"/>
    <w:link w:val="CommentSubject"/>
    <w:uiPriority w:val="99"/>
    <w:semiHidden/>
    <w:rsid w:val="00763239"/>
    <w:rPr>
      <w:rFonts w:ascii="Times New Roman" w:eastAsia="SimSun" w:hAnsi="Times New Roman" w:cs="Times New Roman"/>
      <w:b/>
      <w:bCs/>
      <w:sz w:val="20"/>
      <w:szCs w:val="20"/>
      <w:lang w:eastAsia="zh-CN"/>
    </w:rPr>
  </w:style>
  <w:style w:type="paragraph" w:styleId="Revision">
    <w:name w:val="Revision"/>
    <w:hidden/>
    <w:uiPriority w:val="99"/>
    <w:semiHidden/>
    <w:rsid w:val="00763239"/>
    <w:pPr>
      <w:spacing w:after="0" w:line="240" w:lineRule="auto"/>
    </w:pPr>
    <w:rPr>
      <w:rFonts w:ascii="Times New Roman" w:eastAsia="SimSun" w:hAnsi="Times New Roman" w:cs="Times New Roman"/>
      <w:sz w:val="24"/>
      <w:szCs w:val="24"/>
      <w:lang w:eastAsia="zh-CN"/>
    </w:rPr>
  </w:style>
  <w:style w:type="paragraph" w:styleId="ListBullet4">
    <w:name w:val="List Bullet 4"/>
    <w:basedOn w:val="Normal"/>
    <w:semiHidden/>
    <w:rsid w:val="002F01E4"/>
    <w:pPr>
      <w:numPr>
        <w:numId w:val="8"/>
      </w:numPr>
      <w:tabs>
        <w:tab w:val="clear" w:pos="1209"/>
        <w:tab w:val="num" w:pos="1287"/>
      </w:tabs>
      <w:spacing w:line="240" w:lineRule="atLeast"/>
      <w:ind w:left="1287" w:hanging="567"/>
    </w:pPr>
    <w:rPr>
      <w:rFonts w:ascii="Arial" w:eastAsia="Times New Roman" w:hAnsi="Arial"/>
      <w:sz w:val="20"/>
      <w:szCs w:val="20"/>
      <w:lang w:eastAsia="en-AU"/>
    </w:rPr>
  </w:style>
  <w:style w:type="table" w:styleId="TableGrid">
    <w:name w:val="Table Grid"/>
    <w:basedOn w:val="TableNormal"/>
    <w:uiPriority w:val="39"/>
    <w:rsid w:val="00F16B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envelope return" w:uiPriority="0"/>
    <w:lsdException w:name="annotation reference" w:uiPriority="0"/>
    <w:lsdException w:name="List Bullet" w:uiPriority="0" w:qFormat="1"/>
    <w:lsdException w:name="List Bullet 4"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3F79"/>
    <w:pPr>
      <w:spacing w:after="0" w:line="240" w:lineRule="auto"/>
    </w:pPr>
    <w:rPr>
      <w:rFonts w:ascii="Times New Roman" w:eastAsia="SimSun" w:hAnsi="Times New Roman" w:cs="Times New Roman"/>
      <w:sz w:val="24"/>
      <w:szCs w:val="24"/>
      <w:lang w:eastAsia="zh-CN"/>
    </w:rPr>
  </w:style>
  <w:style w:type="paragraph" w:styleId="Heading1">
    <w:name w:val="heading 1"/>
    <w:basedOn w:val="Normal"/>
    <w:next w:val="BodyText"/>
    <w:link w:val="Heading1Char"/>
    <w:qFormat/>
    <w:rsid w:val="00596EA4"/>
    <w:pPr>
      <w:keepNext/>
      <w:numPr>
        <w:numId w:val="3"/>
      </w:numPr>
      <w:tabs>
        <w:tab w:val="clear" w:pos="567"/>
      </w:tabs>
      <w:spacing w:after="240" w:line="240" w:lineRule="atLeast"/>
      <w:outlineLvl w:val="0"/>
    </w:pPr>
    <w:rPr>
      <w:rFonts w:ascii="Arial" w:eastAsia="Times New Roman" w:hAnsi="Arial"/>
      <w:b/>
      <w:kern w:val="28"/>
      <w:sz w:val="20"/>
      <w:szCs w:val="20"/>
      <w:lang w:eastAsia="en-AU"/>
    </w:rPr>
  </w:style>
  <w:style w:type="paragraph" w:styleId="Heading2">
    <w:name w:val="heading 2"/>
    <w:basedOn w:val="Normal"/>
    <w:next w:val="BodyText"/>
    <w:link w:val="Heading2Char"/>
    <w:qFormat/>
    <w:rsid w:val="00596EA4"/>
    <w:pPr>
      <w:keepNext/>
      <w:numPr>
        <w:ilvl w:val="1"/>
        <w:numId w:val="3"/>
      </w:numPr>
      <w:tabs>
        <w:tab w:val="clear" w:pos="567"/>
      </w:tabs>
      <w:spacing w:after="240" w:line="240" w:lineRule="atLeast"/>
      <w:outlineLvl w:val="1"/>
    </w:pPr>
    <w:rPr>
      <w:rFonts w:ascii="Arial" w:eastAsia="Times New Roman" w:hAnsi="Arial"/>
      <w:sz w:val="20"/>
      <w:szCs w:val="20"/>
      <w:lang w:eastAsia="en-AU"/>
    </w:rPr>
  </w:style>
  <w:style w:type="paragraph" w:styleId="Heading3">
    <w:name w:val="heading 3"/>
    <w:basedOn w:val="Normal"/>
    <w:link w:val="Heading3Char"/>
    <w:qFormat/>
    <w:rsid w:val="00596EA4"/>
    <w:pPr>
      <w:numPr>
        <w:ilvl w:val="2"/>
        <w:numId w:val="3"/>
      </w:numPr>
      <w:tabs>
        <w:tab w:val="clear" w:pos="567"/>
      </w:tabs>
      <w:spacing w:after="240" w:line="240" w:lineRule="atLeast"/>
      <w:outlineLvl w:val="2"/>
    </w:pPr>
    <w:rPr>
      <w:rFonts w:ascii="Arial" w:eastAsia="Times New Roman" w:hAnsi="Arial"/>
      <w:sz w:val="20"/>
      <w:szCs w:val="20"/>
      <w:lang w:eastAsia="en-AU"/>
    </w:rPr>
  </w:style>
  <w:style w:type="paragraph" w:styleId="Heading4">
    <w:name w:val="heading 4"/>
    <w:basedOn w:val="BodyText"/>
    <w:link w:val="Heading4Char"/>
    <w:qFormat/>
    <w:rsid w:val="00596EA4"/>
    <w:pPr>
      <w:widowControl/>
      <w:numPr>
        <w:ilvl w:val="3"/>
        <w:numId w:val="3"/>
      </w:numPr>
      <w:tabs>
        <w:tab w:val="clear" w:pos="567"/>
      </w:tabs>
      <w:spacing w:after="240" w:line="240" w:lineRule="atLeast"/>
      <w:outlineLvl w:val="3"/>
    </w:pPr>
    <w:rPr>
      <w:rFonts w:ascii="Arial" w:eastAsia="Times New Roman" w:hAnsi="Arial" w:cs="Times New Roman"/>
      <w:sz w:val="20"/>
      <w:szCs w:val="20"/>
      <w:lang w:val="en-AU" w:eastAsia="en-AU"/>
    </w:rPr>
  </w:style>
  <w:style w:type="paragraph" w:styleId="Heading5">
    <w:name w:val="heading 5"/>
    <w:basedOn w:val="BodyText"/>
    <w:link w:val="Heading5Char"/>
    <w:qFormat/>
    <w:rsid w:val="00596EA4"/>
    <w:pPr>
      <w:widowControl/>
      <w:numPr>
        <w:ilvl w:val="4"/>
        <w:numId w:val="3"/>
      </w:numPr>
      <w:tabs>
        <w:tab w:val="clear" w:pos="567"/>
      </w:tabs>
      <w:spacing w:after="240" w:line="240" w:lineRule="atLeast"/>
      <w:outlineLvl w:val="4"/>
    </w:pPr>
    <w:rPr>
      <w:rFonts w:ascii="Arial" w:eastAsia="Times New Roman" w:hAnsi="Arial" w:cs="Times New Roman"/>
      <w:sz w:val="20"/>
      <w:szCs w:val="20"/>
      <w:lang w:val="en-AU" w:eastAsia="en-AU"/>
    </w:rPr>
  </w:style>
  <w:style w:type="paragraph" w:styleId="Heading6">
    <w:name w:val="heading 6"/>
    <w:basedOn w:val="BodyText"/>
    <w:next w:val="BodyText"/>
    <w:link w:val="Heading6Char"/>
    <w:semiHidden/>
    <w:qFormat/>
    <w:rsid w:val="00596EA4"/>
    <w:pPr>
      <w:widowControl/>
      <w:numPr>
        <w:ilvl w:val="5"/>
        <w:numId w:val="3"/>
      </w:numPr>
      <w:tabs>
        <w:tab w:val="clear" w:pos="0"/>
      </w:tabs>
      <w:spacing w:after="240" w:line="240" w:lineRule="atLeast"/>
      <w:outlineLvl w:val="5"/>
    </w:pPr>
    <w:rPr>
      <w:rFonts w:ascii="Arial" w:eastAsia="Times New Roman" w:hAnsi="Arial" w:cs="Times New Roman"/>
      <w:sz w:val="20"/>
      <w:szCs w:val="20"/>
      <w:lang w:val="en-AU" w:eastAsia="en-AU"/>
    </w:rPr>
  </w:style>
  <w:style w:type="paragraph" w:styleId="Heading7">
    <w:name w:val="heading 7"/>
    <w:basedOn w:val="BodyText"/>
    <w:next w:val="BodyText"/>
    <w:link w:val="Heading7Char"/>
    <w:semiHidden/>
    <w:qFormat/>
    <w:rsid w:val="00596EA4"/>
    <w:pPr>
      <w:widowControl/>
      <w:numPr>
        <w:ilvl w:val="6"/>
        <w:numId w:val="3"/>
      </w:numPr>
      <w:tabs>
        <w:tab w:val="clear" w:pos="0"/>
      </w:tabs>
      <w:spacing w:after="240" w:line="240" w:lineRule="atLeast"/>
      <w:outlineLvl w:val="6"/>
    </w:pPr>
    <w:rPr>
      <w:rFonts w:ascii="Arial" w:eastAsia="Times New Roman" w:hAnsi="Arial" w:cs="Times New Roman"/>
      <w:sz w:val="20"/>
      <w:szCs w:val="20"/>
      <w:lang w:val="en-AU" w:eastAsia="en-AU"/>
    </w:rPr>
  </w:style>
  <w:style w:type="paragraph" w:styleId="Heading8">
    <w:name w:val="heading 8"/>
    <w:basedOn w:val="BodyText"/>
    <w:next w:val="BodyText"/>
    <w:link w:val="Heading8Char"/>
    <w:semiHidden/>
    <w:qFormat/>
    <w:rsid w:val="00596EA4"/>
    <w:pPr>
      <w:widowControl/>
      <w:numPr>
        <w:ilvl w:val="7"/>
        <w:numId w:val="3"/>
      </w:numPr>
      <w:tabs>
        <w:tab w:val="clear" w:pos="0"/>
      </w:tabs>
      <w:spacing w:after="240" w:line="240" w:lineRule="atLeast"/>
      <w:outlineLvl w:val="7"/>
    </w:pPr>
    <w:rPr>
      <w:rFonts w:ascii="Arial" w:eastAsia="Times New Roman" w:hAnsi="Arial" w:cs="Times New Roman"/>
      <w:sz w:val="20"/>
      <w:szCs w:val="20"/>
      <w:lang w:val="en-AU" w:eastAsia="en-AU"/>
    </w:rPr>
  </w:style>
  <w:style w:type="paragraph" w:styleId="Heading9">
    <w:name w:val="heading 9"/>
    <w:basedOn w:val="BodyText"/>
    <w:next w:val="BodyText"/>
    <w:link w:val="Heading9Char"/>
    <w:semiHidden/>
    <w:qFormat/>
    <w:rsid w:val="00596EA4"/>
    <w:pPr>
      <w:widowControl/>
      <w:numPr>
        <w:ilvl w:val="8"/>
        <w:numId w:val="3"/>
      </w:numPr>
      <w:tabs>
        <w:tab w:val="clear" w:pos="0"/>
      </w:tabs>
      <w:spacing w:after="240" w:line="240" w:lineRule="atLeast"/>
      <w:outlineLvl w:val="8"/>
    </w:pPr>
    <w:rPr>
      <w:rFonts w:ascii="Arial" w:eastAsia="Times New Roman" w:hAnsi="Arial" w:cs="Times New Roman"/>
      <w:sz w:val="20"/>
      <w:szCs w:val="20"/>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5477"/>
    <w:pPr>
      <w:tabs>
        <w:tab w:val="center" w:pos="4513"/>
        <w:tab w:val="right" w:pos="9026"/>
      </w:tabs>
    </w:pPr>
  </w:style>
  <w:style w:type="character" w:customStyle="1" w:styleId="HeaderChar">
    <w:name w:val="Header Char"/>
    <w:basedOn w:val="DefaultParagraphFont"/>
    <w:link w:val="Header"/>
    <w:uiPriority w:val="99"/>
    <w:rsid w:val="00015477"/>
  </w:style>
  <w:style w:type="paragraph" w:styleId="Footer">
    <w:name w:val="footer"/>
    <w:basedOn w:val="Normal"/>
    <w:link w:val="FooterChar"/>
    <w:uiPriority w:val="99"/>
    <w:unhideWhenUsed/>
    <w:rsid w:val="00015477"/>
    <w:pPr>
      <w:tabs>
        <w:tab w:val="center" w:pos="4513"/>
        <w:tab w:val="right" w:pos="9026"/>
      </w:tabs>
    </w:pPr>
  </w:style>
  <w:style w:type="character" w:customStyle="1" w:styleId="FooterChar">
    <w:name w:val="Footer Char"/>
    <w:basedOn w:val="DefaultParagraphFont"/>
    <w:link w:val="Footer"/>
    <w:uiPriority w:val="99"/>
    <w:rsid w:val="00015477"/>
  </w:style>
  <w:style w:type="character" w:styleId="Hyperlink">
    <w:name w:val="Hyperlink"/>
    <w:basedOn w:val="DefaultParagraphFont"/>
    <w:uiPriority w:val="99"/>
    <w:rsid w:val="00F73F79"/>
    <w:rPr>
      <w:color w:val="0000FF"/>
      <w:u w:val="single"/>
    </w:rPr>
  </w:style>
  <w:style w:type="paragraph" w:styleId="ListParagraph">
    <w:name w:val="List Paragraph"/>
    <w:basedOn w:val="Normal"/>
    <w:uiPriority w:val="34"/>
    <w:qFormat/>
    <w:rsid w:val="00F73F79"/>
    <w:pPr>
      <w:ind w:left="720"/>
    </w:pPr>
    <w:rPr>
      <w:rFonts w:ascii="Calibri" w:eastAsia="Calibri" w:hAnsi="Calibri"/>
      <w:sz w:val="22"/>
      <w:szCs w:val="22"/>
      <w:lang w:val="en-US" w:eastAsia="en-US"/>
    </w:rPr>
  </w:style>
  <w:style w:type="paragraph" w:customStyle="1" w:styleId="Pa2">
    <w:name w:val="Pa2"/>
    <w:basedOn w:val="Normal"/>
    <w:uiPriority w:val="99"/>
    <w:rsid w:val="00F73F79"/>
    <w:pPr>
      <w:autoSpaceDE w:val="0"/>
      <w:autoSpaceDN w:val="0"/>
      <w:spacing w:line="241" w:lineRule="atLeast"/>
    </w:pPr>
    <w:rPr>
      <w:rFonts w:ascii="UHOAX A+ Myriad Pro" w:eastAsia="Calibri" w:hAnsi="UHOAX A+ Myriad Pro"/>
      <w:lang w:eastAsia="en-AU"/>
    </w:rPr>
  </w:style>
  <w:style w:type="table" w:customStyle="1" w:styleId="ProposalTable">
    <w:name w:val="Proposal Table"/>
    <w:basedOn w:val="TableNormal"/>
    <w:uiPriority w:val="99"/>
    <w:rsid w:val="002310D1"/>
    <w:pPr>
      <w:spacing w:before="120" w:after="120" w:line="240" w:lineRule="auto"/>
    </w:pPr>
    <w:rPr>
      <w:color w:val="404040" w:themeColor="text1" w:themeTint="BF"/>
      <w:sz w:val="18"/>
      <w:szCs w:val="18"/>
      <w:lang w:val="en-US" w:eastAsia="ja-JP"/>
    </w:rPr>
    <w:tblP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left w:w="144" w:type="dxa"/>
        <w:right w:w="144" w:type="dxa"/>
      </w:tblCellMar>
    </w:tblPr>
    <w:tblStylePr w:type="firstRow">
      <w:pPr>
        <w:keepNext/>
        <w:wordWrap/>
      </w:pPr>
      <w:rPr>
        <w:b/>
      </w:rPr>
      <w:tblPr/>
      <w:tcPr>
        <w:shd w:val="clear" w:color="auto" w:fill="DEEAF6" w:themeFill="accent1" w:themeFillTint="33"/>
        <w:vAlign w:val="bottom"/>
      </w:tcPr>
    </w:tblStylePr>
    <w:tblStylePr w:type="lastRow">
      <w:rPr>
        <w:b/>
        <w:color w:val="FFFFFF" w:themeColor="background1"/>
      </w:rPr>
      <w:tblPr/>
      <w:tcPr>
        <w:shd w:val="clear" w:color="auto" w:fill="5B9BD5" w:themeFill="accent1"/>
      </w:tcPr>
    </w:tblStylePr>
  </w:style>
  <w:style w:type="paragraph" w:styleId="BalloonText">
    <w:name w:val="Balloon Text"/>
    <w:basedOn w:val="Normal"/>
    <w:link w:val="BalloonTextChar"/>
    <w:uiPriority w:val="99"/>
    <w:semiHidden/>
    <w:unhideWhenUsed/>
    <w:rsid w:val="00A9133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1336"/>
    <w:rPr>
      <w:rFonts w:ascii="Segoe UI" w:eastAsia="SimSun" w:hAnsi="Segoe UI" w:cs="Segoe UI"/>
      <w:sz w:val="18"/>
      <w:szCs w:val="18"/>
      <w:lang w:eastAsia="zh-CN"/>
    </w:rPr>
  </w:style>
  <w:style w:type="paragraph" w:styleId="EnvelopeReturn">
    <w:name w:val="envelope return"/>
    <w:basedOn w:val="Normal"/>
    <w:rsid w:val="00D644BE"/>
    <w:rPr>
      <w:rFonts w:ascii="EngraversGothic BT" w:eastAsia="Times New Roman" w:hAnsi="EngraversGothic BT" w:cs="Arial"/>
      <w:color w:val="000080"/>
      <w:sz w:val="20"/>
      <w:szCs w:val="20"/>
      <w:lang w:val="en-US"/>
    </w:rPr>
  </w:style>
  <w:style w:type="paragraph" w:styleId="NoSpacing">
    <w:name w:val="No Spacing"/>
    <w:uiPriority w:val="1"/>
    <w:qFormat/>
    <w:rsid w:val="00D644BE"/>
    <w:pPr>
      <w:spacing w:after="0" w:line="240" w:lineRule="auto"/>
    </w:pPr>
    <w:rPr>
      <w:rFonts w:ascii="Arial" w:eastAsia="Times New Roman" w:hAnsi="Arial" w:cs="Arial"/>
      <w:color w:val="000080"/>
      <w:sz w:val="24"/>
      <w:szCs w:val="24"/>
      <w:lang w:val="en-US" w:eastAsia="zh-CN"/>
    </w:rPr>
  </w:style>
  <w:style w:type="paragraph" w:styleId="NormalWeb">
    <w:name w:val="Normal (Web)"/>
    <w:basedOn w:val="Normal"/>
    <w:uiPriority w:val="99"/>
    <w:rsid w:val="009F1950"/>
    <w:pPr>
      <w:spacing w:before="100" w:beforeAutospacing="1" w:after="100" w:afterAutospacing="1"/>
    </w:pPr>
    <w:rPr>
      <w:rFonts w:eastAsia="Times New Roman"/>
      <w:lang w:eastAsia="en-AU"/>
    </w:rPr>
  </w:style>
  <w:style w:type="paragraph" w:customStyle="1" w:styleId="Default">
    <w:name w:val="Default"/>
    <w:rsid w:val="009F1950"/>
    <w:pPr>
      <w:autoSpaceDE w:val="0"/>
      <w:autoSpaceDN w:val="0"/>
      <w:adjustRightInd w:val="0"/>
      <w:spacing w:after="0" w:line="240" w:lineRule="auto"/>
    </w:pPr>
    <w:rPr>
      <w:rFonts w:ascii="Calibri" w:hAnsi="Calibri" w:cs="Calibri"/>
      <w:color w:val="000000"/>
      <w:sz w:val="24"/>
      <w:szCs w:val="24"/>
    </w:rPr>
  </w:style>
  <w:style w:type="paragraph" w:styleId="BodyText">
    <w:name w:val="Body Text"/>
    <w:basedOn w:val="Normal"/>
    <w:link w:val="BodyTextChar"/>
    <w:uiPriority w:val="1"/>
    <w:qFormat/>
    <w:rsid w:val="009F1950"/>
    <w:pPr>
      <w:widowControl w:val="0"/>
      <w:ind w:left="120"/>
    </w:pPr>
    <w:rPr>
      <w:rFonts w:ascii="Arial Narrow" w:eastAsia="Arial Narrow" w:hAnsi="Arial Narrow" w:cstheme="minorBidi"/>
      <w:sz w:val="22"/>
      <w:szCs w:val="22"/>
      <w:lang w:val="en-US" w:eastAsia="en-US"/>
    </w:rPr>
  </w:style>
  <w:style w:type="character" w:customStyle="1" w:styleId="BodyTextChar">
    <w:name w:val="Body Text Char"/>
    <w:basedOn w:val="DefaultParagraphFont"/>
    <w:link w:val="BodyText"/>
    <w:uiPriority w:val="1"/>
    <w:rsid w:val="009F1950"/>
    <w:rPr>
      <w:rFonts w:ascii="Arial Narrow" w:eastAsia="Arial Narrow" w:hAnsi="Arial Narrow"/>
      <w:lang w:val="en-US"/>
    </w:rPr>
  </w:style>
  <w:style w:type="character" w:customStyle="1" w:styleId="Heading1Char">
    <w:name w:val="Heading 1 Char"/>
    <w:basedOn w:val="DefaultParagraphFont"/>
    <w:link w:val="Heading1"/>
    <w:rsid w:val="00596EA4"/>
    <w:rPr>
      <w:rFonts w:ascii="Arial" w:eastAsia="Times New Roman" w:hAnsi="Arial" w:cs="Times New Roman"/>
      <w:b/>
      <w:kern w:val="28"/>
      <w:sz w:val="20"/>
      <w:szCs w:val="20"/>
      <w:lang w:eastAsia="en-AU"/>
    </w:rPr>
  </w:style>
  <w:style w:type="character" w:customStyle="1" w:styleId="Heading2Char">
    <w:name w:val="Heading 2 Char"/>
    <w:basedOn w:val="DefaultParagraphFont"/>
    <w:link w:val="Heading2"/>
    <w:rsid w:val="00596EA4"/>
    <w:rPr>
      <w:rFonts w:ascii="Arial" w:eastAsia="Times New Roman" w:hAnsi="Arial" w:cs="Times New Roman"/>
      <w:sz w:val="20"/>
      <w:szCs w:val="20"/>
      <w:lang w:eastAsia="en-AU"/>
    </w:rPr>
  </w:style>
  <w:style w:type="character" w:customStyle="1" w:styleId="Heading3Char">
    <w:name w:val="Heading 3 Char"/>
    <w:basedOn w:val="DefaultParagraphFont"/>
    <w:link w:val="Heading3"/>
    <w:rsid w:val="00596EA4"/>
    <w:rPr>
      <w:rFonts w:ascii="Arial" w:eastAsia="Times New Roman" w:hAnsi="Arial" w:cs="Times New Roman"/>
      <w:sz w:val="20"/>
      <w:szCs w:val="20"/>
      <w:lang w:eastAsia="en-AU"/>
    </w:rPr>
  </w:style>
  <w:style w:type="character" w:customStyle="1" w:styleId="Heading4Char">
    <w:name w:val="Heading 4 Char"/>
    <w:basedOn w:val="DefaultParagraphFont"/>
    <w:link w:val="Heading4"/>
    <w:rsid w:val="00596EA4"/>
    <w:rPr>
      <w:rFonts w:ascii="Arial" w:eastAsia="Times New Roman" w:hAnsi="Arial" w:cs="Times New Roman"/>
      <w:sz w:val="20"/>
      <w:szCs w:val="20"/>
      <w:lang w:eastAsia="en-AU"/>
    </w:rPr>
  </w:style>
  <w:style w:type="character" w:customStyle="1" w:styleId="Heading5Char">
    <w:name w:val="Heading 5 Char"/>
    <w:basedOn w:val="DefaultParagraphFont"/>
    <w:link w:val="Heading5"/>
    <w:rsid w:val="00596EA4"/>
    <w:rPr>
      <w:rFonts w:ascii="Arial" w:eastAsia="Times New Roman" w:hAnsi="Arial" w:cs="Times New Roman"/>
      <w:sz w:val="20"/>
      <w:szCs w:val="20"/>
      <w:lang w:eastAsia="en-AU"/>
    </w:rPr>
  </w:style>
  <w:style w:type="character" w:customStyle="1" w:styleId="Heading6Char">
    <w:name w:val="Heading 6 Char"/>
    <w:basedOn w:val="DefaultParagraphFont"/>
    <w:link w:val="Heading6"/>
    <w:semiHidden/>
    <w:rsid w:val="00596EA4"/>
    <w:rPr>
      <w:rFonts w:ascii="Arial" w:eastAsia="Times New Roman" w:hAnsi="Arial" w:cs="Times New Roman"/>
      <w:sz w:val="20"/>
      <w:szCs w:val="20"/>
      <w:lang w:eastAsia="en-AU"/>
    </w:rPr>
  </w:style>
  <w:style w:type="character" w:customStyle="1" w:styleId="Heading7Char">
    <w:name w:val="Heading 7 Char"/>
    <w:basedOn w:val="DefaultParagraphFont"/>
    <w:link w:val="Heading7"/>
    <w:semiHidden/>
    <w:rsid w:val="00596EA4"/>
    <w:rPr>
      <w:rFonts w:ascii="Arial" w:eastAsia="Times New Roman" w:hAnsi="Arial" w:cs="Times New Roman"/>
      <w:sz w:val="20"/>
      <w:szCs w:val="20"/>
      <w:lang w:eastAsia="en-AU"/>
    </w:rPr>
  </w:style>
  <w:style w:type="character" w:customStyle="1" w:styleId="Heading8Char">
    <w:name w:val="Heading 8 Char"/>
    <w:basedOn w:val="DefaultParagraphFont"/>
    <w:link w:val="Heading8"/>
    <w:semiHidden/>
    <w:rsid w:val="00596EA4"/>
    <w:rPr>
      <w:rFonts w:ascii="Arial" w:eastAsia="Times New Roman" w:hAnsi="Arial" w:cs="Times New Roman"/>
      <w:sz w:val="20"/>
      <w:szCs w:val="20"/>
      <w:lang w:eastAsia="en-AU"/>
    </w:rPr>
  </w:style>
  <w:style w:type="character" w:customStyle="1" w:styleId="Heading9Char">
    <w:name w:val="Heading 9 Char"/>
    <w:basedOn w:val="DefaultParagraphFont"/>
    <w:link w:val="Heading9"/>
    <w:semiHidden/>
    <w:rsid w:val="00596EA4"/>
    <w:rPr>
      <w:rFonts w:ascii="Arial" w:eastAsia="Times New Roman" w:hAnsi="Arial" w:cs="Times New Roman"/>
      <w:sz w:val="20"/>
      <w:szCs w:val="20"/>
      <w:lang w:eastAsia="en-AU"/>
    </w:rPr>
  </w:style>
  <w:style w:type="paragraph" w:customStyle="1" w:styleId="Heading">
    <w:name w:val="Heading"/>
    <w:basedOn w:val="Heading1"/>
    <w:next w:val="BodyText"/>
    <w:qFormat/>
    <w:rsid w:val="00596EA4"/>
    <w:pPr>
      <w:numPr>
        <w:numId w:val="0"/>
      </w:numPr>
    </w:pPr>
  </w:style>
  <w:style w:type="paragraph" w:styleId="ListBullet">
    <w:name w:val="List Bullet"/>
    <w:basedOn w:val="BodyText"/>
    <w:qFormat/>
    <w:rsid w:val="00596EA4"/>
    <w:pPr>
      <w:widowControl/>
      <w:numPr>
        <w:numId w:val="4"/>
      </w:numPr>
      <w:spacing w:after="240" w:line="240" w:lineRule="atLeast"/>
    </w:pPr>
    <w:rPr>
      <w:rFonts w:ascii="Arial" w:eastAsia="Times New Roman" w:hAnsi="Arial" w:cs="Times New Roman"/>
      <w:sz w:val="20"/>
      <w:szCs w:val="20"/>
      <w:lang w:val="en-AU" w:eastAsia="en-AU"/>
    </w:rPr>
  </w:style>
  <w:style w:type="character" w:customStyle="1" w:styleId="apple-converted-space">
    <w:name w:val="apple-converted-space"/>
    <w:basedOn w:val="DefaultParagraphFont"/>
    <w:rsid w:val="006F1065"/>
  </w:style>
  <w:style w:type="paragraph" w:customStyle="1" w:styleId="BoxText">
    <w:name w:val="Box Text"/>
    <w:basedOn w:val="Normal"/>
    <w:link w:val="BoxTextChar"/>
    <w:rsid w:val="00366642"/>
    <w:pPr>
      <w:spacing w:before="120" w:after="120"/>
      <w:jc w:val="both"/>
    </w:pPr>
    <w:rPr>
      <w:rFonts w:asciiTheme="minorHAnsi" w:eastAsia="Times New Roman" w:hAnsiTheme="minorHAnsi" w:cs="Arial"/>
      <w:color w:val="000000"/>
      <w:sz w:val="22"/>
      <w:szCs w:val="20"/>
      <w:lang w:eastAsia="en-AU"/>
    </w:rPr>
  </w:style>
  <w:style w:type="paragraph" w:customStyle="1" w:styleId="Bullet">
    <w:name w:val="Bullet"/>
    <w:basedOn w:val="Normal"/>
    <w:link w:val="BulletChar"/>
    <w:qFormat/>
    <w:rsid w:val="00366642"/>
    <w:pPr>
      <w:numPr>
        <w:numId w:val="5"/>
      </w:numPr>
      <w:tabs>
        <w:tab w:val="left" w:pos="425"/>
      </w:tabs>
      <w:spacing w:before="120" w:after="240"/>
      <w:ind w:left="426" w:hanging="426"/>
    </w:pPr>
    <w:rPr>
      <w:rFonts w:asciiTheme="minorHAnsi" w:eastAsia="Times New Roman" w:hAnsiTheme="minorHAnsi"/>
      <w:color w:val="000000"/>
      <w:sz w:val="22"/>
      <w:szCs w:val="20"/>
      <w:lang w:eastAsia="en-AU"/>
    </w:rPr>
  </w:style>
  <w:style w:type="character" w:customStyle="1" w:styleId="BoxTextChar">
    <w:name w:val="Box Text Char"/>
    <w:basedOn w:val="DefaultParagraphFont"/>
    <w:link w:val="BoxText"/>
    <w:rsid w:val="00366642"/>
    <w:rPr>
      <w:rFonts w:eastAsia="Times New Roman" w:cs="Arial"/>
      <w:color w:val="000000"/>
      <w:szCs w:val="20"/>
      <w:lang w:eastAsia="en-AU"/>
    </w:rPr>
  </w:style>
  <w:style w:type="character" w:customStyle="1" w:styleId="BulletChar">
    <w:name w:val="Bullet Char"/>
    <w:basedOn w:val="BoxTextChar"/>
    <w:link w:val="Bullet"/>
    <w:rsid w:val="00366642"/>
    <w:rPr>
      <w:rFonts w:eastAsia="Times New Roman" w:cs="Times New Roman"/>
      <w:color w:val="000000"/>
      <w:szCs w:val="20"/>
      <w:lang w:eastAsia="en-AU"/>
    </w:rPr>
  </w:style>
  <w:style w:type="paragraph" w:customStyle="1" w:styleId="BoxHeading-KeyObservation">
    <w:name w:val="Box Heading - Key Observation"/>
    <w:basedOn w:val="Normal"/>
    <w:qFormat/>
    <w:rsid w:val="00366642"/>
    <w:pPr>
      <w:widowControl w:val="0"/>
      <w:tabs>
        <w:tab w:val="left" w:pos="992"/>
      </w:tabs>
      <w:spacing w:before="120" w:after="120"/>
      <w:ind w:left="993" w:hanging="993"/>
      <w:jc w:val="both"/>
    </w:pPr>
    <w:rPr>
      <w:rFonts w:asciiTheme="minorHAnsi" w:eastAsia="Times New Roman" w:hAnsiTheme="minorHAnsi"/>
      <w:b/>
      <w:color w:val="ED7D31" w:themeColor="accent2"/>
      <w:szCs w:val="22"/>
      <w:lang w:eastAsia="en-AU"/>
    </w:rPr>
  </w:style>
  <w:style w:type="paragraph" w:customStyle="1" w:styleId="Normal-Highlight">
    <w:name w:val="Normal - Highlight"/>
    <w:basedOn w:val="Normal"/>
    <w:rsid w:val="00366642"/>
    <w:pPr>
      <w:spacing w:before="120" w:after="240"/>
      <w:ind w:left="709" w:right="567"/>
      <w:jc w:val="both"/>
    </w:pPr>
    <w:rPr>
      <w:rFonts w:ascii="Arial" w:eastAsia="Times New Roman" w:hAnsi="Arial" w:cs="Arial"/>
      <w:b/>
      <w:color w:val="4472C4" w:themeColor="accent5"/>
      <w:sz w:val="21"/>
      <w:szCs w:val="21"/>
      <w:lang w:eastAsia="en-AU"/>
    </w:rPr>
  </w:style>
  <w:style w:type="paragraph" w:customStyle="1" w:styleId="Bullet-Highlight">
    <w:name w:val="Bullet - Highlight"/>
    <w:basedOn w:val="Bullet"/>
    <w:rsid w:val="00366642"/>
    <w:pPr>
      <w:numPr>
        <w:numId w:val="6"/>
      </w:numPr>
      <w:tabs>
        <w:tab w:val="num" w:pos="360"/>
        <w:tab w:val="num" w:pos="1134"/>
      </w:tabs>
      <w:spacing w:after="200" w:line="260" w:lineRule="exact"/>
      <w:ind w:left="1134" w:right="567" w:hanging="425"/>
      <w:jc w:val="both"/>
    </w:pPr>
    <w:rPr>
      <w:rFonts w:ascii="Arial" w:hAnsi="Arial" w:cs="Arial"/>
      <w:b/>
      <w:color w:val="4472C4" w:themeColor="accent5"/>
      <w:sz w:val="21"/>
      <w:szCs w:val="21"/>
    </w:rPr>
  </w:style>
  <w:style w:type="paragraph" w:customStyle="1" w:styleId="BoxDashIndent">
    <w:name w:val="Box Dash Indent"/>
    <w:basedOn w:val="Normal"/>
    <w:rsid w:val="00366642"/>
    <w:pPr>
      <w:widowControl w:val="0"/>
      <w:numPr>
        <w:ilvl w:val="1"/>
        <w:numId w:val="5"/>
      </w:numPr>
      <w:spacing w:before="120" w:after="120"/>
      <w:jc w:val="both"/>
    </w:pPr>
    <w:rPr>
      <w:rFonts w:asciiTheme="minorHAnsi" w:eastAsia="Times New Roman" w:hAnsiTheme="minorHAnsi" w:cs="Arial"/>
      <w:color w:val="000000"/>
      <w:sz w:val="22"/>
      <w:szCs w:val="22"/>
      <w:lang w:eastAsia="en-AU"/>
    </w:rPr>
  </w:style>
  <w:style w:type="character" w:styleId="CommentReference">
    <w:name w:val="annotation reference"/>
    <w:basedOn w:val="DefaultParagraphFont"/>
    <w:semiHidden/>
    <w:unhideWhenUsed/>
    <w:rsid w:val="00763239"/>
    <w:rPr>
      <w:sz w:val="16"/>
      <w:szCs w:val="16"/>
    </w:rPr>
  </w:style>
  <w:style w:type="paragraph" w:styleId="CommentText">
    <w:name w:val="annotation text"/>
    <w:basedOn w:val="Normal"/>
    <w:link w:val="CommentTextChar"/>
    <w:semiHidden/>
    <w:unhideWhenUsed/>
    <w:rsid w:val="00763239"/>
    <w:rPr>
      <w:sz w:val="20"/>
      <w:szCs w:val="20"/>
    </w:rPr>
  </w:style>
  <w:style w:type="character" w:customStyle="1" w:styleId="CommentTextChar">
    <w:name w:val="Comment Text Char"/>
    <w:basedOn w:val="DefaultParagraphFont"/>
    <w:link w:val="CommentText"/>
    <w:uiPriority w:val="99"/>
    <w:semiHidden/>
    <w:rsid w:val="00763239"/>
    <w:rPr>
      <w:rFonts w:ascii="Times New Roman" w:eastAsia="SimSun" w:hAnsi="Times New Roman" w:cs="Times New Roman"/>
      <w:sz w:val="20"/>
      <w:szCs w:val="20"/>
      <w:lang w:eastAsia="zh-CN"/>
    </w:rPr>
  </w:style>
  <w:style w:type="paragraph" w:styleId="CommentSubject">
    <w:name w:val="annotation subject"/>
    <w:basedOn w:val="CommentText"/>
    <w:next w:val="CommentText"/>
    <w:link w:val="CommentSubjectChar"/>
    <w:uiPriority w:val="99"/>
    <w:semiHidden/>
    <w:unhideWhenUsed/>
    <w:rsid w:val="00763239"/>
    <w:rPr>
      <w:b/>
      <w:bCs/>
    </w:rPr>
  </w:style>
  <w:style w:type="character" w:customStyle="1" w:styleId="CommentSubjectChar">
    <w:name w:val="Comment Subject Char"/>
    <w:basedOn w:val="CommentTextChar"/>
    <w:link w:val="CommentSubject"/>
    <w:uiPriority w:val="99"/>
    <w:semiHidden/>
    <w:rsid w:val="00763239"/>
    <w:rPr>
      <w:rFonts w:ascii="Times New Roman" w:eastAsia="SimSun" w:hAnsi="Times New Roman" w:cs="Times New Roman"/>
      <w:b/>
      <w:bCs/>
      <w:sz w:val="20"/>
      <w:szCs w:val="20"/>
      <w:lang w:eastAsia="zh-CN"/>
    </w:rPr>
  </w:style>
  <w:style w:type="paragraph" w:styleId="Revision">
    <w:name w:val="Revision"/>
    <w:hidden/>
    <w:uiPriority w:val="99"/>
    <w:semiHidden/>
    <w:rsid w:val="00763239"/>
    <w:pPr>
      <w:spacing w:after="0" w:line="240" w:lineRule="auto"/>
    </w:pPr>
    <w:rPr>
      <w:rFonts w:ascii="Times New Roman" w:eastAsia="SimSun" w:hAnsi="Times New Roman" w:cs="Times New Roman"/>
      <w:sz w:val="24"/>
      <w:szCs w:val="24"/>
      <w:lang w:eastAsia="zh-CN"/>
    </w:rPr>
  </w:style>
  <w:style w:type="paragraph" w:styleId="ListBullet4">
    <w:name w:val="List Bullet 4"/>
    <w:basedOn w:val="Normal"/>
    <w:semiHidden/>
    <w:rsid w:val="002F01E4"/>
    <w:pPr>
      <w:numPr>
        <w:numId w:val="8"/>
      </w:numPr>
      <w:tabs>
        <w:tab w:val="clear" w:pos="1209"/>
        <w:tab w:val="num" w:pos="1287"/>
      </w:tabs>
      <w:spacing w:line="240" w:lineRule="atLeast"/>
      <w:ind w:left="1287" w:hanging="567"/>
    </w:pPr>
    <w:rPr>
      <w:rFonts w:ascii="Arial" w:eastAsia="Times New Roman" w:hAnsi="Arial"/>
      <w:sz w:val="20"/>
      <w:szCs w:val="20"/>
      <w:lang w:eastAsia="en-AU"/>
    </w:rPr>
  </w:style>
  <w:style w:type="table" w:styleId="TableGrid">
    <w:name w:val="Table Grid"/>
    <w:basedOn w:val="TableNormal"/>
    <w:uiPriority w:val="39"/>
    <w:rsid w:val="00F16B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561633">
      <w:bodyDiv w:val="1"/>
      <w:marLeft w:val="0"/>
      <w:marRight w:val="0"/>
      <w:marTop w:val="0"/>
      <w:marBottom w:val="0"/>
      <w:divBdr>
        <w:top w:val="none" w:sz="0" w:space="0" w:color="auto"/>
        <w:left w:val="none" w:sz="0" w:space="0" w:color="auto"/>
        <w:bottom w:val="none" w:sz="0" w:space="0" w:color="auto"/>
        <w:right w:val="none" w:sz="0" w:space="0" w:color="auto"/>
      </w:divBdr>
    </w:div>
    <w:div w:id="649141873">
      <w:bodyDiv w:val="1"/>
      <w:marLeft w:val="0"/>
      <w:marRight w:val="0"/>
      <w:marTop w:val="0"/>
      <w:marBottom w:val="0"/>
      <w:divBdr>
        <w:top w:val="none" w:sz="0" w:space="0" w:color="auto"/>
        <w:left w:val="none" w:sz="0" w:space="0" w:color="auto"/>
        <w:bottom w:val="none" w:sz="0" w:space="0" w:color="auto"/>
        <w:right w:val="none" w:sz="0" w:space="0" w:color="auto"/>
      </w:divBdr>
    </w:div>
    <w:div w:id="1588028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mailto:pysubmissions@rba.gov.au"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8D031B-8817-477F-9B5E-BE8EC01DA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40684FCF.dotm</Template>
  <TotalTime>0</TotalTime>
  <Pages>2</Pages>
  <Words>1056</Words>
  <Characters>5945</Characters>
  <Application>Microsoft Office Word</Application>
  <DocSecurity>0</DocSecurity>
  <Lines>130</Lines>
  <Paragraphs>43</Paragraphs>
  <ScaleCrop>false</ScaleCrop>
  <Company/>
  <LinksUpToDate>false</LinksUpToDate>
  <CharactersWithSpaces>6986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Reserve Bank of Australia</dc:creator>
  <cp:keywords/>
  <dc:description/>
  <cp:lastModifiedBy>Reserve Bank of Australia</cp:lastModifiedBy>
  <cp:revision>2</cp:revision>
  <dcterms:created xsi:type="dcterms:W3CDTF">2017-02-14T02:24:00Z</dcterms:created>
  <dcterms:modified xsi:type="dcterms:W3CDTF">2017-02-14T02:24:00Z</dcterms:modified>
</cp:coreProperties>
</file>