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12B265" w14:textId="77777777" w:rsidR="00CE0E55" w:rsidRDefault="00CE0E55" w:rsidP="00CE0E55">
      <w:pPr>
        <w:spacing w:line="276" w:lineRule="auto"/>
        <w:jc w:val="center"/>
        <w:rPr>
          <w:b/>
          <w:color w:val="1F3864" w:themeColor="accent5" w:themeShade="80"/>
          <w:sz w:val="40"/>
          <w:szCs w:val="40"/>
        </w:rPr>
      </w:pPr>
      <w:bookmarkStart w:id="0" w:name="_GoBack"/>
      <w:bookmarkEnd w:id="0"/>
    </w:p>
    <w:p w14:paraId="6D4AF135" w14:textId="134A9953" w:rsidR="00BA5542" w:rsidRDefault="00DE633C" w:rsidP="00341267">
      <w:pPr>
        <w:spacing w:after="0" w:line="276" w:lineRule="auto"/>
      </w:pPr>
      <w:r>
        <w:t>Dr Tony Richards</w:t>
      </w:r>
    </w:p>
    <w:p w14:paraId="1384190A" w14:textId="691532CE" w:rsidR="00341267" w:rsidRDefault="00341267" w:rsidP="00341267">
      <w:pPr>
        <w:spacing w:after="0" w:line="276" w:lineRule="auto"/>
      </w:pPr>
      <w:r>
        <w:t xml:space="preserve">Head of Payments Policy Department </w:t>
      </w:r>
    </w:p>
    <w:p w14:paraId="1D0D9C94" w14:textId="77777777" w:rsidR="00341267" w:rsidRDefault="00341267" w:rsidP="00341267">
      <w:pPr>
        <w:spacing w:after="0" w:line="276" w:lineRule="auto"/>
      </w:pPr>
      <w:r>
        <w:t xml:space="preserve">Reserve Bank of Australia </w:t>
      </w:r>
    </w:p>
    <w:p w14:paraId="6FEC1AF9" w14:textId="77777777" w:rsidR="00341267" w:rsidRDefault="00341267" w:rsidP="00341267">
      <w:pPr>
        <w:spacing w:after="0" w:line="276" w:lineRule="auto"/>
      </w:pPr>
      <w:r>
        <w:t xml:space="preserve">GPO Box 3947 </w:t>
      </w:r>
    </w:p>
    <w:p w14:paraId="3F81C02A" w14:textId="1655AD75" w:rsidR="00184F9B" w:rsidRDefault="00341267" w:rsidP="00341267">
      <w:pPr>
        <w:spacing w:after="0" w:line="276" w:lineRule="auto"/>
      </w:pPr>
      <w:r>
        <w:t>Sydney NSW 2001</w:t>
      </w:r>
    </w:p>
    <w:p w14:paraId="17EA12C0" w14:textId="4A1EF3F2" w:rsidR="00341267" w:rsidRDefault="00341267" w:rsidP="00FC3826">
      <w:pPr>
        <w:spacing w:line="276" w:lineRule="auto"/>
      </w:pPr>
    </w:p>
    <w:p w14:paraId="20815698" w14:textId="77777777" w:rsidR="00BA5542" w:rsidRDefault="00BA5542" w:rsidP="00FC3826">
      <w:pPr>
        <w:spacing w:line="276" w:lineRule="auto"/>
      </w:pPr>
    </w:p>
    <w:p w14:paraId="7EE0EE4C" w14:textId="0AF4E6EE" w:rsidR="00184F9B" w:rsidRDefault="00DE633C" w:rsidP="00FC3826">
      <w:pPr>
        <w:spacing w:line="276" w:lineRule="auto"/>
      </w:pPr>
      <w:r>
        <w:t>Dear Dr Richards</w:t>
      </w:r>
    </w:p>
    <w:p w14:paraId="3BAE77CF" w14:textId="6E5D0DC4" w:rsidR="00341267" w:rsidRPr="00341267" w:rsidRDefault="00341267" w:rsidP="00184F9B">
      <w:pPr>
        <w:spacing w:line="276" w:lineRule="auto"/>
        <w:jc w:val="center"/>
        <w:rPr>
          <w:b/>
          <w:i/>
        </w:rPr>
      </w:pPr>
      <w:r w:rsidRPr="00341267">
        <w:rPr>
          <w:b/>
        </w:rPr>
        <w:t xml:space="preserve">APCA Submission to </w:t>
      </w:r>
      <w:r w:rsidRPr="00341267">
        <w:rPr>
          <w:b/>
          <w:i/>
        </w:rPr>
        <w:t>Dual-Network Cards and Mobile Wallet Technology Consultation Paper</w:t>
      </w:r>
    </w:p>
    <w:p w14:paraId="7A811737" w14:textId="1E27FB50" w:rsidR="0067159F" w:rsidRDefault="00CE0E55" w:rsidP="00FC3826">
      <w:pPr>
        <w:spacing w:line="276" w:lineRule="auto"/>
      </w:pPr>
      <w:r>
        <w:t>Australian Payments Clearing Association (</w:t>
      </w:r>
      <w:r w:rsidRPr="00CE0E55">
        <w:rPr>
          <w:b/>
        </w:rPr>
        <w:t>APCA</w:t>
      </w:r>
      <w:r>
        <w:t>)</w:t>
      </w:r>
      <w:r w:rsidR="002745CD">
        <w:t xml:space="preserve"> welcomes the opportunity to provide a submission </w:t>
      </w:r>
      <w:r w:rsidR="0012681E">
        <w:t xml:space="preserve">to the </w:t>
      </w:r>
      <w:r w:rsidR="009033DA">
        <w:t>Reserve Bank of Australia (</w:t>
      </w:r>
      <w:r w:rsidR="009033DA" w:rsidRPr="009033DA">
        <w:rPr>
          <w:b/>
        </w:rPr>
        <w:t>RBA</w:t>
      </w:r>
      <w:r w:rsidR="009033DA">
        <w:t>)</w:t>
      </w:r>
      <w:r w:rsidR="0012681E">
        <w:t xml:space="preserve"> Consultation Paper, </w:t>
      </w:r>
      <w:r w:rsidR="0012681E">
        <w:rPr>
          <w:i/>
        </w:rPr>
        <w:t>Dual-Network Cards and Mobile Wallet Technology</w:t>
      </w:r>
      <w:r w:rsidR="00E75D0C">
        <w:t xml:space="preserve"> (</w:t>
      </w:r>
      <w:r w:rsidR="00E75D0C" w:rsidRPr="00E75D0C">
        <w:rPr>
          <w:b/>
        </w:rPr>
        <w:t>the Paper</w:t>
      </w:r>
      <w:r w:rsidR="00E75D0C">
        <w:t>)</w:t>
      </w:r>
      <w:r w:rsidR="0012681E">
        <w:t>.</w:t>
      </w:r>
    </w:p>
    <w:p w14:paraId="37C74181" w14:textId="0FAFEB52" w:rsidR="00D20D7A" w:rsidRDefault="0067159F" w:rsidP="00FC3826">
      <w:pPr>
        <w:spacing w:line="276" w:lineRule="auto"/>
      </w:pPr>
      <w:r>
        <w:t xml:space="preserve">In developing this response, APCA has consulted with issuers and acquirers across the payments industry. APCA has identified a range of </w:t>
      </w:r>
      <w:r w:rsidR="008B161C">
        <w:t xml:space="preserve">different </w:t>
      </w:r>
      <w:r>
        <w:t>views</w:t>
      </w:r>
      <w:r w:rsidR="008B161C">
        <w:t xml:space="preserve"> and in</w:t>
      </w:r>
      <w:r w:rsidR="00D7338F">
        <w:t xml:space="preserve"> </w:t>
      </w:r>
      <w:r w:rsidR="005A5298">
        <w:t xml:space="preserve">light of </w:t>
      </w:r>
      <w:r w:rsidR="008B161C">
        <w:t xml:space="preserve">this, </w:t>
      </w:r>
      <w:r w:rsidR="005A5298">
        <w:t>has refrained from making strong recommendations.</w:t>
      </w:r>
      <w:r w:rsidR="00826967">
        <w:t xml:space="preserve"> </w:t>
      </w:r>
      <w:r w:rsidR="003B6F32">
        <w:t>Instead</w:t>
      </w:r>
      <w:r w:rsidR="00826967">
        <w:t xml:space="preserve">, APCA has provided information on industry views, </w:t>
      </w:r>
      <w:r w:rsidR="00DF6D20">
        <w:t xml:space="preserve">puts forward some key principles, </w:t>
      </w:r>
      <w:r w:rsidR="00826967">
        <w:t xml:space="preserve">and </w:t>
      </w:r>
      <w:r w:rsidR="00DF6D20">
        <w:t xml:space="preserve">provides some relevant </w:t>
      </w:r>
      <w:r w:rsidR="00826967">
        <w:t xml:space="preserve">international comparisons </w:t>
      </w:r>
      <w:r w:rsidR="00B05539">
        <w:t>for</w:t>
      </w:r>
      <w:r w:rsidR="00826967">
        <w:t xml:space="preserve"> the RBA </w:t>
      </w:r>
      <w:r w:rsidR="00B05539">
        <w:t>t</w:t>
      </w:r>
      <w:r w:rsidR="00826967">
        <w:t>o consider.</w:t>
      </w:r>
    </w:p>
    <w:p w14:paraId="43BB0C0B" w14:textId="2AA9F782" w:rsidR="002E7A5F" w:rsidRPr="002F5B37" w:rsidRDefault="00D25F3E" w:rsidP="002F5B37">
      <w:pPr>
        <w:shd w:val="clear" w:color="auto" w:fill="FFFFFF" w:themeFill="background1"/>
        <w:autoSpaceDE w:val="0"/>
        <w:autoSpaceDN w:val="0"/>
        <w:adjustRightInd w:val="0"/>
        <w:spacing w:line="276" w:lineRule="auto"/>
        <w:rPr>
          <w:rFonts w:ascii="Calibri" w:hAnsi="Calibri" w:cs="Calibri"/>
          <w:color w:val="000000"/>
        </w:rPr>
      </w:pPr>
      <w:r>
        <w:rPr>
          <w:rFonts w:ascii="Calibri" w:hAnsi="Calibri" w:cs="Calibri"/>
          <w:color w:val="000000"/>
        </w:rPr>
        <w:t>Many</w:t>
      </w:r>
      <w:r w:rsidR="002E7A5F" w:rsidRPr="00752AD8">
        <w:rPr>
          <w:rFonts w:ascii="Calibri" w:hAnsi="Calibri" w:cs="Calibri"/>
          <w:color w:val="000000"/>
        </w:rPr>
        <w:t xml:space="preserve"> stakeholders consulted will be </w:t>
      </w:r>
      <w:r w:rsidR="002E7A5F">
        <w:rPr>
          <w:rFonts w:ascii="Calibri" w:hAnsi="Calibri" w:cs="Calibri"/>
          <w:color w:val="000000"/>
        </w:rPr>
        <w:t xml:space="preserve">providing separate responses, which will outline their positions in greater </w:t>
      </w:r>
      <w:r w:rsidR="002E7A5F" w:rsidRPr="002F5B37">
        <w:rPr>
          <w:rFonts w:ascii="Calibri" w:hAnsi="Calibri" w:cs="Calibri"/>
          <w:color w:val="000000"/>
        </w:rPr>
        <w:t>detail.</w:t>
      </w:r>
      <w:r w:rsidR="007725CE" w:rsidRPr="002F5B37">
        <w:rPr>
          <w:rFonts w:ascii="Calibri" w:hAnsi="Calibri" w:cs="Calibri"/>
          <w:color w:val="000000"/>
        </w:rPr>
        <w:t xml:space="preserve"> </w:t>
      </w:r>
      <w:r w:rsidR="00F708B5" w:rsidRPr="002F5B37">
        <w:rPr>
          <w:rFonts w:ascii="Calibri" w:hAnsi="Calibri" w:cs="Calibri"/>
          <w:color w:val="000000"/>
        </w:rPr>
        <w:t xml:space="preserve">In particular, </w:t>
      </w:r>
      <w:r w:rsidR="007725CE" w:rsidRPr="002F5B37">
        <w:rPr>
          <w:rFonts w:ascii="Calibri" w:hAnsi="Calibri" w:cs="Calibri"/>
          <w:color w:val="000000"/>
        </w:rPr>
        <w:t>APC</w:t>
      </w:r>
      <w:r w:rsidR="00227A90" w:rsidRPr="002F5B37">
        <w:rPr>
          <w:rFonts w:ascii="Calibri" w:hAnsi="Calibri" w:cs="Calibri"/>
          <w:color w:val="000000"/>
        </w:rPr>
        <w:t>A</w:t>
      </w:r>
      <w:r w:rsidR="007725CE" w:rsidRPr="002F5B37">
        <w:rPr>
          <w:rFonts w:ascii="Calibri" w:hAnsi="Calibri" w:cs="Calibri"/>
          <w:color w:val="000000"/>
        </w:rPr>
        <w:t xml:space="preserve"> wishes to draw attention to three</w:t>
      </w:r>
      <w:r w:rsidR="00227A90" w:rsidRPr="002F5B37">
        <w:rPr>
          <w:rFonts w:ascii="Calibri" w:hAnsi="Calibri" w:cs="Calibri"/>
          <w:color w:val="000000"/>
        </w:rPr>
        <w:t xml:space="preserve"> key</w:t>
      </w:r>
      <w:r w:rsidR="007725CE" w:rsidRPr="002F5B37">
        <w:rPr>
          <w:rFonts w:ascii="Calibri" w:hAnsi="Calibri" w:cs="Calibri"/>
          <w:color w:val="000000"/>
        </w:rPr>
        <w:t xml:space="preserve"> themes which emerged in consultation:</w:t>
      </w:r>
    </w:p>
    <w:p w14:paraId="1032A42C" w14:textId="0D08E0C7" w:rsidR="007725CE" w:rsidRPr="002F5B37" w:rsidRDefault="00227A90" w:rsidP="002F5B37">
      <w:pPr>
        <w:pStyle w:val="ListParagraph"/>
        <w:numPr>
          <w:ilvl w:val="0"/>
          <w:numId w:val="26"/>
        </w:numPr>
        <w:shd w:val="clear" w:color="auto" w:fill="FFFFFF" w:themeFill="background1"/>
        <w:autoSpaceDE w:val="0"/>
        <w:autoSpaceDN w:val="0"/>
        <w:adjustRightInd w:val="0"/>
        <w:spacing w:line="276" w:lineRule="auto"/>
        <w:rPr>
          <w:rFonts w:ascii="Calibri" w:hAnsi="Calibri" w:cs="Calibri"/>
          <w:color w:val="000000"/>
        </w:rPr>
      </w:pPr>
      <w:r w:rsidRPr="002F5B37">
        <w:rPr>
          <w:rFonts w:ascii="Calibri" w:hAnsi="Calibri" w:cs="Calibri"/>
          <w:color w:val="000000"/>
        </w:rPr>
        <w:t>The consultation paper questioned whether there were any scheme rules that impose impediments or restrictions on mobile wallets provisioning competing networks on dual-network cards</w:t>
      </w:r>
      <w:r w:rsidR="00F45817" w:rsidRPr="002F5B37">
        <w:rPr>
          <w:rFonts w:ascii="Calibri" w:hAnsi="Calibri" w:cs="Calibri"/>
          <w:color w:val="000000"/>
        </w:rPr>
        <w:t>.</w:t>
      </w:r>
      <w:r w:rsidRPr="002F5B37">
        <w:rPr>
          <w:rFonts w:ascii="Calibri" w:hAnsi="Calibri" w:cs="Calibri"/>
          <w:color w:val="000000"/>
        </w:rPr>
        <w:t xml:space="preserve"> In consultations, most stakeholders reported that </w:t>
      </w:r>
      <w:r w:rsidR="00B5032E" w:rsidRPr="002F5B37">
        <w:rPr>
          <w:rFonts w:ascii="Calibri" w:hAnsi="Calibri" w:cs="Calibri"/>
          <w:color w:val="000000"/>
        </w:rPr>
        <w:t>they were unaware of such restrictions</w:t>
      </w:r>
      <w:r w:rsidRPr="002F5B37">
        <w:rPr>
          <w:rFonts w:ascii="Calibri" w:hAnsi="Calibri" w:cs="Calibri"/>
          <w:color w:val="000000"/>
        </w:rPr>
        <w:t>.</w:t>
      </w:r>
    </w:p>
    <w:p w14:paraId="7292DD2D" w14:textId="475B5FCE" w:rsidR="00227A90" w:rsidRPr="002F5B37" w:rsidRDefault="00227A90" w:rsidP="002F5B37">
      <w:pPr>
        <w:pStyle w:val="ListParagraph"/>
        <w:numPr>
          <w:ilvl w:val="0"/>
          <w:numId w:val="26"/>
        </w:numPr>
        <w:shd w:val="clear" w:color="auto" w:fill="FFFFFF" w:themeFill="background1"/>
        <w:autoSpaceDE w:val="0"/>
        <w:autoSpaceDN w:val="0"/>
        <w:adjustRightInd w:val="0"/>
        <w:spacing w:line="276" w:lineRule="auto"/>
        <w:rPr>
          <w:rFonts w:ascii="Calibri" w:hAnsi="Calibri" w:cs="Calibri"/>
          <w:color w:val="000000"/>
        </w:rPr>
      </w:pPr>
      <w:r w:rsidRPr="002F5B37">
        <w:rPr>
          <w:rFonts w:ascii="Calibri" w:hAnsi="Calibri" w:cs="Calibri"/>
          <w:color w:val="000000"/>
        </w:rPr>
        <w:t xml:space="preserve">Given the rapidly </w:t>
      </w:r>
      <w:r w:rsidR="00686FEB" w:rsidRPr="002F5B37">
        <w:rPr>
          <w:rFonts w:ascii="Calibri" w:hAnsi="Calibri" w:cs="Calibri"/>
          <w:color w:val="000000"/>
        </w:rPr>
        <w:t>evolving</w:t>
      </w:r>
      <w:r w:rsidRPr="002F5B37">
        <w:rPr>
          <w:rFonts w:ascii="Calibri" w:hAnsi="Calibri" w:cs="Calibri"/>
          <w:color w:val="000000"/>
        </w:rPr>
        <w:t xml:space="preserve"> nature </w:t>
      </w:r>
      <w:r w:rsidR="00686FEB" w:rsidRPr="002F5B37">
        <w:rPr>
          <w:rFonts w:ascii="Calibri" w:hAnsi="Calibri" w:cs="Calibri"/>
          <w:color w:val="000000"/>
        </w:rPr>
        <w:t>of digital technology</w:t>
      </w:r>
      <w:r w:rsidR="00596587" w:rsidRPr="002F5B37">
        <w:rPr>
          <w:rFonts w:ascii="Calibri" w:hAnsi="Calibri" w:cs="Calibri"/>
          <w:color w:val="000000"/>
        </w:rPr>
        <w:t>, t</w:t>
      </w:r>
      <w:r w:rsidRPr="002F5B37">
        <w:rPr>
          <w:rFonts w:ascii="Calibri" w:hAnsi="Calibri" w:cs="Calibri"/>
          <w:color w:val="000000"/>
        </w:rPr>
        <w:t>he RBA should avoid a regulatory solution that either</w:t>
      </w:r>
      <w:r w:rsidR="00686FEB" w:rsidRPr="002F5B37">
        <w:rPr>
          <w:rFonts w:ascii="Calibri" w:hAnsi="Calibri" w:cs="Calibri"/>
          <w:color w:val="000000"/>
        </w:rPr>
        <w:t xml:space="preserve"> locks in certain </w:t>
      </w:r>
      <w:r w:rsidR="00596587" w:rsidRPr="002F5B37">
        <w:rPr>
          <w:rFonts w:ascii="Calibri" w:hAnsi="Calibri" w:cs="Calibri"/>
          <w:color w:val="000000"/>
        </w:rPr>
        <w:t>technological</w:t>
      </w:r>
      <w:r w:rsidR="00686FEB" w:rsidRPr="002F5B37">
        <w:rPr>
          <w:rFonts w:ascii="Calibri" w:hAnsi="Calibri" w:cs="Calibri"/>
          <w:color w:val="000000"/>
        </w:rPr>
        <w:t xml:space="preserve"> or customer-experience options, or is </w:t>
      </w:r>
      <w:r w:rsidRPr="002F5B37">
        <w:rPr>
          <w:rFonts w:ascii="Calibri" w:hAnsi="Calibri" w:cs="Calibri"/>
          <w:color w:val="000000"/>
        </w:rPr>
        <w:t xml:space="preserve">easily avoided </w:t>
      </w:r>
      <w:r w:rsidR="00686FEB" w:rsidRPr="002F5B37">
        <w:rPr>
          <w:rFonts w:ascii="Calibri" w:hAnsi="Calibri" w:cs="Calibri"/>
          <w:color w:val="000000"/>
        </w:rPr>
        <w:t>by creative technical solutions. If the RBA decides to pursue</w:t>
      </w:r>
      <w:r w:rsidR="00553361" w:rsidRPr="002F5B37">
        <w:rPr>
          <w:rFonts w:ascii="Calibri" w:hAnsi="Calibri" w:cs="Calibri"/>
          <w:color w:val="000000"/>
        </w:rPr>
        <w:t xml:space="preserve"> a</w:t>
      </w:r>
      <w:r w:rsidR="00686FEB" w:rsidRPr="002F5B37">
        <w:rPr>
          <w:rFonts w:ascii="Calibri" w:hAnsi="Calibri" w:cs="Calibri"/>
          <w:color w:val="000000"/>
        </w:rPr>
        <w:t xml:space="preserve"> regulatory </w:t>
      </w:r>
      <w:r w:rsidR="00553361" w:rsidRPr="002F5B37">
        <w:rPr>
          <w:rFonts w:ascii="Calibri" w:hAnsi="Calibri" w:cs="Calibri"/>
          <w:color w:val="000000"/>
        </w:rPr>
        <w:t>option</w:t>
      </w:r>
      <w:r w:rsidR="00686FEB" w:rsidRPr="002F5B37">
        <w:rPr>
          <w:rFonts w:ascii="Calibri" w:hAnsi="Calibri" w:cs="Calibri"/>
          <w:color w:val="000000"/>
        </w:rPr>
        <w:t>, a technology-neutral, principles-based approach should be considered.</w:t>
      </w:r>
    </w:p>
    <w:p w14:paraId="0B1F14AB" w14:textId="6C972293" w:rsidR="007725CE" w:rsidRPr="002F5B37" w:rsidRDefault="008B1F7C" w:rsidP="002F5B37">
      <w:pPr>
        <w:pStyle w:val="ListParagraph"/>
        <w:numPr>
          <w:ilvl w:val="0"/>
          <w:numId w:val="26"/>
        </w:numPr>
        <w:shd w:val="clear" w:color="auto" w:fill="FFFFFF" w:themeFill="background1"/>
        <w:autoSpaceDE w:val="0"/>
        <w:autoSpaceDN w:val="0"/>
        <w:adjustRightInd w:val="0"/>
        <w:spacing w:line="276" w:lineRule="auto"/>
        <w:rPr>
          <w:rFonts w:ascii="Calibri" w:hAnsi="Calibri" w:cs="Calibri"/>
          <w:color w:val="000000"/>
        </w:rPr>
      </w:pPr>
      <w:r w:rsidRPr="002F5B37">
        <w:rPr>
          <w:rFonts w:ascii="Calibri" w:hAnsi="Calibri" w:cs="Calibri"/>
          <w:color w:val="000000"/>
        </w:rPr>
        <w:t xml:space="preserve">The RBA should consider how any regulatory intervention would affect consumer choice. </w:t>
      </w:r>
      <w:r w:rsidR="00A43F25" w:rsidRPr="002F5B37">
        <w:rPr>
          <w:rFonts w:ascii="Calibri" w:hAnsi="Calibri" w:cs="Calibri"/>
          <w:color w:val="000000"/>
        </w:rPr>
        <w:t>Customer experience is a key competitive advan</w:t>
      </w:r>
      <w:r w:rsidRPr="002F5B37">
        <w:rPr>
          <w:rFonts w:ascii="Calibri" w:hAnsi="Calibri" w:cs="Calibri"/>
          <w:color w:val="000000"/>
        </w:rPr>
        <w:t>tage of mobile wallet offerings and mobile wallet providers should be allowed to compete to attract customers via product differentiation.</w:t>
      </w:r>
      <w:r w:rsidR="00596587" w:rsidRPr="002F5B37">
        <w:rPr>
          <w:rFonts w:ascii="Calibri" w:hAnsi="Calibri" w:cs="Calibri"/>
          <w:color w:val="000000"/>
        </w:rPr>
        <w:t xml:space="preserve"> Consumers </w:t>
      </w:r>
      <w:r w:rsidR="00553361" w:rsidRPr="002F5B37">
        <w:rPr>
          <w:rFonts w:ascii="Calibri" w:hAnsi="Calibri" w:cs="Calibri"/>
          <w:color w:val="000000"/>
        </w:rPr>
        <w:t xml:space="preserve">have shown a preference for choice and flexibility, and </w:t>
      </w:r>
      <w:r w:rsidR="00596587" w:rsidRPr="002F5B37">
        <w:rPr>
          <w:rFonts w:ascii="Calibri" w:hAnsi="Calibri" w:cs="Calibri"/>
          <w:color w:val="000000"/>
        </w:rPr>
        <w:t>should have the right to choose which mobile application they wish to pay with.</w:t>
      </w:r>
    </w:p>
    <w:p w14:paraId="27E0399F" w14:textId="6CC9160B" w:rsidR="00B443F3" w:rsidRPr="0067159F" w:rsidRDefault="00733469" w:rsidP="00FC3826">
      <w:pPr>
        <w:spacing w:line="276" w:lineRule="auto"/>
        <w:rPr>
          <w:b/>
          <w:color w:val="2E74B5" w:themeColor="accent1" w:themeShade="BF"/>
          <w:sz w:val="32"/>
          <w:szCs w:val="32"/>
        </w:rPr>
      </w:pPr>
      <w:r w:rsidRPr="0067159F">
        <w:rPr>
          <w:b/>
          <w:color w:val="2E74B5" w:themeColor="accent1" w:themeShade="BF"/>
          <w:sz w:val="32"/>
          <w:szCs w:val="32"/>
        </w:rPr>
        <w:t>The</w:t>
      </w:r>
      <w:r w:rsidR="00B443F3" w:rsidRPr="0067159F">
        <w:rPr>
          <w:b/>
          <w:color w:val="2E74B5" w:themeColor="accent1" w:themeShade="BF"/>
          <w:sz w:val="32"/>
          <w:szCs w:val="32"/>
        </w:rPr>
        <w:t xml:space="preserve"> Evolving Digital</w:t>
      </w:r>
      <w:r w:rsidRPr="0067159F">
        <w:rPr>
          <w:b/>
          <w:color w:val="2E74B5" w:themeColor="accent1" w:themeShade="BF"/>
          <w:sz w:val="32"/>
          <w:szCs w:val="32"/>
        </w:rPr>
        <w:t xml:space="preserve"> Consumer</w:t>
      </w:r>
      <w:r w:rsidR="00B443F3" w:rsidRPr="0067159F">
        <w:rPr>
          <w:b/>
          <w:color w:val="2E74B5" w:themeColor="accent1" w:themeShade="BF"/>
          <w:sz w:val="32"/>
          <w:szCs w:val="32"/>
        </w:rPr>
        <w:t xml:space="preserve"> Landscape </w:t>
      </w:r>
    </w:p>
    <w:p w14:paraId="3B67AE8E" w14:textId="3DB59653" w:rsidR="005A2334" w:rsidRDefault="00C92200" w:rsidP="00FC3826">
      <w:pPr>
        <w:spacing w:line="276" w:lineRule="auto"/>
      </w:pPr>
      <w:r>
        <w:t>T</w:t>
      </w:r>
      <w:r w:rsidR="005A2334">
        <w:t xml:space="preserve">he move to </w:t>
      </w:r>
      <w:r w:rsidR="00B443F3">
        <w:t>mobile</w:t>
      </w:r>
      <w:r w:rsidR="005A2334">
        <w:t xml:space="preserve"> payments </w:t>
      </w:r>
      <w:r w:rsidR="002745CD">
        <w:t>is</w:t>
      </w:r>
      <w:r w:rsidR="005A2334">
        <w:t xml:space="preserve"> part of a</w:t>
      </w:r>
      <w:r w:rsidR="00F031FC">
        <w:t>n</w:t>
      </w:r>
      <w:r w:rsidR="005A2334">
        <w:t xml:space="preserve"> </w:t>
      </w:r>
      <w:r w:rsidR="00733469">
        <w:t>economy-wide</w:t>
      </w:r>
      <w:r w:rsidR="005A2334">
        <w:t xml:space="preserve"> move towards digit</w:t>
      </w:r>
      <w:r w:rsidR="004846EE">
        <w:t>al</w:t>
      </w:r>
      <w:r w:rsidR="005A2334">
        <w:t xml:space="preserve"> services. </w:t>
      </w:r>
      <w:r>
        <w:t>The move encompasses everything from</w:t>
      </w:r>
      <w:r w:rsidR="005A2334">
        <w:t xml:space="preserve"> digitisation of airline boarding passes</w:t>
      </w:r>
      <w:r>
        <w:t xml:space="preserve"> and </w:t>
      </w:r>
      <w:r w:rsidR="005A2334">
        <w:t xml:space="preserve">cinema tickets, through to government proposals for </w:t>
      </w:r>
      <w:r>
        <w:t>mobile</w:t>
      </w:r>
      <w:r w:rsidR="005A2334">
        <w:t xml:space="preserve"> public transport cards, </w:t>
      </w:r>
      <w:r>
        <w:t>digital driver licences</w:t>
      </w:r>
      <w:r w:rsidR="002745CD">
        <w:t>, and e-passports.</w:t>
      </w:r>
    </w:p>
    <w:p w14:paraId="582D13FB" w14:textId="06BAAE59" w:rsidR="00B443F3" w:rsidRDefault="00733469" w:rsidP="00FC3826">
      <w:pPr>
        <w:spacing w:line="276" w:lineRule="auto"/>
      </w:pPr>
      <w:r>
        <w:lastRenderedPageBreak/>
        <w:t>C</w:t>
      </w:r>
      <w:r w:rsidR="002745CD">
        <w:t xml:space="preserve">onsumers have responded </w:t>
      </w:r>
      <w:r w:rsidR="00B443F3">
        <w:t>enthusiastically</w:t>
      </w:r>
      <w:r w:rsidR="002745CD">
        <w:t xml:space="preserve"> to these trends. In turn, consumer take-up has driven further</w:t>
      </w:r>
      <w:r w:rsidR="00B443F3">
        <w:t xml:space="preserve"> investment</w:t>
      </w:r>
      <w:r w:rsidR="00C92200">
        <w:t xml:space="preserve"> </w:t>
      </w:r>
      <w:r w:rsidR="00B443F3">
        <w:t>–</w:t>
      </w:r>
      <w:r w:rsidR="00C92200">
        <w:t xml:space="preserve"> </w:t>
      </w:r>
      <w:r>
        <w:t xml:space="preserve">both in </w:t>
      </w:r>
      <w:r w:rsidR="002745CD">
        <w:t>enhanc</w:t>
      </w:r>
      <w:r w:rsidR="00B443F3">
        <w:t>ing</w:t>
      </w:r>
      <w:r w:rsidR="002745CD">
        <w:t xml:space="preserve"> the </w:t>
      </w:r>
      <w:r w:rsidR="00B443F3">
        <w:t xml:space="preserve">existing consumer </w:t>
      </w:r>
      <w:r w:rsidR="002745CD">
        <w:t xml:space="preserve">digital experience, and </w:t>
      </w:r>
      <w:r w:rsidR="00B443F3">
        <w:t>in</w:t>
      </w:r>
      <w:r w:rsidR="002745CD">
        <w:t xml:space="preserve"> explor</w:t>
      </w:r>
      <w:r w:rsidR="00B443F3">
        <w:t>ing</w:t>
      </w:r>
      <w:r w:rsidR="002745CD">
        <w:t xml:space="preserve"> opportunities for digitisation of </w:t>
      </w:r>
      <w:r w:rsidR="00B443F3">
        <w:t xml:space="preserve">even </w:t>
      </w:r>
      <w:r w:rsidR="002745CD">
        <w:t>more services</w:t>
      </w:r>
      <w:r>
        <w:t xml:space="preserve">. </w:t>
      </w:r>
      <w:r w:rsidR="00130918">
        <w:t xml:space="preserve">Mobile payments </w:t>
      </w:r>
      <w:r w:rsidR="00D20D7A">
        <w:t>offer significant</w:t>
      </w:r>
      <w:r w:rsidR="00C92200">
        <w:t xml:space="preserve"> opportunities</w:t>
      </w:r>
      <w:r w:rsidR="00F031FC">
        <w:t xml:space="preserve"> for transformation of the customer experience</w:t>
      </w:r>
      <w:r w:rsidR="00130918">
        <w:t>, for both how customers make payments, and how mobile payments enable other digital services and innovation</w:t>
      </w:r>
      <w:r w:rsidR="00C92200">
        <w:t>.</w:t>
      </w:r>
    </w:p>
    <w:p w14:paraId="050D0B43" w14:textId="405E2C31" w:rsidR="00FC7E54" w:rsidRPr="0067159F" w:rsidRDefault="00FC7E54" w:rsidP="00FC3826">
      <w:pPr>
        <w:spacing w:line="276" w:lineRule="auto"/>
        <w:rPr>
          <w:color w:val="2E74B5" w:themeColor="accent1" w:themeShade="BF"/>
          <w:sz w:val="32"/>
          <w:szCs w:val="32"/>
        </w:rPr>
      </w:pPr>
      <w:r w:rsidRPr="0067159F">
        <w:rPr>
          <w:b/>
          <w:color w:val="2E74B5" w:themeColor="accent1" w:themeShade="BF"/>
          <w:sz w:val="32"/>
          <w:szCs w:val="32"/>
        </w:rPr>
        <w:t xml:space="preserve">The </w:t>
      </w:r>
      <w:r w:rsidR="00F031FC" w:rsidRPr="0067159F">
        <w:rPr>
          <w:b/>
          <w:color w:val="2E74B5" w:themeColor="accent1" w:themeShade="BF"/>
          <w:sz w:val="32"/>
          <w:szCs w:val="32"/>
        </w:rPr>
        <w:t>Scenario</w:t>
      </w:r>
    </w:p>
    <w:p w14:paraId="1460124C" w14:textId="278701F7" w:rsidR="00FC7E54" w:rsidRPr="00D524BD" w:rsidRDefault="00FC7E54" w:rsidP="00FC3826">
      <w:pPr>
        <w:spacing w:line="276" w:lineRule="auto"/>
      </w:pPr>
      <w:r w:rsidRPr="00D524BD">
        <w:t xml:space="preserve">The </w:t>
      </w:r>
      <w:r w:rsidR="00DB16B8">
        <w:t>Consultation Paper</w:t>
      </w:r>
      <w:r w:rsidRPr="00D524BD">
        <w:t xml:space="preserve"> indicate</w:t>
      </w:r>
      <w:r w:rsidR="00DB16B8">
        <w:t>s</w:t>
      </w:r>
      <w:r w:rsidRPr="00D524BD">
        <w:t xml:space="preserve"> that stakeholders have reported conduct that may have the effect of </w:t>
      </w:r>
      <w:r w:rsidR="00D524BD">
        <w:t>inhibiting competition within the emerging mobile payments sphere:</w:t>
      </w:r>
    </w:p>
    <w:p w14:paraId="6FC48333" w14:textId="2D1BABA1" w:rsidR="003D7876" w:rsidRPr="00D25F3E" w:rsidRDefault="004E28C4" w:rsidP="00FC3826">
      <w:pPr>
        <w:pStyle w:val="ListParagraph"/>
        <w:numPr>
          <w:ilvl w:val="0"/>
          <w:numId w:val="22"/>
        </w:numPr>
        <w:autoSpaceDE w:val="0"/>
        <w:autoSpaceDN w:val="0"/>
        <w:adjustRightInd w:val="0"/>
        <w:spacing w:line="276" w:lineRule="auto"/>
        <w:rPr>
          <w:rFonts w:cs="Arial"/>
          <w:i/>
          <w:color w:val="000000"/>
        </w:rPr>
      </w:pPr>
      <w:r w:rsidRPr="00D25F3E">
        <w:rPr>
          <w:rFonts w:cs="Arial"/>
          <w:i/>
          <w:color w:val="000000"/>
        </w:rPr>
        <w:t>“Scheme rules or policies of a network that prevent or hinder Australian card issuers from provisioning a competitor network for mobile payments (either expressly or through policies or restrictions that achieve that outcome in practice). In particular, stakeholders have raised concerns that issuers with existing dual-network cards might be prevented from enabling both networks on those cards for mobile payments.”</w:t>
      </w:r>
    </w:p>
    <w:p w14:paraId="1D344707" w14:textId="77777777" w:rsidR="003D7876" w:rsidRPr="00D25F3E" w:rsidRDefault="003D7876" w:rsidP="00FC3826">
      <w:pPr>
        <w:pStyle w:val="ListParagraph"/>
        <w:numPr>
          <w:ilvl w:val="0"/>
          <w:numId w:val="22"/>
        </w:numPr>
        <w:autoSpaceDE w:val="0"/>
        <w:autoSpaceDN w:val="0"/>
        <w:adjustRightInd w:val="0"/>
        <w:spacing w:line="276" w:lineRule="auto"/>
        <w:rPr>
          <w:rFonts w:cs="Arial"/>
          <w:i/>
          <w:color w:val="000000"/>
        </w:rPr>
      </w:pPr>
      <w:r w:rsidRPr="00D25F3E">
        <w:rPr>
          <w:rFonts w:cs="Arial"/>
          <w:i/>
          <w:color w:val="000000"/>
        </w:rPr>
        <w:t>“Contractual terms for tokenisation services that could penalise an Australian issuer for provisioning a competitor network for mobile payments. In particular, stakeholders have raised concerns that contractual terms may allow a scheme to increase the price of tokenisation services for issuers that choose to also enable a network other than that scheme.”</w:t>
      </w:r>
    </w:p>
    <w:p w14:paraId="5BD20279" w14:textId="5DA12ADB" w:rsidR="00207443" w:rsidRDefault="00207443" w:rsidP="00FC3826">
      <w:pPr>
        <w:spacing w:line="276" w:lineRule="auto"/>
        <w:rPr>
          <w:rFonts w:ascii="Calibri" w:hAnsi="Calibri"/>
        </w:rPr>
      </w:pPr>
      <w:r>
        <w:rPr>
          <w:rFonts w:ascii="Calibri" w:hAnsi="Calibri"/>
        </w:rPr>
        <w:t xml:space="preserve">APCA understands that the RBA’s </w:t>
      </w:r>
      <w:r w:rsidR="004846EE">
        <w:rPr>
          <w:rFonts w:ascii="Calibri" w:hAnsi="Calibri"/>
        </w:rPr>
        <w:t xml:space="preserve">goal is to support </w:t>
      </w:r>
      <w:r>
        <w:rPr>
          <w:rFonts w:ascii="Calibri" w:hAnsi="Calibri"/>
        </w:rPr>
        <w:t>payment choice, driving competition and efficiency. In th</w:t>
      </w:r>
      <w:r w:rsidR="004846EE">
        <w:rPr>
          <w:rFonts w:ascii="Calibri" w:hAnsi="Calibri"/>
        </w:rPr>
        <w:t>is</w:t>
      </w:r>
      <w:r>
        <w:rPr>
          <w:rFonts w:ascii="Calibri" w:hAnsi="Calibri"/>
        </w:rPr>
        <w:t xml:space="preserve"> light, the RBA is concerned that the move to mobile </w:t>
      </w:r>
      <w:r w:rsidRPr="0011568D">
        <w:rPr>
          <w:rFonts w:ascii="Calibri" w:hAnsi="Calibri"/>
        </w:rPr>
        <w:t xml:space="preserve">payment apps </w:t>
      </w:r>
      <w:r w:rsidR="00137392" w:rsidRPr="0011568D">
        <w:rPr>
          <w:rFonts w:ascii="Calibri" w:hAnsi="Calibri"/>
        </w:rPr>
        <w:t xml:space="preserve">may </w:t>
      </w:r>
      <w:r w:rsidR="003D7876">
        <w:rPr>
          <w:rFonts w:ascii="Calibri" w:hAnsi="Calibri"/>
        </w:rPr>
        <w:t>hinder access to</w:t>
      </w:r>
      <w:r w:rsidR="00137392" w:rsidRPr="0011568D">
        <w:rPr>
          <w:rFonts w:ascii="Calibri" w:hAnsi="Calibri"/>
        </w:rPr>
        <w:t xml:space="preserve"> eftpos</w:t>
      </w:r>
      <w:r w:rsidR="00D7338F">
        <w:rPr>
          <w:rFonts w:ascii="Calibri" w:hAnsi="Calibri"/>
        </w:rPr>
        <w:t>, for both merchants and customers</w:t>
      </w:r>
      <w:r w:rsidR="003D7876">
        <w:rPr>
          <w:rFonts w:ascii="Calibri" w:hAnsi="Calibri"/>
        </w:rPr>
        <w:t>.</w:t>
      </w:r>
    </w:p>
    <w:p w14:paraId="5FD32798" w14:textId="4F85B8C4" w:rsidR="00FC7E54" w:rsidRPr="00C17073" w:rsidRDefault="003D7876" w:rsidP="00FC3826">
      <w:pPr>
        <w:spacing w:line="276" w:lineRule="auto"/>
        <w:rPr>
          <w:rFonts w:ascii="Calibri" w:hAnsi="Calibri"/>
        </w:rPr>
      </w:pPr>
      <w:r>
        <w:rPr>
          <w:rFonts w:ascii="Calibri" w:hAnsi="Calibri"/>
        </w:rPr>
        <w:t>C</w:t>
      </w:r>
      <w:r w:rsidR="00D524BD" w:rsidRPr="00C17073">
        <w:rPr>
          <w:rFonts w:ascii="Calibri" w:hAnsi="Calibri"/>
        </w:rPr>
        <w:t xml:space="preserve">ompetition and efficiency within the industry </w:t>
      </w:r>
      <w:r w:rsidR="004846EE">
        <w:rPr>
          <w:rFonts w:ascii="Calibri" w:hAnsi="Calibri"/>
        </w:rPr>
        <w:t>is</w:t>
      </w:r>
      <w:r w:rsidR="00D524BD" w:rsidRPr="00C17073">
        <w:rPr>
          <w:rFonts w:ascii="Calibri" w:hAnsi="Calibri"/>
        </w:rPr>
        <w:t xml:space="preserve"> driven by providing a range of payment choices.</w:t>
      </w:r>
      <w:r w:rsidR="00B53BB4" w:rsidRPr="00C17073">
        <w:rPr>
          <w:rFonts w:ascii="Calibri" w:hAnsi="Calibri"/>
        </w:rPr>
        <w:t xml:space="preserve"> The current dual network cards support </w:t>
      </w:r>
      <w:r w:rsidR="00151F9A" w:rsidRPr="00C17073">
        <w:rPr>
          <w:rFonts w:ascii="Calibri" w:hAnsi="Calibri"/>
        </w:rPr>
        <w:t xml:space="preserve">competition by allowing a consumer to easily choose between two different payment options. </w:t>
      </w:r>
      <w:r>
        <w:rPr>
          <w:rFonts w:ascii="Calibri" w:hAnsi="Calibri"/>
        </w:rPr>
        <w:t xml:space="preserve"> </w:t>
      </w:r>
      <w:r w:rsidR="00945CE6">
        <w:rPr>
          <w:rFonts w:ascii="Calibri" w:hAnsi="Calibri"/>
        </w:rPr>
        <w:t xml:space="preserve">From a macro policy perspective, APCA supports an outcome where consumers can easily choose between two (or more) different mobile payment options.  Ensuring this consumer choice eventuates requires that there is a level playing field for provisioning mobile payment applications, and that </w:t>
      </w:r>
      <w:r w:rsidR="00102089">
        <w:rPr>
          <w:rFonts w:ascii="Calibri" w:hAnsi="Calibri"/>
        </w:rPr>
        <w:t xml:space="preserve">merchants and </w:t>
      </w:r>
      <w:r w:rsidR="00945CE6">
        <w:rPr>
          <w:rFonts w:ascii="Calibri" w:hAnsi="Calibri"/>
        </w:rPr>
        <w:t>customers can freely choose which mobile payment application they wish to pay with.</w:t>
      </w:r>
    </w:p>
    <w:p w14:paraId="7B61D8FA" w14:textId="1A4EBB8C" w:rsidR="00C17073" w:rsidRPr="0067159F" w:rsidRDefault="00C17073" w:rsidP="00FC3826">
      <w:pPr>
        <w:spacing w:line="276" w:lineRule="auto"/>
        <w:rPr>
          <w:b/>
          <w:color w:val="2E74B5" w:themeColor="accent1" w:themeShade="BF"/>
          <w:sz w:val="32"/>
          <w:szCs w:val="32"/>
        </w:rPr>
      </w:pPr>
      <w:r w:rsidRPr="0067159F">
        <w:rPr>
          <w:b/>
          <w:color w:val="2E74B5" w:themeColor="accent1" w:themeShade="BF"/>
          <w:sz w:val="32"/>
          <w:szCs w:val="32"/>
        </w:rPr>
        <w:t>Response to Questions</w:t>
      </w:r>
      <w:r w:rsidR="00C91C3C" w:rsidRPr="0067159F">
        <w:rPr>
          <w:b/>
          <w:color w:val="2E74B5" w:themeColor="accent1" w:themeShade="BF"/>
          <w:sz w:val="32"/>
          <w:szCs w:val="32"/>
        </w:rPr>
        <w:t xml:space="preserve"> Posed by the RBA</w:t>
      </w:r>
    </w:p>
    <w:p w14:paraId="2592FD19" w14:textId="2575BA7A" w:rsidR="005A2334" w:rsidRPr="00C17073" w:rsidRDefault="00E36306" w:rsidP="00FC3826">
      <w:pPr>
        <w:shd w:val="clear" w:color="auto" w:fill="BDD6EE" w:themeFill="accent1" w:themeFillTint="66"/>
        <w:spacing w:line="276" w:lineRule="auto"/>
        <w:jc w:val="both"/>
        <w:rPr>
          <w:b/>
          <w:color w:val="000000" w:themeColor="text1"/>
          <w:sz w:val="20"/>
          <w:szCs w:val="20"/>
          <w:u w:val="single"/>
        </w:rPr>
      </w:pPr>
      <w:r w:rsidRPr="00DB16B8">
        <w:rPr>
          <w:rFonts w:ascii="Calibri" w:hAnsi="Calibri" w:cs="Calibri"/>
          <w:i/>
          <w:color w:val="000000" w:themeColor="text1"/>
          <w:sz w:val="20"/>
          <w:szCs w:val="20"/>
        </w:rPr>
        <w:t xml:space="preserve">What are the views of end-users (cardholders and merchants) regarding dual-network cards, including their use in mobile payments? Are there particular benefits that arise for end-users from having multiple payment networks available on a mobile device? What risks and costs might arise? </w:t>
      </w:r>
    </w:p>
    <w:p w14:paraId="199884C6" w14:textId="6586747E" w:rsidR="0073075B" w:rsidRDefault="00BE3E5D" w:rsidP="00FC3826">
      <w:pPr>
        <w:spacing w:line="276" w:lineRule="auto"/>
      </w:pPr>
      <w:r>
        <w:t>S</w:t>
      </w:r>
      <w:r w:rsidR="0073075B">
        <w:t>takeholders noted a wide range of consumer benefits, ranging from differentiated functionality (different networks offering different product propositions), linkages to accounts at different financial institutions (some stakeholders cited choice of account as more important to consumers than choice of network), and providing a low-friction consumer experience.</w:t>
      </w:r>
    </w:p>
    <w:p w14:paraId="27B42114" w14:textId="685C06DC" w:rsidR="00A72B7E" w:rsidRDefault="00BE3E5D" w:rsidP="00FC3826">
      <w:pPr>
        <w:autoSpaceDE w:val="0"/>
        <w:autoSpaceDN w:val="0"/>
        <w:adjustRightInd w:val="0"/>
        <w:spacing w:line="276" w:lineRule="auto"/>
        <w:rPr>
          <w:rFonts w:ascii="Calibri" w:hAnsi="Calibri" w:cs="Calibri"/>
          <w:color w:val="000000"/>
        </w:rPr>
      </w:pPr>
      <w:r>
        <w:rPr>
          <w:rFonts w:ascii="Calibri" w:hAnsi="Calibri" w:cs="Calibri"/>
          <w:color w:val="000000"/>
        </w:rPr>
        <w:t>Some s</w:t>
      </w:r>
      <w:r w:rsidR="00E50494">
        <w:rPr>
          <w:rFonts w:ascii="Calibri" w:hAnsi="Calibri" w:cs="Calibri"/>
          <w:color w:val="000000"/>
        </w:rPr>
        <w:t xml:space="preserve">takeholders cited one key benefit as providing a low-friction customer experience. </w:t>
      </w:r>
      <w:r>
        <w:rPr>
          <w:rFonts w:ascii="Calibri" w:hAnsi="Calibri" w:cs="Calibri"/>
          <w:color w:val="000000"/>
        </w:rPr>
        <w:t>O</w:t>
      </w:r>
      <w:r w:rsidR="00E50494">
        <w:rPr>
          <w:rFonts w:ascii="Calibri" w:hAnsi="Calibri" w:cs="Calibri"/>
          <w:color w:val="000000"/>
        </w:rPr>
        <w:t>ther</w:t>
      </w:r>
      <w:r>
        <w:rPr>
          <w:rFonts w:ascii="Calibri" w:hAnsi="Calibri" w:cs="Calibri"/>
          <w:color w:val="000000"/>
        </w:rPr>
        <w:t>s</w:t>
      </w:r>
      <w:r w:rsidR="00E50494">
        <w:rPr>
          <w:rFonts w:ascii="Calibri" w:hAnsi="Calibri" w:cs="Calibri"/>
          <w:color w:val="000000"/>
        </w:rPr>
        <w:t xml:space="preserve"> </w:t>
      </w:r>
      <w:r w:rsidR="00B774DA">
        <w:rPr>
          <w:rFonts w:ascii="Calibri" w:hAnsi="Calibri" w:cs="Calibri"/>
          <w:color w:val="000000"/>
        </w:rPr>
        <w:t xml:space="preserve">indicated that </w:t>
      </w:r>
      <w:r w:rsidR="00E50494">
        <w:rPr>
          <w:rFonts w:ascii="Calibri" w:hAnsi="Calibri" w:cs="Calibri"/>
          <w:color w:val="000000"/>
        </w:rPr>
        <w:t>r</w:t>
      </w:r>
      <w:r w:rsidR="003739DC">
        <w:rPr>
          <w:rFonts w:ascii="Calibri" w:hAnsi="Calibri" w:cs="Calibri"/>
          <w:color w:val="000000"/>
        </w:rPr>
        <w:t xml:space="preserve">isks </w:t>
      </w:r>
      <w:r w:rsidR="00B774DA">
        <w:rPr>
          <w:rFonts w:ascii="Calibri" w:hAnsi="Calibri" w:cs="Calibri"/>
          <w:color w:val="000000"/>
        </w:rPr>
        <w:t xml:space="preserve">may </w:t>
      </w:r>
      <w:r w:rsidR="003739DC">
        <w:rPr>
          <w:rFonts w:ascii="Calibri" w:hAnsi="Calibri" w:cs="Calibri"/>
          <w:color w:val="000000"/>
        </w:rPr>
        <w:t xml:space="preserve">arise from </w:t>
      </w:r>
      <w:r w:rsidR="00A17BDA">
        <w:rPr>
          <w:rFonts w:ascii="Calibri" w:hAnsi="Calibri" w:cs="Calibri"/>
          <w:color w:val="000000"/>
        </w:rPr>
        <w:t xml:space="preserve">complicating consumer experiences as a result of either regulatory settings, or inefficient co-existence of multiple networks on a mobile device.  </w:t>
      </w:r>
    </w:p>
    <w:p w14:paraId="2D8011AC" w14:textId="77777777" w:rsidR="00E51C31" w:rsidRPr="00D20D7A" w:rsidRDefault="00E51C31" w:rsidP="00FC3826">
      <w:pPr>
        <w:autoSpaceDE w:val="0"/>
        <w:autoSpaceDN w:val="0"/>
        <w:adjustRightInd w:val="0"/>
        <w:spacing w:line="276" w:lineRule="auto"/>
        <w:rPr>
          <w:rFonts w:ascii="Calibri" w:hAnsi="Calibri" w:cs="Calibri"/>
          <w:color w:val="000000"/>
        </w:rPr>
      </w:pPr>
    </w:p>
    <w:p w14:paraId="5A1736B0" w14:textId="486D22C0" w:rsidR="00881575" w:rsidRDefault="00E36306" w:rsidP="00FC3826">
      <w:pPr>
        <w:shd w:val="clear" w:color="auto" w:fill="BDD6EE" w:themeFill="accent1" w:themeFillTint="66"/>
        <w:autoSpaceDE w:val="0"/>
        <w:autoSpaceDN w:val="0"/>
        <w:adjustRightInd w:val="0"/>
        <w:spacing w:line="276" w:lineRule="auto"/>
        <w:jc w:val="both"/>
        <w:rPr>
          <w:rFonts w:ascii="Calibri" w:hAnsi="Calibri" w:cs="Calibri"/>
          <w:color w:val="000000"/>
          <w:sz w:val="20"/>
          <w:szCs w:val="20"/>
        </w:rPr>
      </w:pPr>
      <w:r w:rsidRPr="00DB16B8">
        <w:rPr>
          <w:rFonts w:ascii="Calibri" w:hAnsi="Calibri" w:cs="Calibri"/>
          <w:i/>
          <w:color w:val="000000"/>
          <w:sz w:val="20"/>
          <w:szCs w:val="20"/>
        </w:rPr>
        <w:t xml:space="preserve">Are there any impediments or restrictions imposed (or planned or foreshadowed) by card schemes on the mobile wallet provisioning of competing networks on dual-network cards? If so, how significant are these and can they be justified on commercial or other grounds? </w:t>
      </w:r>
    </w:p>
    <w:p w14:paraId="7DD246A7" w14:textId="1377EB7D" w:rsidR="008458AA" w:rsidRDefault="0086325F" w:rsidP="00FC3826">
      <w:pPr>
        <w:autoSpaceDE w:val="0"/>
        <w:autoSpaceDN w:val="0"/>
        <w:adjustRightInd w:val="0"/>
        <w:spacing w:line="276" w:lineRule="auto"/>
      </w:pPr>
      <w:r w:rsidRPr="00826967">
        <w:rPr>
          <w:rFonts w:ascii="Calibri" w:hAnsi="Calibri" w:cs="Calibri"/>
          <w:color w:val="000000"/>
        </w:rPr>
        <w:t>In discussions in</w:t>
      </w:r>
      <w:r w:rsidR="00826967" w:rsidRPr="00826967">
        <w:rPr>
          <w:rFonts w:ascii="Calibri" w:hAnsi="Calibri" w:cs="Calibri"/>
          <w:color w:val="000000"/>
        </w:rPr>
        <w:t xml:space="preserve"> preparation of this submission</w:t>
      </w:r>
      <w:r w:rsidR="00826967" w:rsidRPr="00826967">
        <w:t>, most stakeholders reported that they had no knowledge of conduct</w:t>
      </w:r>
      <w:r w:rsidR="009033DA">
        <w:t xml:space="preserve"> of this nature</w:t>
      </w:r>
      <w:r w:rsidR="00826967" w:rsidRPr="00826967">
        <w:t xml:space="preserve">. However, </w:t>
      </w:r>
      <w:r w:rsidR="008458AA">
        <w:t>some other stakeholders reported that they felt that there was evidence of this conduct within the industry.</w:t>
      </w:r>
    </w:p>
    <w:p w14:paraId="077338E2" w14:textId="2715A018" w:rsidR="008458AA" w:rsidRDefault="008458AA" w:rsidP="00FC3826">
      <w:pPr>
        <w:autoSpaceDE w:val="0"/>
        <w:autoSpaceDN w:val="0"/>
        <w:adjustRightInd w:val="0"/>
        <w:spacing w:line="276" w:lineRule="auto"/>
      </w:pPr>
      <w:r>
        <w:t xml:space="preserve">Nonetheless, </w:t>
      </w:r>
      <w:r w:rsidR="00826967" w:rsidRPr="00826967">
        <w:t>APCA is concerned by any reports of anti-competitive behaviour in the industry</w:t>
      </w:r>
      <w:r w:rsidR="003739DC">
        <w:t>.</w:t>
      </w:r>
      <w:r>
        <w:t xml:space="preserve"> As primary regulator of the payments industry, the RBA is best placed to assess and appropriately manage these issues.</w:t>
      </w:r>
    </w:p>
    <w:p w14:paraId="3B3891C3" w14:textId="6A8BF03A" w:rsidR="00881575"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What are the likely effects – on competition and efficiency in the payments system, as well as more broadly – of the action of any scheme to prevent or discourage the mobile wallet provisioning of a competing network on a dual-network card? Are there benefits for end-users that arise from rules or policies that constrain the provisioning of an additional network on a device? </w:t>
      </w:r>
    </w:p>
    <w:p w14:paraId="74FBA65F" w14:textId="79CA7E5D" w:rsidR="003739DC" w:rsidRPr="007A3B8C" w:rsidRDefault="007A3B8C" w:rsidP="00FC3826">
      <w:pPr>
        <w:autoSpaceDE w:val="0"/>
        <w:autoSpaceDN w:val="0"/>
        <w:adjustRightInd w:val="0"/>
        <w:spacing w:line="276" w:lineRule="auto"/>
        <w:rPr>
          <w:rFonts w:cs="Calibri"/>
          <w:color w:val="000000"/>
        </w:rPr>
      </w:pPr>
      <w:r w:rsidRPr="007A3B8C">
        <w:rPr>
          <w:rStyle w:val="HTMLTypewriter"/>
          <w:rFonts w:asciiTheme="minorHAnsi" w:eastAsiaTheme="minorHAnsi" w:hAnsiTheme="minorHAnsi"/>
          <w:sz w:val="22"/>
          <w:szCs w:val="22"/>
        </w:rPr>
        <w:t>APCA views that competition is best promoted by enabling consumer choice within a mobile environment</w:t>
      </w:r>
      <w:r w:rsidR="000F7A9C" w:rsidRPr="007A3B8C">
        <w:rPr>
          <w:rFonts w:cs="Calibri"/>
          <w:color w:val="000000"/>
        </w:rPr>
        <w:t xml:space="preserve">. </w:t>
      </w:r>
      <w:r w:rsidR="00583AEA" w:rsidRPr="007A3B8C">
        <w:rPr>
          <w:rFonts w:cs="Calibri"/>
          <w:color w:val="000000"/>
        </w:rPr>
        <w:t xml:space="preserve">Enabling consumer choice will encourage </w:t>
      </w:r>
      <w:r w:rsidR="00765935" w:rsidRPr="007A3B8C">
        <w:rPr>
          <w:rFonts w:cs="Calibri"/>
          <w:color w:val="000000"/>
        </w:rPr>
        <w:t xml:space="preserve">mobile payments </w:t>
      </w:r>
      <w:r w:rsidR="00583AEA" w:rsidRPr="007A3B8C">
        <w:rPr>
          <w:rFonts w:cs="Calibri"/>
          <w:color w:val="000000"/>
        </w:rPr>
        <w:t>take-up.</w:t>
      </w:r>
    </w:p>
    <w:p w14:paraId="35336E44" w14:textId="0461BA1D" w:rsidR="00881575"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Do cardholders, issuers or others have views as to the feasibility of different possible ways of provisioning dual-network cards? </w:t>
      </w:r>
    </w:p>
    <w:p w14:paraId="560D26B1" w14:textId="59946F12" w:rsidR="005F3BEC" w:rsidRPr="009033DA" w:rsidRDefault="003739DC" w:rsidP="00FC3826">
      <w:pPr>
        <w:autoSpaceDE w:val="0"/>
        <w:autoSpaceDN w:val="0"/>
        <w:adjustRightInd w:val="0"/>
        <w:spacing w:line="276" w:lineRule="auto"/>
        <w:rPr>
          <w:rFonts w:ascii="Calibri" w:hAnsi="Calibri" w:cs="Calibri"/>
          <w:color w:val="000000"/>
        </w:rPr>
      </w:pPr>
      <w:r>
        <w:rPr>
          <w:rFonts w:ascii="Calibri" w:hAnsi="Calibri" w:cs="Calibri"/>
          <w:color w:val="000000"/>
        </w:rPr>
        <w:t xml:space="preserve">Stakeholders noted that </w:t>
      </w:r>
      <w:r w:rsidR="009033DA">
        <w:rPr>
          <w:rFonts w:ascii="Calibri" w:hAnsi="Calibri" w:cs="Calibri"/>
          <w:color w:val="000000"/>
        </w:rPr>
        <w:t>provisioning of dual-network functioning can occur in a number of ways. Each issuer will have their own views as to optimal processing for their customers. Wallet providers (either issuers or third-parties) may not necessarily offer the same networks.</w:t>
      </w:r>
    </w:p>
    <w:p w14:paraId="03DC733E" w14:textId="21A1A174" w:rsidR="00881575"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Under the existing voluntary undertakings to the Bank in place since August 2013 (see page 4), schemes have committed to some voluntary principles regarding dual-network cards. Have these principles been an effective response to the competitive issues that arose earlier? Have there been any issues in practice with the operation of these principles? Would an extension of these principles be an appropriate response to the current issues? </w:t>
      </w:r>
    </w:p>
    <w:p w14:paraId="2B5905A0" w14:textId="4B153AEE" w:rsidR="00752AD8" w:rsidRDefault="00752AD8" w:rsidP="00FC3826">
      <w:pPr>
        <w:autoSpaceDE w:val="0"/>
        <w:autoSpaceDN w:val="0"/>
        <w:adjustRightInd w:val="0"/>
        <w:spacing w:line="276" w:lineRule="auto"/>
        <w:rPr>
          <w:rFonts w:ascii="Calibri" w:hAnsi="Calibri" w:cs="Calibri"/>
          <w:color w:val="000000"/>
        </w:rPr>
      </w:pPr>
      <w:r>
        <w:rPr>
          <w:rFonts w:ascii="Calibri" w:hAnsi="Calibri" w:cs="Calibri"/>
          <w:color w:val="000000"/>
        </w:rPr>
        <w:t xml:space="preserve">APCA has identified a diversity of stakeholder views on the appropriateness of extending existing voluntary undertakings to cover mobile wallets. Some stakeholders felt that the voluntary undertakings had worked well, and offered a useful precedent </w:t>
      </w:r>
      <w:r w:rsidR="00D93849">
        <w:rPr>
          <w:rFonts w:ascii="Calibri" w:hAnsi="Calibri" w:cs="Calibri"/>
          <w:color w:val="000000"/>
        </w:rPr>
        <w:t>that could be</w:t>
      </w:r>
      <w:r>
        <w:rPr>
          <w:rFonts w:ascii="Calibri" w:hAnsi="Calibri" w:cs="Calibri"/>
          <w:color w:val="000000"/>
        </w:rPr>
        <w:t xml:space="preserve"> extended into the mobile wallet space.</w:t>
      </w:r>
    </w:p>
    <w:p w14:paraId="16FF5F44" w14:textId="478BDD3E" w:rsidR="00752AD8" w:rsidRDefault="00752AD8" w:rsidP="00FC3826">
      <w:pPr>
        <w:autoSpaceDE w:val="0"/>
        <w:autoSpaceDN w:val="0"/>
        <w:adjustRightInd w:val="0"/>
        <w:spacing w:line="276" w:lineRule="auto"/>
        <w:rPr>
          <w:rFonts w:ascii="Calibri" w:hAnsi="Calibri" w:cs="Calibri"/>
          <w:color w:val="000000"/>
        </w:rPr>
      </w:pPr>
      <w:r>
        <w:rPr>
          <w:rFonts w:ascii="Calibri" w:hAnsi="Calibri" w:cs="Calibri"/>
          <w:color w:val="000000"/>
        </w:rPr>
        <w:t>Other stakeholders offered the view that the voluntary undertakings had little or no influence. One stakeholder noted that they had no effect except to push the cost to the issue</w:t>
      </w:r>
      <w:r w:rsidR="00BE3E5D">
        <w:rPr>
          <w:rFonts w:ascii="Calibri" w:hAnsi="Calibri" w:cs="Calibri"/>
          <w:color w:val="000000"/>
        </w:rPr>
        <w:t>r, without any benefit</w:t>
      </w:r>
      <w:r>
        <w:rPr>
          <w:rFonts w:ascii="Calibri" w:hAnsi="Calibri" w:cs="Calibri"/>
          <w:color w:val="000000"/>
        </w:rPr>
        <w:t xml:space="preserve">. </w:t>
      </w:r>
      <w:r w:rsidR="002E7A5F">
        <w:rPr>
          <w:rFonts w:ascii="Calibri" w:hAnsi="Calibri" w:cs="Calibri"/>
          <w:color w:val="000000"/>
        </w:rPr>
        <w:t xml:space="preserve">Stakeholders who cited a lack of impact </w:t>
      </w:r>
      <w:r w:rsidR="006C5CE4">
        <w:rPr>
          <w:rFonts w:ascii="Calibri" w:hAnsi="Calibri" w:cs="Calibri"/>
          <w:color w:val="000000"/>
        </w:rPr>
        <w:t>differed in their reasoning</w:t>
      </w:r>
      <w:r w:rsidR="002E7A5F">
        <w:rPr>
          <w:rFonts w:ascii="Calibri" w:hAnsi="Calibri" w:cs="Calibri"/>
          <w:color w:val="000000"/>
        </w:rPr>
        <w:t xml:space="preserve"> </w:t>
      </w:r>
      <w:r>
        <w:rPr>
          <w:rFonts w:ascii="Calibri" w:hAnsi="Calibri" w:cs="Calibri"/>
          <w:color w:val="000000"/>
        </w:rPr>
        <w:t xml:space="preserve">– one stakeholder noted that market forces on their own should be sufficient, while </w:t>
      </w:r>
      <w:r w:rsidR="002E7A5F">
        <w:rPr>
          <w:rFonts w:ascii="Calibri" w:hAnsi="Calibri" w:cs="Calibri"/>
          <w:color w:val="000000"/>
        </w:rPr>
        <w:t>others</w:t>
      </w:r>
      <w:r>
        <w:rPr>
          <w:rFonts w:ascii="Calibri" w:hAnsi="Calibri" w:cs="Calibri"/>
          <w:color w:val="000000"/>
        </w:rPr>
        <w:t xml:space="preserve"> indicated that more direct regulatory intervention was </w:t>
      </w:r>
      <w:r w:rsidR="002E7A5F">
        <w:rPr>
          <w:rFonts w:ascii="Calibri" w:hAnsi="Calibri" w:cs="Calibri"/>
          <w:color w:val="000000"/>
        </w:rPr>
        <w:t>needed</w:t>
      </w:r>
      <w:r>
        <w:rPr>
          <w:rFonts w:ascii="Calibri" w:hAnsi="Calibri" w:cs="Calibri"/>
          <w:color w:val="000000"/>
        </w:rPr>
        <w:t xml:space="preserve">. </w:t>
      </w:r>
      <w:r w:rsidR="002E7A5F">
        <w:rPr>
          <w:rFonts w:ascii="Calibri" w:hAnsi="Calibri" w:cs="Calibri"/>
          <w:color w:val="000000"/>
        </w:rPr>
        <w:t xml:space="preserve">Some stakeholders expressed the view that the private nature of the voluntary undertakings </w:t>
      </w:r>
      <w:r w:rsidR="00D93849">
        <w:rPr>
          <w:rFonts w:ascii="Calibri" w:hAnsi="Calibri" w:cs="Calibri"/>
          <w:color w:val="000000"/>
        </w:rPr>
        <w:t xml:space="preserve">prevented merchants from </w:t>
      </w:r>
      <w:r w:rsidR="00BE3E5D">
        <w:rPr>
          <w:rFonts w:ascii="Calibri" w:hAnsi="Calibri" w:cs="Calibri"/>
          <w:color w:val="000000"/>
        </w:rPr>
        <w:t>taking advantage of</w:t>
      </w:r>
      <w:r w:rsidR="00D93849">
        <w:rPr>
          <w:rFonts w:ascii="Calibri" w:hAnsi="Calibri" w:cs="Calibri"/>
          <w:color w:val="000000"/>
        </w:rPr>
        <w:t xml:space="preserve"> their commercial choices.</w:t>
      </w:r>
    </w:p>
    <w:p w14:paraId="76DFB58C" w14:textId="794F0FD9" w:rsidR="00E36306"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Are there any foreign precedents that are relevant for the consideration of these issues in Australia? </w:t>
      </w:r>
    </w:p>
    <w:p w14:paraId="64DC020B" w14:textId="4AEAB9D3" w:rsidR="00497AA4" w:rsidRDefault="00C17073" w:rsidP="00FC3826">
      <w:pPr>
        <w:autoSpaceDE w:val="0"/>
        <w:autoSpaceDN w:val="0"/>
        <w:adjustRightInd w:val="0"/>
        <w:spacing w:line="276" w:lineRule="auto"/>
        <w:rPr>
          <w:rFonts w:ascii="Calibri" w:hAnsi="Calibri" w:cs="Calibri"/>
          <w:color w:val="000000"/>
        </w:rPr>
      </w:pPr>
      <w:r w:rsidRPr="00497AA4">
        <w:rPr>
          <w:rFonts w:ascii="Calibri" w:hAnsi="Calibri" w:cs="Calibri"/>
          <w:color w:val="000000"/>
        </w:rPr>
        <w:t xml:space="preserve">Foreign jurisdictions have taken a </w:t>
      </w:r>
      <w:r w:rsidR="00C91C3C" w:rsidRPr="00497AA4">
        <w:rPr>
          <w:rFonts w:ascii="Calibri" w:hAnsi="Calibri" w:cs="Calibri"/>
          <w:color w:val="000000"/>
        </w:rPr>
        <w:t>number of different approaches</w:t>
      </w:r>
      <w:r w:rsidR="00497AA4">
        <w:rPr>
          <w:rFonts w:ascii="Calibri" w:hAnsi="Calibri" w:cs="Calibri"/>
          <w:color w:val="000000"/>
        </w:rPr>
        <w:t xml:space="preserve"> with respect to regulating dual cards and mobile payments</w:t>
      </w:r>
      <w:r w:rsidR="00497AA4" w:rsidRPr="00497AA4">
        <w:rPr>
          <w:rFonts w:ascii="Calibri" w:hAnsi="Calibri" w:cs="Calibri"/>
          <w:color w:val="000000"/>
        </w:rPr>
        <w:t xml:space="preserve">. Each jurisdiction’s approach is shaped their unique regulatory settings, philosophies and payments practices – both past and </w:t>
      </w:r>
      <w:r w:rsidR="00A43735">
        <w:rPr>
          <w:rFonts w:ascii="Calibri" w:hAnsi="Calibri" w:cs="Calibri"/>
          <w:color w:val="000000"/>
        </w:rPr>
        <w:t>present</w:t>
      </w:r>
      <w:r w:rsidR="00C91C3C" w:rsidRPr="00497AA4">
        <w:rPr>
          <w:rFonts w:ascii="Calibri" w:hAnsi="Calibri" w:cs="Calibri"/>
          <w:color w:val="000000"/>
        </w:rPr>
        <w:t xml:space="preserve">. </w:t>
      </w:r>
    </w:p>
    <w:p w14:paraId="08E6967A" w14:textId="0CCAF6F0" w:rsidR="00341267" w:rsidRDefault="007005B1" w:rsidP="00FC3826">
      <w:pPr>
        <w:autoSpaceDE w:val="0"/>
        <w:autoSpaceDN w:val="0"/>
        <w:adjustRightInd w:val="0"/>
        <w:spacing w:line="276" w:lineRule="auto"/>
        <w:rPr>
          <w:rFonts w:ascii="Calibri" w:hAnsi="Calibri" w:cs="Calibri"/>
          <w:color w:val="000000"/>
        </w:rPr>
      </w:pPr>
      <w:r>
        <w:rPr>
          <w:rFonts w:ascii="Calibri" w:hAnsi="Calibri" w:cs="Calibri"/>
          <w:color w:val="000000"/>
        </w:rPr>
        <w:t xml:space="preserve">APCA has conducted a </w:t>
      </w:r>
      <w:r w:rsidR="002326BD">
        <w:rPr>
          <w:rFonts w:ascii="Calibri" w:hAnsi="Calibri" w:cs="Calibri"/>
          <w:color w:val="000000"/>
        </w:rPr>
        <w:t xml:space="preserve">high-level </w:t>
      </w:r>
      <w:r>
        <w:rPr>
          <w:rFonts w:ascii="Calibri" w:hAnsi="Calibri" w:cs="Calibri"/>
          <w:color w:val="000000"/>
        </w:rPr>
        <w:t>research scan of the approaches</w:t>
      </w:r>
      <w:r w:rsidR="00BE3E5D">
        <w:rPr>
          <w:rFonts w:ascii="Calibri" w:hAnsi="Calibri" w:cs="Calibri"/>
          <w:color w:val="000000"/>
        </w:rPr>
        <w:t xml:space="preserve"> different</w:t>
      </w:r>
      <w:r>
        <w:rPr>
          <w:rFonts w:ascii="Calibri" w:hAnsi="Calibri" w:cs="Calibri"/>
          <w:color w:val="000000"/>
        </w:rPr>
        <w:t xml:space="preserve"> </w:t>
      </w:r>
      <w:r w:rsidR="002326BD">
        <w:rPr>
          <w:rFonts w:ascii="Calibri" w:hAnsi="Calibri" w:cs="Calibri"/>
          <w:color w:val="000000"/>
        </w:rPr>
        <w:t>jurisdictions</w:t>
      </w:r>
      <w:r>
        <w:rPr>
          <w:rFonts w:ascii="Calibri" w:hAnsi="Calibri" w:cs="Calibri"/>
          <w:color w:val="000000"/>
        </w:rPr>
        <w:t xml:space="preserve"> have taken. </w:t>
      </w:r>
      <w:r w:rsidR="00BE3E5D">
        <w:rPr>
          <w:rFonts w:ascii="Calibri" w:hAnsi="Calibri" w:cs="Calibri"/>
          <w:color w:val="000000"/>
        </w:rPr>
        <w:t>T</w:t>
      </w:r>
      <w:r>
        <w:rPr>
          <w:rFonts w:ascii="Calibri" w:hAnsi="Calibri" w:cs="Calibri"/>
          <w:color w:val="000000"/>
        </w:rPr>
        <w:t>her</w:t>
      </w:r>
      <w:r w:rsidR="00A43735">
        <w:rPr>
          <w:rFonts w:ascii="Calibri" w:hAnsi="Calibri" w:cs="Calibri"/>
          <w:color w:val="000000"/>
        </w:rPr>
        <w:t xml:space="preserve">e is no clear consensus or </w:t>
      </w:r>
      <w:r>
        <w:rPr>
          <w:rFonts w:ascii="Calibri" w:hAnsi="Calibri" w:cs="Calibri"/>
          <w:color w:val="000000"/>
        </w:rPr>
        <w:t xml:space="preserve">common regulatory approach </w:t>
      </w:r>
      <w:r w:rsidR="002326BD">
        <w:rPr>
          <w:rFonts w:ascii="Calibri" w:hAnsi="Calibri" w:cs="Calibri"/>
          <w:color w:val="000000"/>
        </w:rPr>
        <w:t>when it comes to dual cards or mobile payments</w:t>
      </w:r>
      <w:r w:rsidR="008458AA">
        <w:rPr>
          <w:rFonts w:ascii="Calibri" w:hAnsi="Calibri" w:cs="Calibri"/>
          <w:color w:val="000000"/>
        </w:rPr>
        <w:t>:</w:t>
      </w:r>
    </w:p>
    <w:tbl>
      <w:tblPr>
        <w:tblStyle w:val="TableGrid"/>
        <w:tblW w:w="0" w:type="auto"/>
        <w:tblLook w:val="04A0" w:firstRow="1" w:lastRow="0" w:firstColumn="1" w:lastColumn="0" w:noHBand="0" w:noVBand="1"/>
      </w:tblPr>
      <w:tblGrid>
        <w:gridCol w:w="2593"/>
        <w:gridCol w:w="3213"/>
        <w:gridCol w:w="3210"/>
      </w:tblGrid>
      <w:tr w:rsidR="008A7692" w:rsidRPr="008A7692" w14:paraId="47CBF806" w14:textId="77777777" w:rsidTr="00F54062">
        <w:tc>
          <w:tcPr>
            <w:tcW w:w="2593" w:type="dxa"/>
            <w:shd w:val="clear" w:color="auto" w:fill="E0E0E0"/>
          </w:tcPr>
          <w:p w14:paraId="0AADA0A3" w14:textId="43E1B516" w:rsidR="00491C99" w:rsidRPr="0011568D" w:rsidRDefault="00491C99" w:rsidP="00FC3826">
            <w:pPr>
              <w:autoSpaceDE w:val="0"/>
              <w:autoSpaceDN w:val="0"/>
              <w:adjustRightInd w:val="0"/>
              <w:spacing w:line="276" w:lineRule="auto"/>
              <w:jc w:val="center"/>
              <w:rPr>
                <w:rFonts w:ascii="Calibri" w:hAnsi="Calibri" w:cs="Calibri"/>
                <w:b/>
                <w:color w:val="000000"/>
              </w:rPr>
            </w:pPr>
            <w:r w:rsidRPr="0011568D">
              <w:rPr>
                <w:rFonts w:ascii="Calibri" w:hAnsi="Calibri" w:cs="Calibri"/>
                <w:b/>
                <w:color w:val="000000"/>
              </w:rPr>
              <w:t>Jurisdiction</w:t>
            </w:r>
          </w:p>
        </w:tc>
        <w:tc>
          <w:tcPr>
            <w:tcW w:w="3213" w:type="dxa"/>
            <w:shd w:val="clear" w:color="auto" w:fill="E0E0E0"/>
          </w:tcPr>
          <w:p w14:paraId="41F8481C" w14:textId="61E372B7" w:rsidR="00491C99" w:rsidRPr="0011568D" w:rsidRDefault="00491C99" w:rsidP="00FC3826">
            <w:pPr>
              <w:autoSpaceDE w:val="0"/>
              <w:autoSpaceDN w:val="0"/>
              <w:adjustRightInd w:val="0"/>
              <w:spacing w:line="276" w:lineRule="auto"/>
              <w:jc w:val="center"/>
              <w:rPr>
                <w:rFonts w:ascii="Calibri" w:hAnsi="Calibri" w:cs="Calibri"/>
                <w:b/>
                <w:color w:val="000000"/>
              </w:rPr>
            </w:pPr>
            <w:r w:rsidRPr="0011568D">
              <w:rPr>
                <w:rFonts w:ascii="Calibri" w:hAnsi="Calibri" w:cs="Calibri"/>
                <w:b/>
                <w:color w:val="000000"/>
              </w:rPr>
              <w:t>Dual Card Regulation</w:t>
            </w:r>
          </w:p>
        </w:tc>
        <w:tc>
          <w:tcPr>
            <w:tcW w:w="3210" w:type="dxa"/>
            <w:shd w:val="clear" w:color="auto" w:fill="E0E0E0"/>
          </w:tcPr>
          <w:p w14:paraId="6CF32B2B" w14:textId="695BEEBA" w:rsidR="00491C99" w:rsidRPr="0011568D" w:rsidRDefault="00491C99" w:rsidP="00FC3826">
            <w:pPr>
              <w:autoSpaceDE w:val="0"/>
              <w:autoSpaceDN w:val="0"/>
              <w:adjustRightInd w:val="0"/>
              <w:spacing w:line="276" w:lineRule="auto"/>
              <w:jc w:val="center"/>
              <w:rPr>
                <w:rFonts w:ascii="Calibri" w:hAnsi="Calibri" w:cs="Calibri"/>
                <w:b/>
                <w:color w:val="000000"/>
              </w:rPr>
            </w:pPr>
            <w:r w:rsidRPr="0011568D">
              <w:rPr>
                <w:rFonts w:ascii="Calibri" w:hAnsi="Calibri" w:cs="Calibri"/>
                <w:b/>
                <w:color w:val="000000"/>
              </w:rPr>
              <w:t xml:space="preserve">Mobile </w:t>
            </w:r>
            <w:r w:rsidR="00E36705">
              <w:rPr>
                <w:rFonts w:ascii="Calibri" w:hAnsi="Calibri" w:cs="Calibri"/>
                <w:b/>
                <w:color w:val="000000"/>
              </w:rPr>
              <w:t>Payments</w:t>
            </w:r>
            <w:r w:rsidRPr="0011568D">
              <w:rPr>
                <w:rFonts w:ascii="Calibri" w:hAnsi="Calibri" w:cs="Calibri"/>
                <w:b/>
                <w:color w:val="000000"/>
              </w:rPr>
              <w:t xml:space="preserve"> Regulation</w:t>
            </w:r>
          </w:p>
        </w:tc>
      </w:tr>
      <w:tr w:rsidR="008A7692" w14:paraId="12A238A4" w14:textId="77777777" w:rsidTr="00F54062">
        <w:tc>
          <w:tcPr>
            <w:tcW w:w="2593" w:type="dxa"/>
            <w:shd w:val="clear" w:color="auto" w:fill="auto"/>
          </w:tcPr>
          <w:p w14:paraId="76F6CB21" w14:textId="4895032F"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Australia</w:t>
            </w:r>
          </w:p>
        </w:tc>
        <w:tc>
          <w:tcPr>
            <w:tcW w:w="3213" w:type="dxa"/>
            <w:shd w:val="clear" w:color="auto" w:fill="auto"/>
          </w:tcPr>
          <w:p w14:paraId="74DB9FBB" w14:textId="5DE2D299" w:rsidR="008A7692" w:rsidRDefault="0011568D" w:rsidP="008443BC">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r w:rsidR="008A7692">
              <w:rPr>
                <w:rFonts w:ascii="Zapf Dingbats" w:hAnsi="Zapf Dingbats" w:cs="Calibri"/>
                <w:color w:val="000000"/>
              </w:rPr>
              <w:t></w:t>
            </w:r>
            <w:r w:rsidR="008443BC">
              <w:rPr>
                <w:rFonts w:ascii="Calibri" w:hAnsi="Calibri" w:cs="Calibri"/>
                <w:color w:val="000000"/>
              </w:rPr>
              <w:t xml:space="preserve"> (informal undertaking)</w:t>
            </w:r>
          </w:p>
        </w:tc>
        <w:tc>
          <w:tcPr>
            <w:tcW w:w="3210" w:type="dxa"/>
            <w:shd w:val="clear" w:color="auto" w:fill="auto"/>
          </w:tcPr>
          <w:p w14:paraId="288BB4C2" w14:textId="7BD4F052"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r w:rsidR="008A7692" w14:paraId="309C7CB3" w14:textId="77777777" w:rsidTr="00F54062">
        <w:tc>
          <w:tcPr>
            <w:tcW w:w="2593" w:type="dxa"/>
            <w:shd w:val="clear" w:color="auto" w:fill="auto"/>
          </w:tcPr>
          <w:p w14:paraId="2A7055A9" w14:textId="17A80069"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Canada</w:t>
            </w:r>
          </w:p>
        </w:tc>
        <w:tc>
          <w:tcPr>
            <w:tcW w:w="3213" w:type="dxa"/>
            <w:shd w:val="clear" w:color="auto" w:fill="auto"/>
          </w:tcPr>
          <w:p w14:paraId="329306E4" w14:textId="6D74ED11"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c>
          <w:tcPr>
            <w:tcW w:w="3210" w:type="dxa"/>
            <w:shd w:val="clear" w:color="auto" w:fill="auto"/>
          </w:tcPr>
          <w:p w14:paraId="4D7C3224" w14:textId="5E7DB8A8"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r w:rsidR="008A7692" w14:paraId="118E8769" w14:textId="77777777" w:rsidTr="00F54062">
        <w:tc>
          <w:tcPr>
            <w:tcW w:w="2593" w:type="dxa"/>
            <w:shd w:val="clear" w:color="auto" w:fill="auto"/>
          </w:tcPr>
          <w:p w14:paraId="3BBA9334" w14:textId="23ED74DA"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China</w:t>
            </w:r>
          </w:p>
        </w:tc>
        <w:tc>
          <w:tcPr>
            <w:tcW w:w="3213" w:type="dxa"/>
            <w:shd w:val="clear" w:color="auto" w:fill="auto"/>
          </w:tcPr>
          <w:p w14:paraId="7FAE026F" w14:textId="5CDC4D6D"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c>
          <w:tcPr>
            <w:tcW w:w="3210" w:type="dxa"/>
            <w:shd w:val="clear" w:color="auto" w:fill="auto"/>
          </w:tcPr>
          <w:p w14:paraId="51A066A4" w14:textId="6F67F42B"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r w:rsidR="008A7692" w14:paraId="2EFD7CD7" w14:textId="77777777" w:rsidTr="00F54062">
        <w:tc>
          <w:tcPr>
            <w:tcW w:w="2593" w:type="dxa"/>
            <w:shd w:val="clear" w:color="auto" w:fill="auto"/>
          </w:tcPr>
          <w:p w14:paraId="7E68AEE6" w14:textId="21AC8229" w:rsidR="008A7692" w:rsidRPr="0011568D" w:rsidRDefault="008A7692" w:rsidP="00BE3E5D">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Europe (includes UK)</w:t>
            </w:r>
          </w:p>
        </w:tc>
        <w:tc>
          <w:tcPr>
            <w:tcW w:w="3213" w:type="dxa"/>
            <w:shd w:val="clear" w:color="auto" w:fill="auto"/>
          </w:tcPr>
          <w:p w14:paraId="110A9F86" w14:textId="12115472"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c>
          <w:tcPr>
            <w:tcW w:w="3210" w:type="dxa"/>
            <w:shd w:val="clear" w:color="auto" w:fill="auto"/>
          </w:tcPr>
          <w:p w14:paraId="5F9695CB" w14:textId="6013655C"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r w:rsidR="008A7692" w14:paraId="4FD545C0" w14:textId="77777777" w:rsidTr="00F54062">
        <w:tc>
          <w:tcPr>
            <w:tcW w:w="2593" w:type="dxa"/>
            <w:shd w:val="clear" w:color="auto" w:fill="auto"/>
          </w:tcPr>
          <w:p w14:paraId="4DAB13C1" w14:textId="2957CB84"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Malaysia</w:t>
            </w:r>
          </w:p>
        </w:tc>
        <w:tc>
          <w:tcPr>
            <w:tcW w:w="3213" w:type="dxa"/>
            <w:shd w:val="clear" w:color="auto" w:fill="auto"/>
          </w:tcPr>
          <w:p w14:paraId="3721B02D" w14:textId="6368C7D5"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c>
          <w:tcPr>
            <w:tcW w:w="3210" w:type="dxa"/>
            <w:shd w:val="clear" w:color="auto" w:fill="auto"/>
          </w:tcPr>
          <w:p w14:paraId="227078C1" w14:textId="6586108B"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r w:rsidR="008A7692" w14:paraId="41417F18" w14:textId="77777777" w:rsidTr="00F54062">
        <w:tc>
          <w:tcPr>
            <w:tcW w:w="2593" w:type="dxa"/>
            <w:shd w:val="clear" w:color="auto" w:fill="auto"/>
          </w:tcPr>
          <w:p w14:paraId="7463ADF6" w14:textId="282754BB"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New Zealand</w:t>
            </w:r>
          </w:p>
        </w:tc>
        <w:tc>
          <w:tcPr>
            <w:tcW w:w="3213" w:type="dxa"/>
            <w:shd w:val="clear" w:color="auto" w:fill="auto"/>
          </w:tcPr>
          <w:p w14:paraId="2F15B406" w14:textId="662AE5C9"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c>
          <w:tcPr>
            <w:tcW w:w="3210" w:type="dxa"/>
            <w:shd w:val="clear" w:color="auto" w:fill="auto"/>
          </w:tcPr>
          <w:p w14:paraId="6EA8152E" w14:textId="3441D778" w:rsidR="008A7692" w:rsidRPr="008443BC" w:rsidRDefault="0011568D" w:rsidP="008443BC">
            <w:pPr>
              <w:autoSpaceDE w:val="0"/>
              <w:autoSpaceDN w:val="0"/>
              <w:adjustRightInd w:val="0"/>
              <w:spacing w:line="276" w:lineRule="auto"/>
              <w:ind w:left="170"/>
              <w:rPr>
                <w:rFonts w:cs="Calibri"/>
                <w:color w:val="000000"/>
              </w:rPr>
            </w:pPr>
            <w:r>
              <w:rPr>
                <w:rFonts w:ascii="Wingdings" w:hAnsi="Wingdings" w:cs="Wingdings"/>
                <w:sz w:val="26"/>
                <w:szCs w:val="26"/>
              </w:rPr>
              <w:t></w:t>
            </w:r>
            <w:r w:rsidR="008A7692">
              <w:rPr>
                <w:rFonts w:ascii="Zapf Dingbats" w:hAnsi="Zapf Dingbats" w:cs="Calibri"/>
                <w:color w:val="000000"/>
              </w:rPr>
              <w:t></w:t>
            </w:r>
            <w:r w:rsidR="008443BC">
              <w:rPr>
                <w:rFonts w:cs="Calibri"/>
                <w:color w:val="000000"/>
              </w:rPr>
              <w:t>(industry rules)</w:t>
            </w:r>
          </w:p>
        </w:tc>
      </w:tr>
      <w:tr w:rsidR="008A7692" w14:paraId="0AC73A29" w14:textId="77777777" w:rsidTr="00F54062">
        <w:tc>
          <w:tcPr>
            <w:tcW w:w="2593" w:type="dxa"/>
            <w:shd w:val="clear" w:color="auto" w:fill="auto"/>
          </w:tcPr>
          <w:p w14:paraId="08B59F74" w14:textId="67A8A164"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Singapore</w:t>
            </w:r>
          </w:p>
        </w:tc>
        <w:tc>
          <w:tcPr>
            <w:tcW w:w="3213" w:type="dxa"/>
            <w:shd w:val="clear" w:color="auto" w:fill="auto"/>
          </w:tcPr>
          <w:p w14:paraId="3AB2CF8D" w14:textId="4DB19585" w:rsidR="008A7692" w:rsidRDefault="0011568D" w:rsidP="008443BC">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r w:rsidR="008A7692">
              <w:rPr>
                <w:rFonts w:ascii="Zapf Dingbats" w:hAnsi="Zapf Dingbats"/>
                <w:color w:val="000000"/>
              </w:rPr>
              <w:t></w:t>
            </w:r>
            <w:r w:rsidR="008443BC">
              <w:rPr>
                <w:rFonts w:ascii="Calibri" w:hAnsi="Calibri" w:cs="Calibri"/>
                <w:color w:val="000000"/>
              </w:rPr>
              <w:t>(under consideration)</w:t>
            </w:r>
          </w:p>
        </w:tc>
        <w:tc>
          <w:tcPr>
            <w:tcW w:w="3210" w:type="dxa"/>
            <w:shd w:val="clear" w:color="auto" w:fill="auto"/>
          </w:tcPr>
          <w:p w14:paraId="78D126B7" w14:textId="720C9900"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r w:rsidR="008A7692" w14:paraId="7C91BCFC" w14:textId="77777777" w:rsidTr="00F54062">
        <w:tc>
          <w:tcPr>
            <w:tcW w:w="2593" w:type="dxa"/>
            <w:shd w:val="clear" w:color="auto" w:fill="auto"/>
          </w:tcPr>
          <w:p w14:paraId="180EFE27" w14:textId="4BCBEB0A" w:rsidR="008A7692" w:rsidRPr="0011568D" w:rsidRDefault="008A7692" w:rsidP="00FC3826">
            <w:pPr>
              <w:autoSpaceDE w:val="0"/>
              <w:autoSpaceDN w:val="0"/>
              <w:adjustRightInd w:val="0"/>
              <w:spacing w:line="276" w:lineRule="auto"/>
              <w:rPr>
                <w:rFonts w:ascii="Calibri" w:hAnsi="Calibri" w:cs="Calibri"/>
                <w:b/>
                <w:color w:val="000000"/>
              </w:rPr>
            </w:pPr>
            <w:r w:rsidRPr="0011568D">
              <w:rPr>
                <w:rFonts w:ascii="Calibri" w:hAnsi="Calibri" w:cs="Calibri"/>
                <w:b/>
                <w:color w:val="000000"/>
              </w:rPr>
              <w:t xml:space="preserve">U.S.A. </w:t>
            </w:r>
          </w:p>
        </w:tc>
        <w:tc>
          <w:tcPr>
            <w:tcW w:w="3213" w:type="dxa"/>
            <w:shd w:val="clear" w:color="auto" w:fill="auto"/>
          </w:tcPr>
          <w:p w14:paraId="1238EE0B" w14:textId="1B5EA67F"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c>
          <w:tcPr>
            <w:tcW w:w="3210" w:type="dxa"/>
            <w:shd w:val="clear" w:color="auto" w:fill="auto"/>
          </w:tcPr>
          <w:p w14:paraId="2D10E79A" w14:textId="56D05609" w:rsidR="008A7692" w:rsidRDefault="0011568D" w:rsidP="00FC3826">
            <w:pPr>
              <w:autoSpaceDE w:val="0"/>
              <w:autoSpaceDN w:val="0"/>
              <w:adjustRightInd w:val="0"/>
              <w:spacing w:line="276" w:lineRule="auto"/>
              <w:ind w:left="170"/>
              <w:rPr>
                <w:rFonts w:ascii="Calibri" w:hAnsi="Calibri" w:cs="Calibri"/>
                <w:color w:val="000000"/>
              </w:rPr>
            </w:pPr>
            <w:r>
              <w:rPr>
                <w:rFonts w:ascii="Wingdings" w:hAnsi="Wingdings" w:cs="Wingdings"/>
                <w:sz w:val="26"/>
                <w:szCs w:val="26"/>
              </w:rPr>
              <w:t></w:t>
            </w:r>
          </w:p>
        </w:tc>
      </w:tr>
    </w:tbl>
    <w:p w14:paraId="616224C8" w14:textId="77777777" w:rsidR="00491C99" w:rsidRDefault="00491C99" w:rsidP="00BE3E5D">
      <w:pPr>
        <w:autoSpaceDE w:val="0"/>
        <w:autoSpaceDN w:val="0"/>
        <w:adjustRightInd w:val="0"/>
        <w:spacing w:after="0" w:line="276" w:lineRule="auto"/>
        <w:rPr>
          <w:rFonts w:ascii="Calibri" w:hAnsi="Calibri" w:cs="Calibri"/>
          <w:color w:val="000000"/>
        </w:rPr>
      </w:pPr>
    </w:p>
    <w:p w14:paraId="4EC6EEF6" w14:textId="48ADB4D3" w:rsidR="00C645FE" w:rsidRDefault="00BE3E5D" w:rsidP="00FC3826">
      <w:pPr>
        <w:autoSpaceDE w:val="0"/>
        <w:autoSpaceDN w:val="0"/>
        <w:adjustRightInd w:val="0"/>
        <w:spacing w:line="276" w:lineRule="auto"/>
        <w:rPr>
          <w:rFonts w:ascii="Calibri" w:hAnsi="Calibri" w:cs="Calibri"/>
          <w:color w:val="000000"/>
        </w:rPr>
      </w:pPr>
      <w:r>
        <w:rPr>
          <w:rFonts w:ascii="Calibri" w:hAnsi="Calibri" w:cs="Calibri"/>
          <w:color w:val="000000"/>
        </w:rPr>
        <w:t>Below is</w:t>
      </w:r>
      <w:r w:rsidR="00C645FE">
        <w:rPr>
          <w:rFonts w:ascii="Calibri" w:hAnsi="Calibri" w:cs="Calibri"/>
          <w:color w:val="000000"/>
        </w:rPr>
        <w:t xml:space="preserve"> a very high level summary that groups jurisdictions by </w:t>
      </w:r>
      <w:r w:rsidR="00A43735">
        <w:rPr>
          <w:rFonts w:ascii="Calibri" w:hAnsi="Calibri" w:cs="Calibri"/>
          <w:color w:val="000000"/>
        </w:rPr>
        <w:t xml:space="preserve">different </w:t>
      </w:r>
      <w:r>
        <w:rPr>
          <w:rFonts w:ascii="Calibri" w:hAnsi="Calibri" w:cs="Calibri"/>
          <w:color w:val="000000"/>
        </w:rPr>
        <w:t>themes and subjects:</w:t>
      </w:r>
    </w:p>
    <w:p w14:paraId="00B535CF" w14:textId="076138D5" w:rsidR="007005B1" w:rsidRPr="0011568D" w:rsidRDefault="00C645FE" w:rsidP="00FC3826">
      <w:pPr>
        <w:pStyle w:val="ListParagraph"/>
        <w:numPr>
          <w:ilvl w:val="0"/>
          <w:numId w:val="24"/>
        </w:numPr>
        <w:autoSpaceDE w:val="0"/>
        <w:autoSpaceDN w:val="0"/>
        <w:adjustRightInd w:val="0"/>
        <w:spacing w:line="276" w:lineRule="auto"/>
        <w:rPr>
          <w:rFonts w:ascii="Calibri" w:hAnsi="Calibri" w:cs="Calibri"/>
          <w:color w:val="000000"/>
        </w:rPr>
      </w:pPr>
      <w:r w:rsidRPr="0011568D">
        <w:rPr>
          <w:rFonts w:ascii="Calibri" w:hAnsi="Calibri" w:cs="Calibri"/>
          <w:b/>
          <w:color w:val="000000"/>
        </w:rPr>
        <w:t>Dual cards</w:t>
      </w:r>
      <w:r w:rsidR="00BE3E5D">
        <w:rPr>
          <w:rFonts w:ascii="Calibri" w:hAnsi="Calibri" w:cs="Calibri"/>
          <w:b/>
          <w:color w:val="000000"/>
        </w:rPr>
        <w:t>.</w:t>
      </w:r>
      <w:r>
        <w:rPr>
          <w:rFonts w:ascii="Calibri" w:hAnsi="Calibri" w:cs="Calibri"/>
          <w:color w:val="000000"/>
        </w:rPr>
        <w:t xml:space="preserve"> </w:t>
      </w:r>
      <w:r w:rsidR="007005B1" w:rsidRPr="0011568D">
        <w:rPr>
          <w:rFonts w:ascii="Calibri" w:hAnsi="Calibri" w:cs="Calibri"/>
          <w:color w:val="000000"/>
        </w:rPr>
        <w:t xml:space="preserve">Europe (including </w:t>
      </w:r>
      <w:r w:rsidR="00BE3E5D">
        <w:rPr>
          <w:rFonts w:ascii="Calibri" w:hAnsi="Calibri" w:cs="Calibri"/>
          <w:color w:val="000000"/>
        </w:rPr>
        <w:t xml:space="preserve">the </w:t>
      </w:r>
      <w:r w:rsidR="007005B1" w:rsidRPr="0011568D">
        <w:rPr>
          <w:rFonts w:ascii="Calibri" w:hAnsi="Calibri" w:cs="Calibri"/>
          <w:color w:val="000000"/>
        </w:rPr>
        <w:t>UK), Canada, China, Malaysia and USA have adopted regulations covering dual-cards. Europe and Malaysia have no-restriction / non-discriminatory regulation in place to enable</w:t>
      </w:r>
      <w:r w:rsidR="00E36705" w:rsidRPr="0011568D">
        <w:rPr>
          <w:rFonts w:ascii="Calibri" w:hAnsi="Calibri" w:cs="Calibri"/>
          <w:color w:val="000000"/>
        </w:rPr>
        <w:t xml:space="preserve"> the</w:t>
      </w:r>
      <w:r w:rsidR="007005B1" w:rsidRPr="0011568D">
        <w:rPr>
          <w:rFonts w:ascii="Calibri" w:hAnsi="Calibri" w:cs="Calibri"/>
          <w:color w:val="000000"/>
        </w:rPr>
        <w:t xml:space="preserve"> issuance of dual cards. Canada’s debit dual-card regulation determines which network must be used in each payment situation</w:t>
      </w:r>
      <w:r w:rsidR="008A7692" w:rsidRPr="0011568D">
        <w:rPr>
          <w:rFonts w:ascii="Calibri" w:hAnsi="Calibri" w:cs="Calibri"/>
          <w:color w:val="000000"/>
        </w:rPr>
        <w:t>, effectively ensuring proprietary scheme is used for domestic debit transactions</w:t>
      </w:r>
      <w:r w:rsidR="007005B1" w:rsidRPr="0011568D">
        <w:rPr>
          <w:rFonts w:ascii="Calibri" w:hAnsi="Calibri" w:cs="Calibri"/>
          <w:color w:val="000000"/>
        </w:rPr>
        <w:t>. China has banned dual-cards. US regulation has also enabled dual-cards but with outcomes less relevant to Australia.</w:t>
      </w:r>
    </w:p>
    <w:p w14:paraId="42DDF10F" w14:textId="768C1E4F" w:rsidR="007005B1" w:rsidRPr="0011568D" w:rsidRDefault="00C645FE" w:rsidP="00FC3826">
      <w:pPr>
        <w:pStyle w:val="ListParagraph"/>
        <w:numPr>
          <w:ilvl w:val="0"/>
          <w:numId w:val="24"/>
        </w:numPr>
        <w:autoSpaceDE w:val="0"/>
        <w:autoSpaceDN w:val="0"/>
        <w:adjustRightInd w:val="0"/>
        <w:spacing w:line="276" w:lineRule="auto"/>
        <w:rPr>
          <w:rFonts w:ascii="Calibri" w:hAnsi="Calibri" w:cs="Calibri"/>
          <w:color w:val="000000"/>
        </w:rPr>
      </w:pPr>
      <w:r w:rsidRPr="0011568D">
        <w:rPr>
          <w:rFonts w:ascii="Calibri" w:hAnsi="Calibri" w:cs="Calibri"/>
          <w:b/>
          <w:color w:val="000000"/>
        </w:rPr>
        <w:t>Mobile</w:t>
      </w:r>
      <w:r w:rsidR="00BE3E5D">
        <w:rPr>
          <w:rFonts w:ascii="Calibri" w:hAnsi="Calibri" w:cs="Calibri"/>
          <w:b/>
          <w:color w:val="000000"/>
        </w:rPr>
        <w:t>.</w:t>
      </w:r>
      <w:r>
        <w:rPr>
          <w:rFonts w:ascii="Calibri" w:hAnsi="Calibri" w:cs="Calibri"/>
          <w:color w:val="000000"/>
        </w:rPr>
        <w:t xml:space="preserve"> </w:t>
      </w:r>
      <w:r w:rsidR="007005B1" w:rsidRPr="0011568D">
        <w:rPr>
          <w:rFonts w:ascii="Calibri" w:hAnsi="Calibri" w:cs="Calibri"/>
          <w:color w:val="000000"/>
        </w:rPr>
        <w:t>Canada and Europe’s regulation also specifically encompasses mobile payment environments.</w:t>
      </w:r>
    </w:p>
    <w:p w14:paraId="5775A264" w14:textId="0B0BBCB4" w:rsidR="007005B1" w:rsidRPr="0011568D" w:rsidRDefault="00C645FE" w:rsidP="00FC3826">
      <w:pPr>
        <w:pStyle w:val="ListParagraph"/>
        <w:numPr>
          <w:ilvl w:val="0"/>
          <w:numId w:val="24"/>
        </w:numPr>
        <w:autoSpaceDE w:val="0"/>
        <w:autoSpaceDN w:val="0"/>
        <w:adjustRightInd w:val="0"/>
        <w:spacing w:line="276" w:lineRule="auto"/>
        <w:rPr>
          <w:rFonts w:ascii="Calibri" w:hAnsi="Calibri" w:cs="Calibri"/>
          <w:color w:val="000000"/>
        </w:rPr>
      </w:pPr>
      <w:r w:rsidRPr="0011568D">
        <w:rPr>
          <w:rFonts w:ascii="Calibri" w:hAnsi="Calibri" w:cs="Calibri"/>
          <w:b/>
          <w:color w:val="000000"/>
        </w:rPr>
        <w:t>Extent of regulation</w:t>
      </w:r>
      <w:r w:rsidR="00BE3E5D">
        <w:rPr>
          <w:rFonts w:ascii="Calibri" w:hAnsi="Calibri" w:cs="Calibri"/>
          <w:b/>
          <w:color w:val="000000"/>
        </w:rPr>
        <w:t>.</w:t>
      </w:r>
      <w:r>
        <w:rPr>
          <w:rFonts w:ascii="Calibri" w:hAnsi="Calibri" w:cs="Calibri"/>
          <w:color w:val="000000"/>
        </w:rPr>
        <w:t xml:space="preserve"> </w:t>
      </w:r>
      <w:r w:rsidR="007005B1" w:rsidRPr="0011568D">
        <w:rPr>
          <w:rFonts w:ascii="Calibri" w:hAnsi="Calibri" w:cs="Calibri"/>
          <w:color w:val="000000"/>
        </w:rPr>
        <w:t>Europe has the most comprehensive set of dual-card regulation, designed to remove competitive restrict</w:t>
      </w:r>
      <w:r w:rsidR="006A27C3">
        <w:rPr>
          <w:rFonts w:ascii="Calibri" w:hAnsi="Calibri" w:cs="Calibri"/>
          <w:color w:val="000000"/>
        </w:rPr>
        <w:t>ions for both cards and mobile.</w:t>
      </w:r>
    </w:p>
    <w:p w14:paraId="56E3C8BE" w14:textId="069DADA5" w:rsidR="007005B1" w:rsidRPr="0011568D" w:rsidRDefault="00C645FE" w:rsidP="00FC3826">
      <w:pPr>
        <w:pStyle w:val="ListParagraph"/>
        <w:numPr>
          <w:ilvl w:val="0"/>
          <w:numId w:val="24"/>
        </w:numPr>
        <w:autoSpaceDE w:val="0"/>
        <w:autoSpaceDN w:val="0"/>
        <w:adjustRightInd w:val="0"/>
        <w:spacing w:line="276" w:lineRule="auto"/>
        <w:rPr>
          <w:rFonts w:ascii="Calibri" w:hAnsi="Calibri" w:cs="Calibri"/>
          <w:color w:val="000000"/>
        </w:rPr>
      </w:pPr>
      <w:r w:rsidRPr="0011568D">
        <w:rPr>
          <w:rFonts w:ascii="Calibri" w:hAnsi="Calibri" w:cs="Calibri"/>
          <w:b/>
          <w:color w:val="000000"/>
        </w:rPr>
        <w:t xml:space="preserve">Consumer </w:t>
      </w:r>
      <w:r>
        <w:rPr>
          <w:rFonts w:ascii="Calibri" w:hAnsi="Calibri" w:cs="Calibri"/>
          <w:b/>
          <w:color w:val="000000"/>
        </w:rPr>
        <w:t>payment option choice</w:t>
      </w:r>
      <w:r w:rsidRPr="0011568D">
        <w:rPr>
          <w:rFonts w:ascii="Calibri" w:hAnsi="Calibri" w:cs="Calibri"/>
          <w:b/>
          <w:color w:val="000000"/>
        </w:rPr>
        <w:t xml:space="preserve"> rights</w:t>
      </w:r>
      <w:r w:rsidR="00BE3E5D">
        <w:rPr>
          <w:rFonts w:ascii="Calibri" w:hAnsi="Calibri" w:cs="Calibri"/>
          <w:b/>
          <w:color w:val="000000"/>
        </w:rPr>
        <w:t>.</w:t>
      </w:r>
      <w:r>
        <w:rPr>
          <w:rFonts w:ascii="Calibri" w:hAnsi="Calibri" w:cs="Calibri"/>
          <w:color w:val="000000"/>
        </w:rPr>
        <w:t xml:space="preserve"> </w:t>
      </w:r>
      <w:r w:rsidR="007005B1" w:rsidRPr="0011568D">
        <w:rPr>
          <w:rFonts w:ascii="Calibri" w:hAnsi="Calibri" w:cs="Calibri"/>
          <w:color w:val="000000"/>
        </w:rPr>
        <w:t>Several jurisdictions have focused on the rights for determining which payment instrument is selected to make the mobile payment. The majority of jurisdictions enshrine the customer’s right to ultimately choose what payment instrument they use. These jurisdictions include Europe (including UK) and Canada, as well New Zealand where Payments NZ has established industry rules. Malaysian dual-card regulations (not mobile) give the ultimate decision for selecting the payment instrument to the merchant, with the customer having secondary decision rights.</w:t>
      </w:r>
    </w:p>
    <w:p w14:paraId="7B9908DF" w14:textId="31F88B42" w:rsidR="007005B1" w:rsidRDefault="00C645FE" w:rsidP="00FC3826">
      <w:pPr>
        <w:pStyle w:val="ListParagraph"/>
        <w:numPr>
          <w:ilvl w:val="0"/>
          <w:numId w:val="24"/>
        </w:numPr>
        <w:autoSpaceDE w:val="0"/>
        <w:autoSpaceDN w:val="0"/>
        <w:adjustRightInd w:val="0"/>
        <w:spacing w:line="276" w:lineRule="auto"/>
        <w:rPr>
          <w:rFonts w:ascii="Calibri" w:hAnsi="Calibri" w:cs="Calibri"/>
          <w:color w:val="000000"/>
        </w:rPr>
      </w:pPr>
      <w:r w:rsidRPr="0011568D">
        <w:rPr>
          <w:rFonts w:ascii="Calibri" w:hAnsi="Calibri" w:cs="Calibri"/>
          <w:b/>
          <w:color w:val="000000"/>
        </w:rPr>
        <w:t>Routing</w:t>
      </w:r>
      <w:r w:rsidR="00BE3E5D">
        <w:rPr>
          <w:rFonts w:ascii="Calibri" w:hAnsi="Calibri" w:cs="Calibri"/>
          <w:b/>
          <w:color w:val="000000"/>
        </w:rPr>
        <w:t>.</w:t>
      </w:r>
      <w:r>
        <w:rPr>
          <w:rFonts w:ascii="Calibri" w:hAnsi="Calibri" w:cs="Calibri"/>
          <w:color w:val="000000"/>
        </w:rPr>
        <w:t xml:space="preserve"> </w:t>
      </w:r>
      <w:r w:rsidR="007005B1" w:rsidRPr="0011568D">
        <w:rPr>
          <w:rFonts w:ascii="Calibri" w:hAnsi="Calibri" w:cs="Calibri"/>
          <w:color w:val="000000"/>
        </w:rPr>
        <w:t>Europe’s regulation states that the routing of transactions through a specific channel or process, with respect to the handling of two or more co-badged applications, shall be non-discriminatory</w:t>
      </w:r>
      <w:r w:rsidR="00E36705">
        <w:rPr>
          <w:rFonts w:ascii="Calibri" w:hAnsi="Calibri" w:cs="Calibri"/>
          <w:color w:val="000000"/>
        </w:rPr>
        <w:t xml:space="preserve"> (for both cards and mobile)</w:t>
      </w:r>
      <w:r w:rsidR="007005B1" w:rsidRPr="0011568D">
        <w:rPr>
          <w:rFonts w:ascii="Calibri" w:hAnsi="Calibri" w:cs="Calibri"/>
          <w:color w:val="000000"/>
        </w:rPr>
        <w:t>.</w:t>
      </w:r>
    </w:p>
    <w:p w14:paraId="0518316B" w14:textId="3191DDC1" w:rsidR="00E36705" w:rsidRPr="0011568D" w:rsidRDefault="00C645FE" w:rsidP="00FC3826">
      <w:pPr>
        <w:pStyle w:val="ListParagraph"/>
        <w:numPr>
          <w:ilvl w:val="0"/>
          <w:numId w:val="24"/>
        </w:numPr>
        <w:autoSpaceDE w:val="0"/>
        <w:autoSpaceDN w:val="0"/>
        <w:adjustRightInd w:val="0"/>
        <w:spacing w:line="276" w:lineRule="auto"/>
        <w:rPr>
          <w:rFonts w:ascii="Calibri" w:hAnsi="Calibri" w:cs="Calibri"/>
          <w:color w:val="000000"/>
        </w:rPr>
      </w:pPr>
      <w:r w:rsidRPr="0011568D">
        <w:rPr>
          <w:rFonts w:ascii="Calibri" w:hAnsi="Calibri" w:cs="Calibri"/>
          <w:b/>
          <w:color w:val="000000"/>
        </w:rPr>
        <w:t>Network preferences</w:t>
      </w:r>
      <w:r w:rsidR="00BE3E5D">
        <w:rPr>
          <w:rFonts w:ascii="Calibri" w:hAnsi="Calibri" w:cs="Calibri"/>
          <w:b/>
          <w:color w:val="000000"/>
        </w:rPr>
        <w:t>.</w:t>
      </w:r>
      <w:r>
        <w:rPr>
          <w:rFonts w:ascii="Calibri" w:hAnsi="Calibri" w:cs="Calibri"/>
          <w:color w:val="000000"/>
        </w:rPr>
        <w:t xml:space="preserve"> </w:t>
      </w:r>
      <w:r w:rsidR="00E36705">
        <w:rPr>
          <w:rFonts w:ascii="Calibri" w:hAnsi="Calibri" w:cs="Calibri"/>
          <w:color w:val="000000"/>
        </w:rPr>
        <w:t>China and Canada have enacted dual card regulation to determine which networks can and can’t be used in respective payment situations. China has recently banned the issuance of dual cards</w:t>
      </w:r>
      <w:r>
        <w:rPr>
          <w:rFonts w:ascii="Calibri" w:hAnsi="Calibri" w:cs="Calibri"/>
          <w:color w:val="000000"/>
        </w:rPr>
        <w:t>, with the effect of making it harder for international networks to compete</w:t>
      </w:r>
      <w:r w:rsidR="00E36705">
        <w:rPr>
          <w:rFonts w:ascii="Calibri" w:hAnsi="Calibri" w:cs="Calibri"/>
          <w:color w:val="000000"/>
        </w:rPr>
        <w:t>. Canada’s regulation ensures the domestic network, Interac, has preference for domestic point of sale debit card payments.</w:t>
      </w:r>
    </w:p>
    <w:p w14:paraId="7F25C3A2" w14:textId="5AF8FC40" w:rsidR="003025EF" w:rsidRDefault="003025EF" w:rsidP="00FC3826">
      <w:pPr>
        <w:autoSpaceDE w:val="0"/>
        <w:autoSpaceDN w:val="0"/>
        <w:adjustRightInd w:val="0"/>
        <w:spacing w:line="276" w:lineRule="auto"/>
        <w:rPr>
          <w:rFonts w:ascii="Calibri" w:hAnsi="Calibri" w:cs="Calibri"/>
          <w:color w:val="000000"/>
        </w:rPr>
      </w:pPr>
      <w:r>
        <w:rPr>
          <w:rFonts w:ascii="Calibri" w:hAnsi="Calibri" w:cs="Calibri"/>
          <w:color w:val="000000"/>
        </w:rPr>
        <w:t>In Appendix 1 to this submission, we have provided more inf</w:t>
      </w:r>
      <w:r w:rsidR="004206D2">
        <w:rPr>
          <w:rFonts w:ascii="Calibri" w:hAnsi="Calibri" w:cs="Calibri"/>
          <w:color w:val="000000"/>
        </w:rPr>
        <w:t>ormation on other jurisdictions</w:t>
      </w:r>
      <w:r>
        <w:rPr>
          <w:rFonts w:ascii="Calibri" w:hAnsi="Calibri" w:cs="Calibri"/>
          <w:color w:val="000000"/>
        </w:rPr>
        <w:t xml:space="preserve">. APCA concludes that </w:t>
      </w:r>
      <w:r w:rsidR="00A43735">
        <w:rPr>
          <w:rFonts w:ascii="Calibri" w:hAnsi="Calibri" w:cs="Calibri"/>
          <w:color w:val="000000"/>
        </w:rPr>
        <w:t>there are not any international</w:t>
      </w:r>
      <w:r w:rsidR="004206D2">
        <w:rPr>
          <w:rFonts w:ascii="Calibri" w:hAnsi="Calibri" w:cs="Calibri"/>
          <w:color w:val="000000"/>
        </w:rPr>
        <w:t xml:space="preserve"> </w:t>
      </w:r>
      <w:r>
        <w:rPr>
          <w:rFonts w:ascii="Calibri" w:hAnsi="Calibri" w:cs="Calibri"/>
          <w:color w:val="000000"/>
        </w:rPr>
        <w:t>approach</w:t>
      </w:r>
      <w:r w:rsidR="004206D2">
        <w:rPr>
          <w:rFonts w:ascii="Calibri" w:hAnsi="Calibri" w:cs="Calibri"/>
          <w:color w:val="000000"/>
        </w:rPr>
        <w:t xml:space="preserve">es would be a good fit if applied </w:t>
      </w:r>
      <w:r w:rsidR="00A43735">
        <w:rPr>
          <w:rFonts w:ascii="Calibri" w:hAnsi="Calibri" w:cs="Calibri"/>
          <w:color w:val="000000"/>
        </w:rPr>
        <w:t xml:space="preserve">fully </w:t>
      </w:r>
      <w:r w:rsidR="004206D2">
        <w:rPr>
          <w:rFonts w:ascii="Calibri" w:hAnsi="Calibri" w:cs="Calibri"/>
          <w:color w:val="000000"/>
        </w:rPr>
        <w:t>to</w:t>
      </w:r>
      <w:r>
        <w:rPr>
          <w:rFonts w:ascii="Calibri" w:hAnsi="Calibri" w:cs="Calibri"/>
          <w:color w:val="000000"/>
        </w:rPr>
        <w:t xml:space="preserve"> Australia.  </w:t>
      </w:r>
      <w:r w:rsidR="0020552F">
        <w:rPr>
          <w:rFonts w:ascii="Calibri" w:hAnsi="Calibri" w:cs="Calibri"/>
          <w:color w:val="000000"/>
        </w:rPr>
        <w:t>However</w:t>
      </w:r>
      <w:r w:rsidR="004206D2">
        <w:rPr>
          <w:rFonts w:ascii="Calibri" w:hAnsi="Calibri" w:cs="Calibri"/>
          <w:color w:val="000000"/>
        </w:rPr>
        <w:t xml:space="preserve">, </w:t>
      </w:r>
      <w:r w:rsidR="003220E8">
        <w:rPr>
          <w:rFonts w:ascii="Calibri" w:hAnsi="Calibri" w:cs="Calibri"/>
          <w:color w:val="000000"/>
        </w:rPr>
        <w:t xml:space="preserve">some lessons can </w:t>
      </w:r>
      <w:r w:rsidR="00A43735">
        <w:rPr>
          <w:rFonts w:ascii="Calibri" w:hAnsi="Calibri" w:cs="Calibri"/>
          <w:color w:val="000000"/>
        </w:rPr>
        <w:t xml:space="preserve">still </w:t>
      </w:r>
      <w:r w:rsidR="003220E8">
        <w:rPr>
          <w:rFonts w:ascii="Calibri" w:hAnsi="Calibri" w:cs="Calibri"/>
          <w:color w:val="000000"/>
        </w:rPr>
        <w:t xml:space="preserve">be learned. One of these </w:t>
      </w:r>
      <w:r w:rsidR="0002224A">
        <w:rPr>
          <w:rFonts w:ascii="Calibri" w:hAnsi="Calibri" w:cs="Calibri"/>
          <w:color w:val="000000"/>
        </w:rPr>
        <w:t>lessons i</w:t>
      </w:r>
      <w:r w:rsidR="003220E8">
        <w:rPr>
          <w:rFonts w:ascii="Calibri" w:hAnsi="Calibri" w:cs="Calibri"/>
          <w:color w:val="000000"/>
        </w:rPr>
        <w:t xml:space="preserve">s </w:t>
      </w:r>
      <w:r w:rsidR="0002224A">
        <w:rPr>
          <w:rFonts w:ascii="Calibri" w:hAnsi="Calibri" w:cs="Calibri"/>
          <w:color w:val="000000"/>
        </w:rPr>
        <w:t>that</w:t>
      </w:r>
      <w:r w:rsidR="003220E8">
        <w:rPr>
          <w:rFonts w:ascii="Calibri" w:hAnsi="Calibri" w:cs="Calibri"/>
          <w:color w:val="000000"/>
        </w:rPr>
        <w:t xml:space="preserve"> consumers </w:t>
      </w:r>
      <w:r w:rsidR="0002224A">
        <w:rPr>
          <w:rFonts w:ascii="Calibri" w:hAnsi="Calibri" w:cs="Calibri"/>
          <w:color w:val="000000"/>
        </w:rPr>
        <w:t xml:space="preserve">should </w:t>
      </w:r>
      <w:r w:rsidR="003220E8">
        <w:rPr>
          <w:rFonts w:ascii="Calibri" w:hAnsi="Calibri" w:cs="Calibri"/>
          <w:color w:val="000000"/>
        </w:rPr>
        <w:t xml:space="preserve">have </w:t>
      </w:r>
      <w:r w:rsidR="0002224A">
        <w:rPr>
          <w:rFonts w:ascii="Calibri" w:hAnsi="Calibri" w:cs="Calibri"/>
          <w:color w:val="000000"/>
        </w:rPr>
        <w:t xml:space="preserve">control of, and have the ability to choose, </w:t>
      </w:r>
      <w:r w:rsidR="0002224A" w:rsidRPr="002053C0">
        <w:rPr>
          <w:rFonts w:ascii="Calibri" w:hAnsi="Calibri" w:cs="Calibri"/>
          <w:color w:val="000000"/>
        </w:rPr>
        <w:t xml:space="preserve">which payment </w:t>
      </w:r>
      <w:r w:rsidR="0002224A">
        <w:rPr>
          <w:rFonts w:ascii="Calibri" w:hAnsi="Calibri" w:cs="Calibri"/>
          <w:color w:val="000000"/>
        </w:rPr>
        <w:t>application they wish to pay with when making a</w:t>
      </w:r>
      <w:r w:rsidR="0002224A" w:rsidRPr="002053C0">
        <w:rPr>
          <w:rFonts w:ascii="Calibri" w:hAnsi="Calibri" w:cs="Calibri"/>
          <w:color w:val="000000"/>
        </w:rPr>
        <w:t xml:space="preserve"> mobile payment</w:t>
      </w:r>
      <w:r w:rsidR="0002224A">
        <w:rPr>
          <w:rFonts w:ascii="Calibri" w:hAnsi="Calibri" w:cs="Calibri"/>
          <w:color w:val="000000"/>
        </w:rPr>
        <w:t>. This consumer-choice principle</w:t>
      </w:r>
      <w:r w:rsidR="00A43735">
        <w:rPr>
          <w:rFonts w:ascii="Calibri" w:hAnsi="Calibri" w:cs="Calibri"/>
          <w:color w:val="000000"/>
        </w:rPr>
        <w:t xml:space="preserve"> </w:t>
      </w:r>
      <w:r w:rsidR="0002224A">
        <w:rPr>
          <w:rFonts w:ascii="Calibri" w:hAnsi="Calibri" w:cs="Calibri"/>
          <w:color w:val="000000"/>
        </w:rPr>
        <w:t>can endure technology changes and can be used to help prevent issues arising in the future</w:t>
      </w:r>
      <w:r w:rsidR="00A43735">
        <w:rPr>
          <w:rFonts w:ascii="Calibri" w:hAnsi="Calibri" w:cs="Calibri"/>
          <w:color w:val="000000"/>
        </w:rPr>
        <w:t>. I</w:t>
      </w:r>
      <w:r w:rsidR="00D41198">
        <w:rPr>
          <w:rFonts w:ascii="Calibri" w:hAnsi="Calibri" w:cs="Calibri"/>
          <w:color w:val="000000"/>
        </w:rPr>
        <w:t xml:space="preserve">t is </w:t>
      </w:r>
      <w:r w:rsidR="00A43735">
        <w:rPr>
          <w:rFonts w:ascii="Calibri" w:hAnsi="Calibri" w:cs="Calibri"/>
          <w:color w:val="000000"/>
        </w:rPr>
        <w:t xml:space="preserve">also </w:t>
      </w:r>
      <w:r w:rsidR="00D41198">
        <w:rPr>
          <w:rFonts w:ascii="Calibri" w:hAnsi="Calibri" w:cs="Calibri"/>
          <w:color w:val="000000"/>
        </w:rPr>
        <w:t>one of the two principles that APCA has based this submission on</w:t>
      </w:r>
      <w:r w:rsidR="00A43735">
        <w:rPr>
          <w:rFonts w:ascii="Calibri" w:hAnsi="Calibri" w:cs="Calibri"/>
          <w:color w:val="000000"/>
        </w:rPr>
        <w:t xml:space="preserve"> (referred to above)</w:t>
      </w:r>
      <w:r w:rsidR="0020552F">
        <w:rPr>
          <w:rFonts w:ascii="Calibri" w:hAnsi="Calibri" w:cs="Calibri"/>
          <w:color w:val="000000"/>
        </w:rPr>
        <w:t xml:space="preserve">, and </w:t>
      </w:r>
      <w:r w:rsidR="00D41198">
        <w:rPr>
          <w:rFonts w:ascii="Calibri" w:hAnsi="Calibri" w:cs="Calibri"/>
          <w:color w:val="000000"/>
        </w:rPr>
        <w:t>provides</w:t>
      </w:r>
      <w:r w:rsidR="0002224A">
        <w:rPr>
          <w:rFonts w:ascii="Calibri" w:hAnsi="Calibri" w:cs="Calibri"/>
          <w:color w:val="000000"/>
        </w:rPr>
        <w:t xml:space="preserve"> an example </w:t>
      </w:r>
      <w:r w:rsidR="00D41198">
        <w:rPr>
          <w:rFonts w:ascii="Calibri" w:hAnsi="Calibri" w:cs="Calibri"/>
          <w:color w:val="000000"/>
        </w:rPr>
        <w:t>of how a</w:t>
      </w:r>
      <w:r w:rsidR="0002224A">
        <w:rPr>
          <w:rFonts w:ascii="Calibri" w:hAnsi="Calibri" w:cs="Calibri"/>
          <w:color w:val="000000"/>
        </w:rPr>
        <w:t xml:space="preserve"> </w:t>
      </w:r>
      <w:r w:rsidR="00D41198">
        <w:t>flexible, high-level and strategic approach</w:t>
      </w:r>
      <w:r w:rsidR="00D41198">
        <w:rPr>
          <w:rFonts w:ascii="Calibri" w:hAnsi="Calibri" w:cs="Calibri"/>
          <w:color w:val="000000"/>
        </w:rPr>
        <w:t xml:space="preserve"> could work in Australia. </w:t>
      </w:r>
    </w:p>
    <w:p w14:paraId="4845500B" w14:textId="294F8FF9" w:rsidR="00881575"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Are the issues raised relevant only to dual-network debit cards or are they also relevant to so-called ‘combo cards’ with credit functionality from one scheme and debit functionality from another? </w:t>
      </w:r>
    </w:p>
    <w:p w14:paraId="16F0B964" w14:textId="235E9947" w:rsidR="00A72B7E" w:rsidRPr="00A72B7E" w:rsidRDefault="00AA7529" w:rsidP="00FC3826">
      <w:pPr>
        <w:autoSpaceDE w:val="0"/>
        <w:autoSpaceDN w:val="0"/>
        <w:adjustRightInd w:val="0"/>
        <w:spacing w:line="276" w:lineRule="auto"/>
        <w:jc w:val="both"/>
        <w:rPr>
          <w:rFonts w:ascii="Calibri" w:hAnsi="Calibri" w:cs="Calibri"/>
          <w:color w:val="000000"/>
        </w:rPr>
      </w:pPr>
      <w:r>
        <w:rPr>
          <w:rFonts w:ascii="Calibri" w:hAnsi="Calibri" w:cs="Calibri"/>
          <w:color w:val="000000"/>
        </w:rPr>
        <w:t>The issues raised may be relevant to both.</w:t>
      </w:r>
    </w:p>
    <w:p w14:paraId="79FBC5D4" w14:textId="77777777" w:rsidR="00881575"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Are there any prospective developments in payment card technology that may be relevant for the Bank as it considers these issues? </w:t>
      </w:r>
    </w:p>
    <w:p w14:paraId="539363D0" w14:textId="456E13F9" w:rsidR="00A72B7E" w:rsidRDefault="00B668C9" w:rsidP="007604D6">
      <w:pPr>
        <w:autoSpaceDE w:val="0"/>
        <w:autoSpaceDN w:val="0"/>
        <w:adjustRightInd w:val="0"/>
        <w:spacing w:line="276" w:lineRule="auto"/>
        <w:rPr>
          <w:rFonts w:ascii="Calibri" w:hAnsi="Calibri" w:cs="Calibri"/>
          <w:color w:val="000000"/>
        </w:rPr>
      </w:pPr>
      <w:r>
        <w:rPr>
          <w:rFonts w:ascii="Calibri" w:hAnsi="Calibri" w:cs="Calibri"/>
          <w:color w:val="000000"/>
        </w:rPr>
        <w:t xml:space="preserve">Given rapid developments in digital technology, </w:t>
      </w:r>
      <w:r w:rsidR="00A31A41">
        <w:rPr>
          <w:rFonts w:ascii="Calibri" w:hAnsi="Calibri" w:cs="Calibri"/>
          <w:color w:val="000000"/>
        </w:rPr>
        <w:t xml:space="preserve">industry has a preference for </w:t>
      </w:r>
      <w:r>
        <w:rPr>
          <w:rFonts w:ascii="Calibri" w:hAnsi="Calibri" w:cs="Calibri"/>
          <w:color w:val="000000"/>
        </w:rPr>
        <w:t>technology-neutral solution</w:t>
      </w:r>
      <w:r w:rsidR="00A31A41">
        <w:rPr>
          <w:rFonts w:ascii="Calibri" w:hAnsi="Calibri" w:cs="Calibri"/>
          <w:color w:val="000000"/>
        </w:rPr>
        <w:t>s, where</w:t>
      </w:r>
      <w:r>
        <w:rPr>
          <w:rFonts w:ascii="Calibri" w:hAnsi="Calibri" w:cs="Calibri"/>
          <w:color w:val="000000"/>
        </w:rPr>
        <w:t xml:space="preserve"> </w:t>
      </w:r>
      <w:r w:rsidR="007604D6">
        <w:rPr>
          <w:rFonts w:ascii="Calibri" w:hAnsi="Calibri" w:cs="Calibri"/>
          <w:color w:val="000000"/>
        </w:rPr>
        <w:t>achievable (ie. one that is robust enough to encompass current, emerging, and future technology platforms, advancements and innovations)</w:t>
      </w:r>
      <w:r>
        <w:rPr>
          <w:rFonts w:ascii="Calibri" w:hAnsi="Calibri" w:cs="Calibri"/>
          <w:color w:val="000000"/>
        </w:rPr>
        <w:t xml:space="preserve">. </w:t>
      </w:r>
      <w:r w:rsidR="007604D6">
        <w:rPr>
          <w:rFonts w:ascii="Calibri" w:hAnsi="Calibri" w:cs="Calibri"/>
          <w:color w:val="000000"/>
        </w:rPr>
        <w:t>For example, t</w:t>
      </w:r>
      <w:r>
        <w:rPr>
          <w:rFonts w:ascii="Calibri" w:hAnsi="Calibri" w:cs="Calibri"/>
          <w:color w:val="000000"/>
        </w:rPr>
        <w:t>his may be achieved by establishing enduring principles for Australia’s mobile payments environme</w:t>
      </w:r>
      <w:r w:rsidR="007604D6">
        <w:rPr>
          <w:rFonts w:ascii="Calibri" w:hAnsi="Calibri" w:cs="Calibri"/>
          <w:color w:val="000000"/>
        </w:rPr>
        <w:t xml:space="preserve">nts. </w:t>
      </w:r>
    </w:p>
    <w:p w14:paraId="37F69B10" w14:textId="60D0DB80" w:rsidR="00A72B7E" w:rsidRDefault="00A72B7E" w:rsidP="00FC3826">
      <w:pPr>
        <w:autoSpaceDE w:val="0"/>
        <w:autoSpaceDN w:val="0"/>
        <w:adjustRightInd w:val="0"/>
        <w:spacing w:line="276" w:lineRule="auto"/>
        <w:rPr>
          <w:rFonts w:ascii="Calibri" w:hAnsi="Calibri" w:cs="Calibri"/>
          <w:color w:val="000000"/>
        </w:rPr>
      </w:pPr>
      <w:r>
        <w:rPr>
          <w:rFonts w:ascii="Calibri" w:hAnsi="Calibri" w:cs="Calibri"/>
          <w:color w:val="000000"/>
        </w:rPr>
        <w:t xml:space="preserve">In addition, some stakeholders requested that the RBA </w:t>
      </w:r>
      <w:r w:rsidR="00A31A41">
        <w:rPr>
          <w:rFonts w:ascii="Calibri" w:hAnsi="Calibri" w:cs="Calibri"/>
          <w:color w:val="000000"/>
        </w:rPr>
        <w:t>gi</w:t>
      </w:r>
      <w:r>
        <w:rPr>
          <w:rFonts w:ascii="Calibri" w:hAnsi="Calibri" w:cs="Calibri"/>
          <w:color w:val="000000"/>
        </w:rPr>
        <w:t>ve</w:t>
      </w:r>
      <w:r w:rsidR="00A31A41">
        <w:rPr>
          <w:rFonts w:ascii="Calibri" w:hAnsi="Calibri" w:cs="Calibri"/>
          <w:color w:val="000000"/>
        </w:rPr>
        <w:t>s</w:t>
      </w:r>
      <w:r>
        <w:rPr>
          <w:rFonts w:ascii="Calibri" w:hAnsi="Calibri" w:cs="Calibri"/>
          <w:color w:val="000000"/>
        </w:rPr>
        <w:t xml:space="preserve"> consideration to the extent to which any new regulations increase friction in the customer experience.</w:t>
      </w:r>
    </w:p>
    <w:p w14:paraId="19C04F88" w14:textId="1F40125C" w:rsidR="00E36306" w:rsidRPr="00DB16B8" w:rsidRDefault="00E36306" w:rsidP="00FC3826">
      <w:pPr>
        <w:shd w:val="clear" w:color="auto" w:fill="BDD6EE" w:themeFill="accent1" w:themeFillTint="66"/>
        <w:autoSpaceDE w:val="0"/>
        <w:autoSpaceDN w:val="0"/>
        <w:adjustRightInd w:val="0"/>
        <w:spacing w:line="276" w:lineRule="auto"/>
        <w:jc w:val="both"/>
        <w:rPr>
          <w:rFonts w:ascii="Calibri" w:hAnsi="Calibri" w:cs="Calibri"/>
          <w:i/>
          <w:color w:val="000000"/>
          <w:sz w:val="20"/>
          <w:szCs w:val="20"/>
        </w:rPr>
      </w:pPr>
      <w:r w:rsidRPr="00DB16B8">
        <w:rPr>
          <w:rFonts w:ascii="Calibri" w:hAnsi="Calibri" w:cs="Calibri"/>
          <w:i/>
          <w:color w:val="000000"/>
          <w:sz w:val="20"/>
          <w:szCs w:val="20"/>
        </w:rPr>
        <w:t xml:space="preserve">If the Bank were to contemplate a standard addressing conduct in this area, are there particular compliance costs that would arise for industry? </w:t>
      </w:r>
    </w:p>
    <w:p w14:paraId="045F7598" w14:textId="07681A27" w:rsidR="00DB16B8" w:rsidRDefault="004A2910" w:rsidP="00FC3826">
      <w:pPr>
        <w:spacing w:line="276" w:lineRule="auto"/>
      </w:pPr>
      <w:r>
        <w:t xml:space="preserve">Some </w:t>
      </w:r>
      <w:r w:rsidR="003B6F32">
        <w:t xml:space="preserve">Stakeholders noted that costs </w:t>
      </w:r>
      <w:r>
        <w:t>are not likely to</w:t>
      </w:r>
      <w:r w:rsidR="003B6F32">
        <w:t xml:space="preserve"> be significant, </w:t>
      </w:r>
      <w:r>
        <w:t>while others</w:t>
      </w:r>
      <w:r w:rsidR="003B6F32">
        <w:t xml:space="preserve"> raised the risk that any compliance costs are likely to be unintended</w:t>
      </w:r>
      <w:r>
        <w:t xml:space="preserve"> (and dependent on the form of the standard)</w:t>
      </w:r>
      <w:r w:rsidR="003B6F32">
        <w:t>.</w:t>
      </w:r>
    </w:p>
    <w:p w14:paraId="1E5E1178" w14:textId="7F2AF88E" w:rsidR="003B6F32" w:rsidRPr="0067159F" w:rsidRDefault="003B6F32" w:rsidP="00FC3826">
      <w:pPr>
        <w:spacing w:line="276" w:lineRule="auto"/>
        <w:rPr>
          <w:b/>
          <w:color w:val="2E74B5" w:themeColor="accent1" w:themeShade="BF"/>
          <w:sz w:val="32"/>
          <w:szCs w:val="32"/>
        </w:rPr>
      </w:pPr>
      <w:r>
        <w:rPr>
          <w:b/>
          <w:color w:val="2E74B5" w:themeColor="accent1" w:themeShade="BF"/>
          <w:sz w:val="32"/>
          <w:szCs w:val="32"/>
        </w:rPr>
        <w:t>Next Steps</w:t>
      </w:r>
    </w:p>
    <w:p w14:paraId="262F4A6D" w14:textId="08A857CC" w:rsidR="00471239" w:rsidRDefault="002E7A5F" w:rsidP="00FC3826">
      <w:pPr>
        <w:spacing w:line="276" w:lineRule="auto"/>
      </w:pPr>
      <w:r>
        <w:t>Thank you for the opportunity to comment on the Consultation Paper.</w:t>
      </w:r>
      <w:r w:rsidR="004A2910">
        <w:t xml:space="preserve"> </w:t>
      </w:r>
      <w:r w:rsidR="00AA7529">
        <w:t xml:space="preserve">Should the RBA develop a view </w:t>
      </w:r>
      <w:r w:rsidR="00D41833">
        <w:t>on a proposed solution, APCA would welcome the opportunity to comment.</w:t>
      </w:r>
    </w:p>
    <w:p w14:paraId="77B99A92" w14:textId="3AAD84B9" w:rsidR="00341267" w:rsidRDefault="002E7A5F" w:rsidP="00FC3826">
      <w:pPr>
        <w:spacing w:line="276" w:lineRule="auto"/>
      </w:pPr>
      <w:r>
        <w:t xml:space="preserve">If you have any further questions regarding </w:t>
      </w:r>
      <w:r w:rsidR="0020552F">
        <w:t>this</w:t>
      </w:r>
      <w:r w:rsidR="003B6F32">
        <w:t xml:space="preserve"> submission, please contact Merric Foley, Policy Manager</w:t>
      </w:r>
      <w:r w:rsidR="00BA5542">
        <w:t>, Payments Direction</w:t>
      </w:r>
      <w:r w:rsidR="003B6F32">
        <w:t>,</w:t>
      </w:r>
      <w:r w:rsidR="00BA5542">
        <w:t xml:space="preserve"> </w:t>
      </w:r>
      <w:hyperlink r:id="rId9" w:history="1">
        <w:r w:rsidR="00BA5542" w:rsidRPr="007371AF">
          <w:rPr>
            <w:rStyle w:val="Hyperlink"/>
          </w:rPr>
          <w:t>mfoley@apca.com.au</w:t>
        </w:r>
      </w:hyperlink>
      <w:r w:rsidR="003B6F32">
        <w:t>.</w:t>
      </w:r>
    </w:p>
    <w:p w14:paraId="13517E5E" w14:textId="3FEE22F5" w:rsidR="00341267" w:rsidRDefault="00341267" w:rsidP="00FC3826">
      <w:pPr>
        <w:spacing w:line="276" w:lineRule="auto"/>
      </w:pPr>
      <w:r>
        <w:t>Kind regards</w:t>
      </w:r>
    </w:p>
    <w:p w14:paraId="154C2DA5" w14:textId="766AA96A" w:rsidR="004E5385" w:rsidRDefault="004E5385" w:rsidP="00B9097A">
      <w:pPr>
        <w:shd w:val="clear" w:color="auto" w:fill="FFFFFF" w:themeFill="background1"/>
        <w:spacing w:after="0" w:line="276" w:lineRule="auto"/>
      </w:pPr>
    </w:p>
    <w:p w14:paraId="74F22E02" w14:textId="2F564A3A" w:rsidR="00DE633C" w:rsidRDefault="00DE633C" w:rsidP="00B9097A">
      <w:pPr>
        <w:shd w:val="clear" w:color="auto" w:fill="FFFFFF" w:themeFill="background1"/>
        <w:spacing w:after="0" w:line="276" w:lineRule="auto"/>
      </w:pPr>
    </w:p>
    <w:p w14:paraId="1C6A6798" w14:textId="77777777" w:rsidR="00DE633C" w:rsidRDefault="00DE633C" w:rsidP="00B9097A">
      <w:pPr>
        <w:shd w:val="clear" w:color="auto" w:fill="FFFFFF" w:themeFill="background1"/>
        <w:spacing w:after="0" w:line="276" w:lineRule="auto"/>
      </w:pPr>
    </w:p>
    <w:p w14:paraId="7BC3E9D8" w14:textId="0CA97C8F" w:rsidR="00341267" w:rsidRDefault="00DE633C" w:rsidP="00B9097A">
      <w:pPr>
        <w:shd w:val="clear" w:color="auto" w:fill="FFFFFF" w:themeFill="background1"/>
        <w:spacing w:after="0" w:line="276" w:lineRule="auto"/>
      </w:pPr>
      <w:r>
        <w:t xml:space="preserve">Dr </w:t>
      </w:r>
      <w:r w:rsidR="00B9097A" w:rsidRPr="00B9097A">
        <w:t>Leila Fourie</w:t>
      </w:r>
    </w:p>
    <w:p w14:paraId="3BC04590" w14:textId="77777777" w:rsidR="00DE633C" w:rsidRPr="00DE633C" w:rsidRDefault="00B9097A" w:rsidP="00DE633C">
      <w:pPr>
        <w:shd w:val="clear" w:color="auto" w:fill="FFFFFF" w:themeFill="background1"/>
        <w:spacing w:after="0" w:line="276" w:lineRule="auto"/>
        <w:rPr>
          <w:b/>
        </w:rPr>
      </w:pPr>
      <w:r w:rsidRPr="00DE633C">
        <w:rPr>
          <w:b/>
        </w:rPr>
        <w:t>CHIEF EXECUTIVE OFFICER</w:t>
      </w:r>
    </w:p>
    <w:p w14:paraId="78B23BF7" w14:textId="72C99E06" w:rsidR="00B9097A" w:rsidRPr="00DE633C" w:rsidRDefault="00DE633C" w:rsidP="00B9097A">
      <w:pPr>
        <w:shd w:val="clear" w:color="auto" w:fill="FFFFFF" w:themeFill="background1"/>
        <w:spacing w:line="276" w:lineRule="auto"/>
        <w:rPr>
          <w:b/>
        </w:rPr>
      </w:pPr>
      <w:r w:rsidRPr="00DE633C">
        <w:rPr>
          <w:b/>
        </w:rPr>
        <w:t>Australian Payments Clearing Association</w:t>
      </w:r>
    </w:p>
    <w:p w14:paraId="329F1D73" w14:textId="38375080" w:rsidR="00341267" w:rsidRDefault="00341267" w:rsidP="00FC3826">
      <w:pPr>
        <w:spacing w:line="276" w:lineRule="auto"/>
      </w:pPr>
    </w:p>
    <w:p w14:paraId="3D18060F" w14:textId="4339CE04" w:rsidR="00341267" w:rsidRDefault="00341267" w:rsidP="00FC3826">
      <w:pPr>
        <w:spacing w:line="276" w:lineRule="auto"/>
      </w:pPr>
    </w:p>
    <w:p w14:paraId="3F4C28C4" w14:textId="3E41B690" w:rsidR="00341267" w:rsidRDefault="00341267" w:rsidP="00FC3826">
      <w:pPr>
        <w:spacing w:line="276" w:lineRule="auto"/>
        <w:sectPr w:rsidR="00341267" w:rsidSect="00CE0E55">
          <w:footerReference w:type="default" r:id="rId10"/>
          <w:headerReference w:type="first" r:id="rId11"/>
          <w:footerReference w:type="first" r:id="rId12"/>
          <w:pgSz w:w="11906" w:h="16838"/>
          <w:pgMar w:top="1701" w:right="1440" w:bottom="1440" w:left="1440" w:header="708" w:footer="708" w:gutter="0"/>
          <w:cols w:space="708"/>
          <w:titlePg/>
          <w:docGrid w:linePitch="360"/>
        </w:sectPr>
      </w:pPr>
    </w:p>
    <w:tbl>
      <w:tblPr>
        <w:tblStyle w:val="TableGrid"/>
        <w:tblW w:w="15134" w:type="dxa"/>
        <w:tblInd w:w="108" w:type="dxa"/>
        <w:tblLayout w:type="fixed"/>
        <w:tblLook w:val="04A0" w:firstRow="1" w:lastRow="0" w:firstColumn="1" w:lastColumn="0" w:noHBand="0" w:noVBand="1"/>
      </w:tblPr>
      <w:tblGrid>
        <w:gridCol w:w="1526"/>
        <w:gridCol w:w="3402"/>
        <w:gridCol w:w="5103"/>
        <w:gridCol w:w="5103"/>
      </w:tblGrid>
      <w:tr w:rsidR="00582757" w:rsidRPr="00D0328D" w14:paraId="494D23F3" w14:textId="77777777" w:rsidTr="00582757">
        <w:tc>
          <w:tcPr>
            <w:tcW w:w="15134" w:type="dxa"/>
            <w:gridSpan w:val="4"/>
            <w:tcBorders>
              <w:bottom w:val="single" w:sz="4" w:space="0" w:color="auto"/>
            </w:tcBorders>
            <w:shd w:val="clear" w:color="auto" w:fill="A6A6A6"/>
          </w:tcPr>
          <w:p w14:paraId="6A7944B1" w14:textId="77777777" w:rsidR="00582757" w:rsidRPr="00D0328D" w:rsidRDefault="00582757" w:rsidP="00FC3826">
            <w:pPr>
              <w:tabs>
                <w:tab w:val="left" w:pos="2128"/>
                <w:tab w:val="left" w:pos="4256"/>
                <w:tab w:val="left" w:pos="6384"/>
                <w:tab w:val="left" w:pos="8512"/>
                <w:tab w:val="left" w:pos="10640"/>
                <w:tab w:val="left" w:pos="12768"/>
              </w:tabs>
              <w:spacing w:before="120" w:after="40" w:line="276" w:lineRule="auto"/>
              <w:jc w:val="center"/>
              <w:rPr>
                <w:rFonts w:ascii="Arial" w:hAnsi="Arial" w:cs="Arial"/>
                <w:b/>
              </w:rPr>
            </w:pPr>
            <w:r>
              <w:rPr>
                <w:rFonts w:ascii="Arial" w:hAnsi="Arial" w:cs="Arial"/>
                <w:b/>
              </w:rPr>
              <w:t xml:space="preserve">APPENDIX 1: </w:t>
            </w:r>
            <w:r w:rsidRPr="00D0328D">
              <w:rPr>
                <w:rFonts w:ascii="Arial" w:hAnsi="Arial" w:cs="Arial"/>
                <w:b/>
              </w:rPr>
              <w:t>Analysis of Selected Jurisdiction’s Cards and Mobile regulation Focused on Dual Cards / Co-Badging</w:t>
            </w:r>
          </w:p>
        </w:tc>
      </w:tr>
      <w:tr w:rsidR="00582757" w:rsidRPr="00D0328D" w14:paraId="55432FBE" w14:textId="77777777" w:rsidTr="00582757">
        <w:tc>
          <w:tcPr>
            <w:tcW w:w="1526" w:type="dxa"/>
            <w:shd w:val="clear" w:color="auto" w:fill="D9D9D9"/>
          </w:tcPr>
          <w:p w14:paraId="2F68FF77" w14:textId="77777777" w:rsidR="00582757" w:rsidRPr="00D0328D" w:rsidRDefault="00582757" w:rsidP="00FC3826">
            <w:pPr>
              <w:spacing w:after="40" w:line="276" w:lineRule="auto"/>
              <w:jc w:val="center"/>
              <w:rPr>
                <w:rFonts w:ascii="Arial" w:hAnsi="Arial" w:cs="Arial"/>
                <w:b/>
              </w:rPr>
            </w:pPr>
            <w:r w:rsidRPr="00D0328D">
              <w:rPr>
                <w:rFonts w:ascii="Arial" w:hAnsi="Arial" w:cs="Arial"/>
                <w:b/>
              </w:rPr>
              <w:t>Jurisdiction</w:t>
            </w:r>
          </w:p>
        </w:tc>
        <w:tc>
          <w:tcPr>
            <w:tcW w:w="3402" w:type="dxa"/>
            <w:shd w:val="clear" w:color="auto" w:fill="D9D9D9"/>
          </w:tcPr>
          <w:p w14:paraId="6A1D3811" w14:textId="77777777" w:rsidR="00582757" w:rsidRPr="00D0328D" w:rsidRDefault="00582757" w:rsidP="00FC3826">
            <w:pPr>
              <w:spacing w:after="40" w:line="276" w:lineRule="auto"/>
              <w:jc w:val="center"/>
              <w:rPr>
                <w:rFonts w:ascii="Arial" w:hAnsi="Arial" w:cs="Arial"/>
                <w:b/>
              </w:rPr>
            </w:pPr>
            <w:r w:rsidRPr="00D0328D">
              <w:rPr>
                <w:rFonts w:ascii="Arial" w:hAnsi="Arial" w:cs="Arial"/>
                <w:b/>
              </w:rPr>
              <w:t>General mobile regulation</w:t>
            </w:r>
          </w:p>
        </w:tc>
        <w:tc>
          <w:tcPr>
            <w:tcW w:w="5103" w:type="dxa"/>
            <w:shd w:val="clear" w:color="auto" w:fill="D9D9D9"/>
          </w:tcPr>
          <w:p w14:paraId="7DFCDB15" w14:textId="77777777" w:rsidR="00582757" w:rsidRPr="00D0328D" w:rsidRDefault="00582757" w:rsidP="00FC3826">
            <w:pPr>
              <w:spacing w:after="40" w:line="276" w:lineRule="auto"/>
              <w:jc w:val="center"/>
              <w:rPr>
                <w:rFonts w:ascii="Arial" w:hAnsi="Arial" w:cs="Arial"/>
                <w:b/>
              </w:rPr>
            </w:pPr>
            <w:r w:rsidRPr="00D0328D">
              <w:rPr>
                <w:rFonts w:ascii="Arial" w:hAnsi="Arial" w:cs="Arial"/>
                <w:b/>
              </w:rPr>
              <w:t>Dual-card / co-badging</w:t>
            </w:r>
          </w:p>
        </w:tc>
        <w:tc>
          <w:tcPr>
            <w:tcW w:w="5103" w:type="dxa"/>
            <w:shd w:val="clear" w:color="auto" w:fill="D9D9D9"/>
          </w:tcPr>
          <w:p w14:paraId="686DBEF2" w14:textId="77777777" w:rsidR="00582757" w:rsidRPr="00D0328D" w:rsidRDefault="00582757" w:rsidP="00FC3826">
            <w:pPr>
              <w:spacing w:after="40" w:line="276" w:lineRule="auto"/>
              <w:jc w:val="center"/>
              <w:rPr>
                <w:rFonts w:ascii="Arial" w:hAnsi="Arial" w:cs="Arial"/>
                <w:b/>
              </w:rPr>
            </w:pPr>
            <w:r w:rsidRPr="00D0328D">
              <w:rPr>
                <w:rFonts w:ascii="Arial" w:hAnsi="Arial" w:cs="Arial"/>
                <w:b/>
              </w:rPr>
              <w:t>Network routing and application priority selection</w:t>
            </w:r>
          </w:p>
        </w:tc>
      </w:tr>
      <w:tr w:rsidR="00582757" w:rsidRPr="00D0328D" w14:paraId="698C2DFA" w14:textId="77777777" w:rsidTr="00582757">
        <w:tc>
          <w:tcPr>
            <w:tcW w:w="1526" w:type="dxa"/>
          </w:tcPr>
          <w:p w14:paraId="0D8B6019" w14:textId="77777777" w:rsidR="00582757" w:rsidRPr="003025EF" w:rsidRDefault="00582757" w:rsidP="00FC3826">
            <w:pPr>
              <w:spacing w:after="40" w:line="276" w:lineRule="auto"/>
              <w:rPr>
                <w:rFonts w:ascii="Arial" w:hAnsi="Arial" w:cs="Arial"/>
                <w:b/>
              </w:rPr>
            </w:pPr>
            <w:r w:rsidRPr="003025EF">
              <w:rPr>
                <w:rFonts w:ascii="Arial" w:hAnsi="Arial" w:cs="Arial"/>
                <w:b/>
              </w:rPr>
              <w:t>Europe (incl U.K. and Denmark)</w:t>
            </w:r>
          </w:p>
        </w:tc>
        <w:tc>
          <w:tcPr>
            <w:tcW w:w="3402" w:type="dxa"/>
          </w:tcPr>
          <w:p w14:paraId="36F24AEA" w14:textId="77777777" w:rsidR="00582757" w:rsidRPr="00D0328D" w:rsidRDefault="00582757" w:rsidP="00FC3826">
            <w:pPr>
              <w:spacing w:after="40" w:line="276" w:lineRule="auto"/>
              <w:rPr>
                <w:rFonts w:ascii="Arial" w:hAnsi="Arial" w:cs="Arial"/>
              </w:rPr>
            </w:pPr>
            <w:r w:rsidRPr="00D0328D">
              <w:rPr>
                <w:rFonts w:ascii="Arial" w:hAnsi="Arial" w:cs="Arial"/>
              </w:rPr>
              <w:t>European Commission regulations</w:t>
            </w:r>
            <w:r w:rsidRPr="00D0328D">
              <w:rPr>
                <w:rStyle w:val="FootnoteReference"/>
                <w:rFonts w:ascii="Arial" w:hAnsi="Arial" w:cs="Arial"/>
              </w:rPr>
              <w:footnoteReference w:id="1"/>
            </w:r>
            <w:r w:rsidRPr="00D0328D">
              <w:rPr>
                <w:rFonts w:ascii="Arial" w:hAnsi="Arial" w:cs="Arial"/>
              </w:rPr>
              <w:t xml:space="preserve"> on interchange fees for card-based payment transactions.</w:t>
            </w:r>
            <w:r w:rsidRPr="00D0328D">
              <w:rPr>
                <w:rStyle w:val="FootnoteReference"/>
                <w:rFonts w:ascii="Arial" w:hAnsi="Arial" w:cs="Arial"/>
              </w:rPr>
              <w:footnoteReference w:id="2"/>
            </w:r>
          </w:p>
        </w:tc>
        <w:tc>
          <w:tcPr>
            <w:tcW w:w="5103" w:type="dxa"/>
          </w:tcPr>
          <w:p w14:paraId="0830D6D1" w14:textId="77777777" w:rsidR="00582757" w:rsidRPr="00D0328D" w:rsidRDefault="00582757" w:rsidP="00FC3826">
            <w:pPr>
              <w:spacing w:after="40" w:line="276" w:lineRule="auto"/>
              <w:rPr>
                <w:rFonts w:ascii="Arial" w:hAnsi="Arial" w:cs="Arial"/>
              </w:rPr>
            </w:pPr>
            <w:r w:rsidRPr="00D0328D">
              <w:rPr>
                <w:rFonts w:ascii="Arial" w:hAnsi="Arial" w:cs="Arial"/>
              </w:rPr>
              <w:t xml:space="preserve">All regulations apply to cards and mobile. Interchange fee caps set &amp; no blended fees.  Acquirers must transparently specify to each merchant the fees for each brand and category of payment card. Merchants can then choose what card brands and what cards within a brand they will accept (‘honour all cards’ rule prohibited). </w:t>
            </w:r>
          </w:p>
          <w:p w14:paraId="54ADC14D" w14:textId="77777777" w:rsidR="00582757" w:rsidRPr="00D0328D" w:rsidRDefault="00582757" w:rsidP="00FC3826">
            <w:pPr>
              <w:spacing w:after="40" w:line="276" w:lineRule="auto"/>
              <w:rPr>
                <w:rFonts w:ascii="Arial" w:hAnsi="Arial" w:cs="Arial"/>
              </w:rPr>
            </w:pPr>
            <w:r w:rsidRPr="00D0328D">
              <w:rPr>
                <w:rFonts w:ascii="Arial" w:hAnsi="Arial" w:cs="Arial"/>
              </w:rPr>
              <w:t xml:space="preserve">Total separation of payment card schemes and card processing entities (enables banks and retailers to choose the best processor). </w:t>
            </w:r>
          </w:p>
          <w:p w14:paraId="28DD9BB6" w14:textId="77777777" w:rsidR="00582757" w:rsidRPr="00D0328D" w:rsidRDefault="00582757" w:rsidP="00FC3826">
            <w:pPr>
              <w:autoSpaceDE w:val="0"/>
              <w:autoSpaceDN w:val="0"/>
              <w:adjustRightInd w:val="0"/>
              <w:spacing w:after="40" w:line="276" w:lineRule="auto"/>
              <w:rPr>
                <w:rFonts w:ascii="Arial" w:hAnsi="Arial" w:cs="Arial"/>
              </w:rPr>
            </w:pPr>
            <w:r w:rsidRPr="00D0328D">
              <w:rPr>
                <w:rFonts w:ascii="Arial" w:hAnsi="Arial" w:cs="Arial"/>
              </w:rPr>
              <w:t>Issuers are not hindered/prohibited from co-badging any brands or payment applications together – issuers can issue dual-cards with applications from any combination of schemes and products. Any difference in scheme rules and licensing agreements concerning co-badging must be objectively justified and non-discriminatory.</w:t>
            </w:r>
          </w:p>
        </w:tc>
        <w:tc>
          <w:tcPr>
            <w:tcW w:w="5103" w:type="dxa"/>
          </w:tcPr>
          <w:p w14:paraId="58AB6ECE" w14:textId="77777777" w:rsidR="00582757" w:rsidRPr="00D0328D" w:rsidRDefault="00582757" w:rsidP="00FC3826">
            <w:pPr>
              <w:autoSpaceDE w:val="0"/>
              <w:autoSpaceDN w:val="0"/>
              <w:adjustRightInd w:val="0"/>
              <w:spacing w:after="40" w:line="276" w:lineRule="auto"/>
              <w:rPr>
                <w:rFonts w:ascii="Arial" w:hAnsi="Arial" w:cs="Arial"/>
              </w:rPr>
            </w:pPr>
            <w:r w:rsidRPr="00D0328D">
              <w:rPr>
                <w:rFonts w:ascii="Arial" w:hAnsi="Arial" w:cs="Arial"/>
              </w:rPr>
              <w:t>From June 2016. Consumers and retailers can choose the payment type when paying with co-badged cards. Retailers can steer payers by installing default application choice in their payment terminals, but must inform customers first.  Consumers have the last say and can override with their own preference (within the brands / applications accepted by the retailer).</w:t>
            </w:r>
          </w:p>
          <w:p w14:paraId="43C6BEEF" w14:textId="77777777" w:rsidR="00582757" w:rsidRPr="00D0328D" w:rsidRDefault="00582757" w:rsidP="00FC3826">
            <w:pPr>
              <w:autoSpaceDE w:val="0"/>
              <w:autoSpaceDN w:val="0"/>
              <w:adjustRightInd w:val="0"/>
              <w:spacing w:after="40" w:line="276" w:lineRule="auto"/>
              <w:rPr>
                <w:rFonts w:ascii="Arial" w:hAnsi="Arial" w:cs="Arial"/>
              </w:rPr>
            </w:pPr>
            <w:r w:rsidRPr="00D0328D">
              <w:rPr>
                <w:rFonts w:ascii="Arial" w:hAnsi="Arial" w:cs="Arial"/>
              </w:rPr>
              <w:t>Schemes, i</w:t>
            </w:r>
            <w:r>
              <w:rPr>
                <w:rFonts w:ascii="Arial" w:hAnsi="Arial" w:cs="Arial"/>
              </w:rPr>
              <w:t>ssuers, acquirers and processor</w:t>
            </w:r>
            <w:r w:rsidRPr="00D0328D">
              <w:rPr>
                <w:rFonts w:ascii="Arial" w:hAnsi="Arial" w:cs="Arial"/>
              </w:rPr>
              <w:t xml:space="preserve"> entities </w:t>
            </w:r>
            <w:r>
              <w:rPr>
                <w:rFonts w:ascii="Arial" w:hAnsi="Arial" w:cs="Arial"/>
              </w:rPr>
              <w:t>can’t</w:t>
            </w:r>
            <w:r w:rsidRPr="00D0328D">
              <w:rPr>
                <w:rFonts w:ascii="Arial" w:hAnsi="Arial" w:cs="Arial"/>
              </w:rPr>
              <w:t xml:space="preserve"> insert automatic mechanisms that limit the choice of payment brand or application whe</w:t>
            </w:r>
            <w:r>
              <w:rPr>
                <w:rFonts w:ascii="Arial" w:hAnsi="Arial" w:cs="Arial"/>
              </w:rPr>
              <w:t>n using</w:t>
            </w:r>
            <w:r w:rsidRPr="00D0328D">
              <w:rPr>
                <w:rFonts w:ascii="Arial" w:hAnsi="Arial" w:cs="Arial"/>
              </w:rPr>
              <w:t xml:space="preserve"> co-badged payment instruments (</w:t>
            </w:r>
            <w:r>
              <w:rPr>
                <w:rFonts w:ascii="Arial" w:hAnsi="Arial" w:cs="Arial"/>
              </w:rPr>
              <w:t>can’t</w:t>
            </w:r>
            <w:r w:rsidRPr="00D0328D">
              <w:rPr>
                <w:rFonts w:ascii="Arial" w:hAnsi="Arial" w:cs="Arial"/>
              </w:rPr>
              <w:t xml:space="preserve"> predetermine what applications are used where e.g. if domestic POS use X application, if </w:t>
            </w:r>
            <w:r>
              <w:rPr>
                <w:rFonts w:ascii="Arial" w:hAnsi="Arial" w:cs="Arial"/>
              </w:rPr>
              <w:t>overseas</w:t>
            </w:r>
            <w:r w:rsidRPr="00D0328D">
              <w:rPr>
                <w:rFonts w:ascii="Arial" w:hAnsi="Arial" w:cs="Arial"/>
              </w:rPr>
              <w:t xml:space="preserve"> use Y application).</w:t>
            </w:r>
          </w:p>
          <w:p w14:paraId="3A97B875" w14:textId="77777777" w:rsidR="00582757" w:rsidRPr="00D0328D" w:rsidRDefault="00582757" w:rsidP="00FC3826">
            <w:pPr>
              <w:autoSpaceDE w:val="0"/>
              <w:autoSpaceDN w:val="0"/>
              <w:adjustRightInd w:val="0"/>
              <w:spacing w:after="40" w:line="276" w:lineRule="auto"/>
              <w:rPr>
                <w:rFonts w:ascii="Arial" w:hAnsi="Arial" w:cs="Arial"/>
              </w:rPr>
            </w:pPr>
            <w:r>
              <w:rPr>
                <w:rFonts w:ascii="Arial" w:hAnsi="Arial" w:cs="Arial"/>
              </w:rPr>
              <w:t>R</w:t>
            </w:r>
            <w:r w:rsidRPr="00D0328D">
              <w:rPr>
                <w:rFonts w:ascii="Arial" w:hAnsi="Arial" w:cs="Arial"/>
              </w:rPr>
              <w:t xml:space="preserve">outing principles that direct transactions through a </w:t>
            </w:r>
            <w:r>
              <w:rPr>
                <w:rFonts w:ascii="Arial" w:hAnsi="Arial" w:cs="Arial"/>
              </w:rPr>
              <w:t>process</w:t>
            </w:r>
            <w:r w:rsidRPr="00D0328D">
              <w:rPr>
                <w:rFonts w:ascii="Arial" w:hAnsi="Arial" w:cs="Arial"/>
              </w:rPr>
              <w:t xml:space="preserve"> </w:t>
            </w:r>
            <w:r>
              <w:rPr>
                <w:rFonts w:ascii="Arial" w:hAnsi="Arial" w:cs="Arial"/>
              </w:rPr>
              <w:t>for</w:t>
            </w:r>
            <w:r w:rsidRPr="00D0328D">
              <w:rPr>
                <w:rFonts w:ascii="Arial" w:hAnsi="Arial" w:cs="Arial"/>
              </w:rPr>
              <w:t xml:space="preserve"> handling two or more </w:t>
            </w:r>
            <w:r>
              <w:rPr>
                <w:rFonts w:ascii="Arial" w:hAnsi="Arial" w:cs="Arial"/>
              </w:rPr>
              <w:t>co-badged applications</w:t>
            </w:r>
            <w:r w:rsidRPr="00D0328D">
              <w:rPr>
                <w:rFonts w:ascii="Arial" w:hAnsi="Arial" w:cs="Arial"/>
              </w:rPr>
              <w:t xml:space="preserve"> </w:t>
            </w:r>
            <w:r>
              <w:rPr>
                <w:rFonts w:ascii="Arial" w:hAnsi="Arial" w:cs="Arial"/>
              </w:rPr>
              <w:t>must</w:t>
            </w:r>
            <w:r w:rsidRPr="00D0328D">
              <w:rPr>
                <w:rFonts w:ascii="Arial" w:hAnsi="Arial" w:cs="Arial"/>
              </w:rPr>
              <w:t xml:space="preserve"> be non-discriminatory.</w:t>
            </w:r>
          </w:p>
        </w:tc>
      </w:tr>
      <w:tr w:rsidR="00582757" w:rsidRPr="00D0328D" w14:paraId="289E88A9" w14:textId="77777777" w:rsidTr="00582757">
        <w:tc>
          <w:tcPr>
            <w:tcW w:w="1526" w:type="dxa"/>
          </w:tcPr>
          <w:p w14:paraId="41CCC8FB" w14:textId="77777777" w:rsidR="00582757" w:rsidRPr="003025EF" w:rsidRDefault="00582757" w:rsidP="00FC3826">
            <w:pPr>
              <w:spacing w:after="40" w:line="276" w:lineRule="auto"/>
              <w:rPr>
                <w:rFonts w:ascii="Arial" w:hAnsi="Arial" w:cs="Arial"/>
                <w:b/>
              </w:rPr>
            </w:pPr>
            <w:r w:rsidRPr="003025EF">
              <w:rPr>
                <w:rFonts w:ascii="Arial" w:hAnsi="Arial" w:cs="Arial"/>
                <w:b/>
              </w:rPr>
              <w:t>United Kingdom</w:t>
            </w:r>
          </w:p>
        </w:tc>
        <w:tc>
          <w:tcPr>
            <w:tcW w:w="3402" w:type="dxa"/>
          </w:tcPr>
          <w:p w14:paraId="68471402" w14:textId="77777777" w:rsidR="00582757" w:rsidRPr="00D0328D" w:rsidRDefault="00582757" w:rsidP="00FC3826">
            <w:pPr>
              <w:spacing w:after="40" w:line="276" w:lineRule="auto"/>
              <w:rPr>
                <w:rFonts w:ascii="Arial" w:hAnsi="Arial" w:cs="Arial"/>
              </w:rPr>
            </w:pPr>
            <w:r w:rsidRPr="00D0328D">
              <w:rPr>
                <w:rFonts w:ascii="Arial" w:hAnsi="Arial" w:cs="Arial"/>
              </w:rPr>
              <w:t>Payment Systems Regulator</w:t>
            </w:r>
          </w:p>
        </w:tc>
        <w:tc>
          <w:tcPr>
            <w:tcW w:w="10206" w:type="dxa"/>
            <w:gridSpan w:val="2"/>
          </w:tcPr>
          <w:p w14:paraId="09D76DDE" w14:textId="77777777" w:rsidR="00582757" w:rsidRPr="00D0328D" w:rsidRDefault="00582757" w:rsidP="00FC3826">
            <w:pPr>
              <w:pStyle w:val="NormalWeb"/>
              <w:spacing w:before="0" w:beforeAutospacing="0" w:after="40" w:afterAutospacing="0" w:line="276" w:lineRule="auto"/>
              <w:rPr>
                <w:rFonts w:ascii="Arial" w:hAnsi="Arial" w:cs="Arial"/>
                <w:sz w:val="22"/>
                <w:szCs w:val="22"/>
                <w:lang w:val="en-AU"/>
              </w:rPr>
            </w:pPr>
            <w:r w:rsidRPr="00D0328D">
              <w:rPr>
                <w:rFonts w:ascii="Arial" w:hAnsi="Arial" w:cs="Arial"/>
                <w:sz w:val="22"/>
                <w:szCs w:val="22"/>
                <w:lang w:val="en-AU"/>
              </w:rPr>
              <w:t>The Payment System Regulator is the U.K.’s “competent authority” responsible for implementing and regulating the European Commission’s regulations (above). Interpretive guidelines</w:t>
            </w:r>
            <w:r w:rsidRPr="00D0328D">
              <w:rPr>
                <w:rStyle w:val="FootnoteReference"/>
                <w:rFonts w:ascii="Arial" w:hAnsi="Arial" w:cs="Arial"/>
                <w:sz w:val="22"/>
                <w:szCs w:val="22"/>
                <w:lang w:val="en-AU"/>
              </w:rPr>
              <w:footnoteReference w:id="3"/>
            </w:r>
            <w:r w:rsidRPr="00D0328D">
              <w:rPr>
                <w:rFonts w:ascii="Arial" w:hAnsi="Arial" w:cs="Arial"/>
                <w:sz w:val="22"/>
                <w:szCs w:val="22"/>
                <w:lang w:val="en-AU"/>
              </w:rPr>
              <w:t xml:space="preserve"> have been published on how the U.K. will implement the Commission’s regulations.</w:t>
            </w:r>
          </w:p>
        </w:tc>
      </w:tr>
      <w:tr w:rsidR="00582757" w:rsidRPr="00D0328D" w14:paraId="39584734" w14:textId="77777777" w:rsidTr="00582757">
        <w:tc>
          <w:tcPr>
            <w:tcW w:w="1526" w:type="dxa"/>
          </w:tcPr>
          <w:p w14:paraId="64ED78E9" w14:textId="77777777" w:rsidR="00582757" w:rsidRPr="003025EF" w:rsidRDefault="00582757" w:rsidP="00FC3826">
            <w:pPr>
              <w:spacing w:after="40" w:line="276" w:lineRule="auto"/>
              <w:rPr>
                <w:rFonts w:ascii="Arial" w:hAnsi="Arial" w:cs="Arial"/>
                <w:b/>
              </w:rPr>
            </w:pPr>
            <w:r w:rsidRPr="003025EF">
              <w:rPr>
                <w:rFonts w:ascii="Arial" w:hAnsi="Arial" w:cs="Arial"/>
                <w:b/>
              </w:rPr>
              <w:t>Canada</w:t>
            </w:r>
          </w:p>
        </w:tc>
        <w:tc>
          <w:tcPr>
            <w:tcW w:w="3402" w:type="dxa"/>
          </w:tcPr>
          <w:p w14:paraId="0544615C" w14:textId="77777777" w:rsidR="00582757" w:rsidRPr="00D0328D" w:rsidRDefault="00582757" w:rsidP="00FC3826">
            <w:pPr>
              <w:spacing w:after="40" w:line="276" w:lineRule="auto"/>
              <w:rPr>
                <w:rFonts w:ascii="Arial" w:hAnsi="Arial" w:cs="Arial"/>
              </w:rPr>
            </w:pPr>
            <w:r w:rsidRPr="00D0328D">
              <w:rPr>
                <w:rFonts w:ascii="Arial" w:hAnsi="Arial" w:cs="Arial"/>
              </w:rPr>
              <w:t>Financial Consumer Agency of Canada: Code of Conduct for the Credit and Debit Card Industry</w:t>
            </w:r>
            <w:r w:rsidRPr="00D0328D">
              <w:rPr>
                <w:rStyle w:val="FootnoteReference"/>
                <w:rFonts w:ascii="Arial" w:hAnsi="Arial" w:cs="Arial"/>
              </w:rPr>
              <w:footnoteReference w:id="4"/>
            </w:r>
            <w:r w:rsidRPr="00D0328D">
              <w:rPr>
                <w:rFonts w:ascii="Arial" w:hAnsi="Arial" w:cs="Arial"/>
              </w:rPr>
              <w:t>. Code of conduct applies to card networks, issuers and acquirers. Updated in 2015 to extend to mobile.</w:t>
            </w:r>
          </w:p>
        </w:tc>
        <w:tc>
          <w:tcPr>
            <w:tcW w:w="5103" w:type="dxa"/>
          </w:tcPr>
          <w:p w14:paraId="2B57AA50" w14:textId="77777777" w:rsidR="00582757" w:rsidRPr="00D0328D" w:rsidRDefault="00582757" w:rsidP="00FC3826">
            <w:pPr>
              <w:spacing w:after="40" w:line="276" w:lineRule="auto"/>
              <w:rPr>
                <w:rFonts w:ascii="Arial" w:hAnsi="Arial" w:cs="Arial"/>
              </w:rPr>
            </w:pPr>
            <w:r w:rsidRPr="00D0328D">
              <w:rPr>
                <w:rFonts w:ascii="Arial" w:hAnsi="Arial" w:cs="Arial"/>
              </w:rPr>
              <w:t xml:space="preserve">Competing domestic applications cannot be co-badged on same card.  Complementary applications can be co-badged &amp; equally branded, e.g. Interac for domestic POS and Visa for card not present </w:t>
            </w:r>
            <w:r>
              <w:rPr>
                <w:rFonts w:ascii="Arial" w:hAnsi="Arial" w:cs="Arial"/>
              </w:rPr>
              <w:t>/</w:t>
            </w:r>
            <w:r w:rsidRPr="00D0328D">
              <w:rPr>
                <w:rFonts w:ascii="Arial" w:hAnsi="Arial" w:cs="Arial"/>
              </w:rPr>
              <w:t xml:space="preserve"> cross-border.  In mobile, debit payment credentials must be represented as separate payment applets.</w:t>
            </w:r>
          </w:p>
        </w:tc>
        <w:tc>
          <w:tcPr>
            <w:tcW w:w="5103" w:type="dxa"/>
          </w:tcPr>
          <w:p w14:paraId="5D2D9920" w14:textId="77777777" w:rsidR="00582757" w:rsidRPr="00D0328D" w:rsidRDefault="00582757" w:rsidP="00FC3826">
            <w:pPr>
              <w:spacing w:after="40" w:line="276" w:lineRule="auto"/>
              <w:rPr>
                <w:rFonts w:ascii="Arial" w:hAnsi="Arial" w:cs="Arial"/>
              </w:rPr>
            </w:pPr>
            <w:r w:rsidRPr="00D0328D">
              <w:rPr>
                <w:rFonts w:ascii="Arial" w:hAnsi="Arial" w:cs="Arial"/>
              </w:rPr>
              <w:t>Code allows merchants to freely choose which payment options they will accept.  Consumers shall have unrestricted control over payment default settings on mobile devices / wallets. Consumers can select which payment applet shall be used for contactless payments.</w:t>
            </w:r>
          </w:p>
        </w:tc>
      </w:tr>
      <w:tr w:rsidR="00582757" w:rsidRPr="00D0328D" w14:paraId="46C3E744" w14:textId="77777777" w:rsidTr="00582757">
        <w:tc>
          <w:tcPr>
            <w:tcW w:w="1526" w:type="dxa"/>
          </w:tcPr>
          <w:p w14:paraId="0AB062EC" w14:textId="77777777" w:rsidR="00582757" w:rsidRPr="003025EF" w:rsidRDefault="00582757" w:rsidP="00FC3826">
            <w:pPr>
              <w:spacing w:after="40" w:line="276" w:lineRule="auto"/>
              <w:rPr>
                <w:rFonts w:ascii="Arial" w:hAnsi="Arial" w:cs="Arial"/>
                <w:b/>
              </w:rPr>
            </w:pPr>
            <w:r w:rsidRPr="003025EF">
              <w:rPr>
                <w:rFonts w:ascii="Arial" w:hAnsi="Arial" w:cs="Arial"/>
                <w:b/>
              </w:rPr>
              <w:t>USA</w:t>
            </w:r>
          </w:p>
        </w:tc>
        <w:tc>
          <w:tcPr>
            <w:tcW w:w="3402" w:type="dxa"/>
          </w:tcPr>
          <w:p w14:paraId="2BCFA0B9" w14:textId="77777777" w:rsidR="00582757" w:rsidRPr="00D0328D" w:rsidRDefault="00582757" w:rsidP="00FC3826">
            <w:pPr>
              <w:spacing w:after="40" w:line="276" w:lineRule="auto"/>
              <w:rPr>
                <w:rFonts w:ascii="Arial" w:hAnsi="Arial" w:cs="Arial"/>
              </w:rPr>
            </w:pPr>
            <w:r w:rsidRPr="00D0328D">
              <w:rPr>
                <w:rFonts w:ascii="Arial" w:hAnsi="Arial" w:cs="Arial"/>
              </w:rPr>
              <w:t>Durbin Amendment</w:t>
            </w:r>
          </w:p>
        </w:tc>
        <w:tc>
          <w:tcPr>
            <w:tcW w:w="5103" w:type="dxa"/>
          </w:tcPr>
          <w:p w14:paraId="57559A65" w14:textId="77777777" w:rsidR="00582757" w:rsidRPr="00D0328D" w:rsidRDefault="00582757" w:rsidP="00FC3826">
            <w:pPr>
              <w:spacing w:after="40" w:line="276" w:lineRule="auto"/>
              <w:rPr>
                <w:rFonts w:ascii="Arial" w:hAnsi="Arial" w:cs="Arial"/>
              </w:rPr>
            </w:pPr>
            <w:r w:rsidRPr="00D0328D">
              <w:rPr>
                <w:rFonts w:ascii="Arial" w:hAnsi="Arial" w:cs="Arial"/>
              </w:rPr>
              <w:t>Requires that all debit cards be enabled on at least two unaffiliated networks. Networks must also not restrict or limit an issuer’s ability to contract with other networks.</w:t>
            </w:r>
          </w:p>
        </w:tc>
        <w:tc>
          <w:tcPr>
            <w:tcW w:w="5103" w:type="dxa"/>
          </w:tcPr>
          <w:p w14:paraId="0A10EF95" w14:textId="77777777" w:rsidR="00582757" w:rsidRPr="00D0328D" w:rsidRDefault="00582757" w:rsidP="00FC3826">
            <w:pPr>
              <w:pStyle w:val="NormalWeb"/>
              <w:spacing w:before="0" w:beforeAutospacing="0" w:after="40" w:afterAutospacing="0" w:line="276" w:lineRule="auto"/>
              <w:rPr>
                <w:rFonts w:ascii="Arial" w:hAnsi="Arial" w:cs="Arial"/>
                <w:sz w:val="22"/>
                <w:szCs w:val="22"/>
                <w:lang w:val="en-AU"/>
              </w:rPr>
            </w:pPr>
            <w:r w:rsidRPr="00D0328D">
              <w:rPr>
                <w:rFonts w:ascii="Arial" w:hAnsi="Arial" w:cs="Arial"/>
                <w:sz w:val="22"/>
                <w:szCs w:val="22"/>
                <w:lang w:val="en-AU"/>
              </w:rPr>
              <w:t>-</w:t>
            </w:r>
          </w:p>
        </w:tc>
      </w:tr>
      <w:tr w:rsidR="00582757" w:rsidRPr="00D0328D" w14:paraId="7116358F" w14:textId="77777777" w:rsidTr="00582757">
        <w:tc>
          <w:tcPr>
            <w:tcW w:w="1526" w:type="dxa"/>
          </w:tcPr>
          <w:p w14:paraId="648C081F" w14:textId="77777777" w:rsidR="00582757" w:rsidRPr="003025EF" w:rsidRDefault="00582757" w:rsidP="00FC3826">
            <w:pPr>
              <w:spacing w:after="40" w:line="276" w:lineRule="auto"/>
              <w:rPr>
                <w:rFonts w:ascii="Arial" w:hAnsi="Arial" w:cs="Arial"/>
                <w:b/>
              </w:rPr>
            </w:pPr>
            <w:r w:rsidRPr="003025EF">
              <w:rPr>
                <w:rFonts w:ascii="Arial" w:hAnsi="Arial" w:cs="Arial"/>
                <w:b/>
              </w:rPr>
              <w:t>New Zealand</w:t>
            </w:r>
          </w:p>
        </w:tc>
        <w:tc>
          <w:tcPr>
            <w:tcW w:w="3402" w:type="dxa"/>
          </w:tcPr>
          <w:p w14:paraId="6B208718" w14:textId="77777777" w:rsidR="00582757" w:rsidRPr="00D0328D" w:rsidRDefault="00582757" w:rsidP="00FC3826">
            <w:pPr>
              <w:spacing w:after="40" w:line="276" w:lineRule="auto"/>
              <w:rPr>
                <w:rFonts w:ascii="Arial" w:hAnsi="Arial" w:cs="Arial"/>
              </w:rPr>
            </w:pPr>
            <w:r>
              <w:rPr>
                <w:rFonts w:ascii="Arial" w:hAnsi="Arial" w:cs="Arial"/>
              </w:rPr>
              <w:t>Industry rules</w:t>
            </w:r>
          </w:p>
        </w:tc>
        <w:tc>
          <w:tcPr>
            <w:tcW w:w="5103" w:type="dxa"/>
          </w:tcPr>
          <w:p w14:paraId="59EB8AE5" w14:textId="77777777" w:rsidR="00582757" w:rsidRPr="00D0328D" w:rsidRDefault="00582757" w:rsidP="00FC3826">
            <w:pPr>
              <w:spacing w:after="40" w:line="276" w:lineRule="auto"/>
              <w:rPr>
                <w:rFonts w:ascii="Arial" w:hAnsi="Arial" w:cs="Arial"/>
              </w:rPr>
            </w:pPr>
            <w:r w:rsidRPr="00D0328D">
              <w:rPr>
                <w:rFonts w:ascii="Arial" w:hAnsi="Arial" w:cs="Arial"/>
              </w:rPr>
              <w:t>-</w:t>
            </w:r>
          </w:p>
        </w:tc>
        <w:tc>
          <w:tcPr>
            <w:tcW w:w="5103" w:type="dxa"/>
          </w:tcPr>
          <w:p w14:paraId="3C3C51AD" w14:textId="77777777" w:rsidR="00582757" w:rsidRPr="00D0328D" w:rsidRDefault="00582757" w:rsidP="00FC3826">
            <w:pPr>
              <w:pStyle w:val="NormalWeb"/>
              <w:spacing w:before="0" w:beforeAutospacing="0" w:after="40" w:afterAutospacing="0" w:line="276" w:lineRule="auto"/>
              <w:rPr>
                <w:rFonts w:eastAsia="Times New Roman"/>
                <w:color w:val="000000"/>
                <w:sz w:val="22"/>
                <w:lang w:val="en-AU"/>
              </w:rPr>
            </w:pPr>
            <w:r w:rsidRPr="00D0328D">
              <w:rPr>
                <w:rFonts w:ascii="Arial" w:hAnsi="Arial" w:cs="Arial"/>
                <w:sz w:val="22"/>
                <w:szCs w:val="22"/>
                <w:lang w:val="en-AU"/>
              </w:rPr>
              <w:t xml:space="preserve">Payments NZ </w:t>
            </w:r>
            <w:r>
              <w:rPr>
                <w:rFonts w:ascii="Arial" w:hAnsi="Arial" w:cs="Arial"/>
                <w:sz w:val="22"/>
                <w:szCs w:val="22"/>
                <w:lang w:val="en-AU"/>
              </w:rPr>
              <w:t>rule</w:t>
            </w:r>
            <w:r w:rsidRPr="00D0328D">
              <w:rPr>
                <w:rFonts w:ascii="Arial" w:hAnsi="Arial" w:cs="Arial"/>
                <w:sz w:val="22"/>
                <w:szCs w:val="22"/>
                <w:lang w:val="en-AU"/>
              </w:rPr>
              <w:t xml:space="preserve">. If </w:t>
            </w:r>
            <w:r>
              <w:rPr>
                <w:rFonts w:ascii="Arial" w:hAnsi="Arial" w:cs="Arial"/>
                <w:sz w:val="22"/>
                <w:szCs w:val="22"/>
                <w:lang w:val="en-AU"/>
              </w:rPr>
              <w:t xml:space="preserve">a </w:t>
            </w:r>
            <w:r w:rsidRPr="00D0328D">
              <w:rPr>
                <w:rFonts w:ascii="Arial" w:hAnsi="Arial" w:cs="Arial"/>
                <w:sz w:val="22"/>
                <w:szCs w:val="22"/>
                <w:lang w:val="en-AU"/>
              </w:rPr>
              <w:t>mobile device has more than one application, the customer must be able to determine the priority between applications and cannot be overridden.</w:t>
            </w:r>
            <w:r w:rsidRPr="00D0328D">
              <w:rPr>
                <w:rStyle w:val="FootnoteReference"/>
                <w:rFonts w:ascii="Arial" w:hAnsi="Arial" w:cs="Arial"/>
                <w:sz w:val="22"/>
                <w:szCs w:val="22"/>
                <w:lang w:val="en-AU"/>
              </w:rPr>
              <w:footnoteReference w:id="5"/>
            </w:r>
            <w:r w:rsidRPr="00D0328D">
              <w:rPr>
                <w:rFonts w:ascii="Arial" w:hAnsi="Arial" w:cs="Arial"/>
                <w:sz w:val="22"/>
                <w:szCs w:val="22"/>
                <w:lang w:val="en-AU"/>
              </w:rPr>
              <w:t xml:space="preserve"> </w:t>
            </w:r>
          </w:p>
        </w:tc>
      </w:tr>
      <w:tr w:rsidR="00582757" w:rsidRPr="00D0328D" w14:paraId="320E51B3" w14:textId="77777777" w:rsidTr="00582757">
        <w:tc>
          <w:tcPr>
            <w:tcW w:w="1526" w:type="dxa"/>
          </w:tcPr>
          <w:p w14:paraId="7C11955F" w14:textId="77777777" w:rsidR="00582757" w:rsidRPr="003025EF" w:rsidRDefault="00582757" w:rsidP="00FC3826">
            <w:pPr>
              <w:spacing w:after="40" w:line="276" w:lineRule="auto"/>
              <w:rPr>
                <w:rFonts w:ascii="Arial" w:hAnsi="Arial" w:cs="Arial"/>
                <w:b/>
              </w:rPr>
            </w:pPr>
            <w:r w:rsidRPr="003025EF">
              <w:rPr>
                <w:rFonts w:ascii="Arial" w:hAnsi="Arial" w:cs="Arial"/>
                <w:b/>
              </w:rPr>
              <w:t>Malaysia</w:t>
            </w:r>
          </w:p>
        </w:tc>
        <w:tc>
          <w:tcPr>
            <w:tcW w:w="3402" w:type="dxa"/>
          </w:tcPr>
          <w:p w14:paraId="499C6967" w14:textId="77777777" w:rsidR="00582757" w:rsidRPr="00D0328D" w:rsidRDefault="00582757" w:rsidP="00FC3826">
            <w:pPr>
              <w:spacing w:after="40" w:line="276" w:lineRule="auto"/>
              <w:rPr>
                <w:rFonts w:ascii="Arial" w:hAnsi="Arial" w:cs="Arial"/>
              </w:rPr>
            </w:pPr>
            <w:r w:rsidRPr="00D0328D">
              <w:rPr>
                <w:rFonts w:ascii="Arial" w:hAnsi="Arial" w:cs="Arial"/>
              </w:rPr>
              <w:t xml:space="preserve">Central bank introduced card reforms </w:t>
            </w:r>
            <w:r>
              <w:rPr>
                <w:rFonts w:ascii="Arial" w:hAnsi="Arial" w:cs="Arial"/>
              </w:rPr>
              <w:t xml:space="preserve">in </w:t>
            </w:r>
            <w:r w:rsidRPr="00D0328D">
              <w:rPr>
                <w:rFonts w:ascii="Arial" w:hAnsi="Arial" w:cs="Arial"/>
              </w:rPr>
              <w:t>January 2015</w:t>
            </w:r>
            <w:r w:rsidRPr="00D0328D">
              <w:rPr>
                <w:rStyle w:val="FootnoteReference"/>
                <w:rFonts w:ascii="Arial" w:hAnsi="Arial" w:cs="Arial"/>
              </w:rPr>
              <w:footnoteReference w:id="6"/>
            </w:r>
          </w:p>
        </w:tc>
        <w:tc>
          <w:tcPr>
            <w:tcW w:w="5103" w:type="dxa"/>
          </w:tcPr>
          <w:p w14:paraId="1084730E" w14:textId="77777777" w:rsidR="00582757" w:rsidRPr="00D0328D" w:rsidRDefault="00582757" w:rsidP="00FC3826">
            <w:pPr>
              <w:spacing w:after="40" w:line="276" w:lineRule="auto"/>
              <w:rPr>
                <w:rFonts w:ascii="Arial" w:hAnsi="Arial" w:cs="Arial"/>
              </w:rPr>
            </w:pPr>
            <w:r w:rsidRPr="00D0328D">
              <w:rPr>
                <w:rFonts w:ascii="Arial" w:hAnsi="Arial" w:cs="Arial"/>
              </w:rPr>
              <w:t>Networks must not restrict co-badging. Equal branding on card. No specific reference of dual-card regulation being applied in</w:t>
            </w:r>
            <w:r>
              <w:rPr>
                <w:rFonts w:ascii="Arial" w:hAnsi="Arial" w:cs="Arial"/>
              </w:rPr>
              <w:t>to a</w:t>
            </w:r>
            <w:r w:rsidRPr="00D0328D">
              <w:rPr>
                <w:rFonts w:ascii="Arial" w:hAnsi="Arial" w:cs="Arial"/>
              </w:rPr>
              <w:t xml:space="preserve"> mobile context.</w:t>
            </w:r>
          </w:p>
        </w:tc>
        <w:tc>
          <w:tcPr>
            <w:tcW w:w="5103" w:type="dxa"/>
          </w:tcPr>
          <w:p w14:paraId="443EA35F" w14:textId="77777777" w:rsidR="00582757" w:rsidRPr="00D0328D" w:rsidRDefault="00582757" w:rsidP="00FC3826">
            <w:pPr>
              <w:spacing w:after="40" w:line="276" w:lineRule="auto"/>
              <w:rPr>
                <w:rFonts w:ascii="Arial" w:hAnsi="Arial" w:cs="Arial"/>
              </w:rPr>
            </w:pPr>
            <w:r w:rsidRPr="00D0328D">
              <w:rPr>
                <w:rFonts w:ascii="Arial" w:hAnsi="Arial" w:cs="Arial"/>
              </w:rPr>
              <w:t>Merchants have first priority in deciding which payment card network a trans</w:t>
            </w:r>
            <w:r>
              <w:rPr>
                <w:rFonts w:ascii="Arial" w:hAnsi="Arial" w:cs="Arial"/>
              </w:rPr>
              <w:t>action is to be processed by. C</w:t>
            </w:r>
            <w:r w:rsidRPr="00D0328D">
              <w:rPr>
                <w:rFonts w:ascii="Arial" w:hAnsi="Arial" w:cs="Arial"/>
              </w:rPr>
              <w:t>ardholders</w:t>
            </w:r>
            <w:r>
              <w:rPr>
                <w:rFonts w:ascii="Arial" w:hAnsi="Arial" w:cs="Arial"/>
              </w:rPr>
              <w:t xml:space="preserve"> have second priority</w:t>
            </w:r>
            <w:r w:rsidRPr="00D0328D">
              <w:rPr>
                <w:rFonts w:ascii="Arial" w:hAnsi="Arial" w:cs="Arial"/>
              </w:rPr>
              <w:t>. Merchants can steer customers towards certain cards. No specific reference to mobile.</w:t>
            </w:r>
          </w:p>
        </w:tc>
      </w:tr>
      <w:tr w:rsidR="00582757" w:rsidRPr="00D0328D" w14:paraId="09BED1E7" w14:textId="77777777" w:rsidTr="00582757">
        <w:tc>
          <w:tcPr>
            <w:tcW w:w="1526" w:type="dxa"/>
          </w:tcPr>
          <w:p w14:paraId="6A60FFDD" w14:textId="77777777" w:rsidR="00582757" w:rsidRPr="003025EF" w:rsidRDefault="00582757" w:rsidP="00FC3826">
            <w:pPr>
              <w:spacing w:after="40" w:line="276" w:lineRule="auto"/>
              <w:rPr>
                <w:rFonts w:ascii="Arial" w:hAnsi="Arial" w:cs="Arial"/>
                <w:b/>
              </w:rPr>
            </w:pPr>
            <w:r w:rsidRPr="003025EF">
              <w:rPr>
                <w:rFonts w:ascii="Arial" w:hAnsi="Arial" w:cs="Arial"/>
                <w:b/>
              </w:rPr>
              <w:t>China</w:t>
            </w:r>
          </w:p>
        </w:tc>
        <w:tc>
          <w:tcPr>
            <w:tcW w:w="3402" w:type="dxa"/>
          </w:tcPr>
          <w:p w14:paraId="2644B833" w14:textId="77777777" w:rsidR="00582757" w:rsidRPr="00D0328D" w:rsidRDefault="00582757" w:rsidP="00FC3826">
            <w:pPr>
              <w:spacing w:after="40" w:line="276" w:lineRule="auto"/>
              <w:rPr>
                <w:rFonts w:ascii="Arial" w:hAnsi="Arial" w:cs="Arial"/>
              </w:rPr>
            </w:pPr>
            <w:r w:rsidRPr="00D0328D">
              <w:rPr>
                <w:rFonts w:ascii="Arial" w:hAnsi="Arial" w:cs="Arial"/>
                <w:color w:val="262626"/>
              </w:rPr>
              <w:t>Central bank actively regulates &amp; licenses for all payments including cards and mobile.</w:t>
            </w:r>
          </w:p>
        </w:tc>
        <w:tc>
          <w:tcPr>
            <w:tcW w:w="5103" w:type="dxa"/>
          </w:tcPr>
          <w:p w14:paraId="355B3A1F" w14:textId="77777777" w:rsidR="00582757" w:rsidRPr="00D0328D" w:rsidRDefault="00582757" w:rsidP="00FC3826">
            <w:pPr>
              <w:spacing w:after="40" w:line="276" w:lineRule="auto"/>
              <w:rPr>
                <w:rFonts w:ascii="Arial" w:hAnsi="Arial" w:cs="Arial"/>
              </w:rPr>
            </w:pPr>
            <w:r w:rsidRPr="00D0328D">
              <w:rPr>
                <w:rFonts w:ascii="Arial" w:hAnsi="Arial" w:cs="Arial"/>
              </w:rPr>
              <w:t>Issuing dual-cards to be banned – announced Nov 2016.  Single-network cards only.</w:t>
            </w:r>
            <w:r w:rsidRPr="00D0328D">
              <w:rPr>
                <w:rStyle w:val="FootnoteReference"/>
                <w:rFonts w:ascii="Arial" w:hAnsi="Arial" w:cs="Arial"/>
              </w:rPr>
              <w:footnoteReference w:id="7"/>
            </w:r>
          </w:p>
        </w:tc>
        <w:tc>
          <w:tcPr>
            <w:tcW w:w="5103" w:type="dxa"/>
          </w:tcPr>
          <w:p w14:paraId="07D17694" w14:textId="77777777" w:rsidR="00582757" w:rsidRPr="00D0328D" w:rsidRDefault="00582757" w:rsidP="00FC3826">
            <w:pPr>
              <w:spacing w:after="40" w:line="276" w:lineRule="auto"/>
              <w:rPr>
                <w:rFonts w:ascii="Arial" w:hAnsi="Arial" w:cs="Arial"/>
              </w:rPr>
            </w:pPr>
            <w:r w:rsidRPr="00D0328D">
              <w:rPr>
                <w:rFonts w:ascii="Arial" w:hAnsi="Arial" w:cs="Arial"/>
              </w:rPr>
              <w:t>-</w:t>
            </w:r>
          </w:p>
        </w:tc>
      </w:tr>
      <w:tr w:rsidR="00582757" w:rsidRPr="00D0328D" w14:paraId="798F50C1" w14:textId="77777777" w:rsidTr="00582757">
        <w:tc>
          <w:tcPr>
            <w:tcW w:w="1526" w:type="dxa"/>
          </w:tcPr>
          <w:p w14:paraId="78873EFD" w14:textId="77777777" w:rsidR="00582757" w:rsidRPr="003025EF" w:rsidRDefault="00582757" w:rsidP="00FC3826">
            <w:pPr>
              <w:spacing w:after="40" w:line="276" w:lineRule="auto"/>
              <w:rPr>
                <w:rFonts w:ascii="Arial" w:hAnsi="Arial" w:cs="Arial"/>
                <w:b/>
              </w:rPr>
            </w:pPr>
            <w:r w:rsidRPr="003025EF">
              <w:rPr>
                <w:rFonts w:ascii="Arial" w:hAnsi="Arial" w:cs="Arial"/>
                <w:b/>
              </w:rPr>
              <w:t>Denmark</w:t>
            </w:r>
          </w:p>
        </w:tc>
        <w:tc>
          <w:tcPr>
            <w:tcW w:w="3402" w:type="dxa"/>
          </w:tcPr>
          <w:p w14:paraId="77887953" w14:textId="77777777" w:rsidR="00582757" w:rsidRPr="00D0328D" w:rsidRDefault="00582757" w:rsidP="00FC3826">
            <w:pPr>
              <w:pStyle w:val="NormalWeb"/>
              <w:spacing w:before="0" w:beforeAutospacing="0" w:after="40" w:afterAutospacing="0" w:line="276" w:lineRule="auto"/>
              <w:rPr>
                <w:rFonts w:ascii="Arial" w:hAnsi="Arial" w:cs="Arial"/>
                <w:color w:val="262626"/>
                <w:sz w:val="22"/>
                <w:szCs w:val="22"/>
                <w:lang w:val="en-AU"/>
              </w:rPr>
            </w:pPr>
            <w:r w:rsidRPr="00D0328D">
              <w:rPr>
                <w:rFonts w:ascii="Arial" w:hAnsi="Arial" w:cs="Arial"/>
                <w:sz w:val="22"/>
                <w:szCs w:val="22"/>
                <w:lang w:val="en-AU"/>
              </w:rPr>
              <w:t>European Commission regulations</w:t>
            </w:r>
            <w:r>
              <w:t xml:space="preserve"> </w:t>
            </w:r>
            <w:r w:rsidRPr="00D0328D">
              <w:rPr>
                <w:rFonts w:ascii="Arial" w:hAnsi="Arial" w:cs="Arial"/>
                <w:sz w:val="22"/>
                <w:szCs w:val="22"/>
                <w:lang w:val="en-AU"/>
              </w:rPr>
              <w:t>on interchange fees for card-based payment transactions.</w:t>
            </w:r>
          </w:p>
        </w:tc>
        <w:tc>
          <w:tcPr>
            <w:tcW w:w="5103" w:type="dxa"/>
          </w:tcPr>
          <w:p w14:paraId="49A36A73" w14:textId="77777777" w:rsidR="00582757" w:rsidRPr="00D0328D" w:rsidRDefault="00582757" w:rsidP="00FC3826">
            <w:pPr>
              <w:spacing w:after="40" w:line="276" w:lineRule="auto"/>
              <w:rPr>
                <w:rFonts w:ascii="Arial" w:hAnsi="Arial" w:cs="Arial"/>
              </w:rPr>
            </w:pPr>
            <w:r>
              <w:rPr>
                <w:rFonts w:ascii="Arial" w:hAnsi="Arial" w:cs="Arial"/>
              </w:rPr>
              <w:t xml:space="preserve">Same as Europe above.  Notable because the proprietary network, </w:t>
            </w:r>
            <w:r w:rsidRPr="006806C5">
              <w:rPr>
                <w:rFonts w:ascii="Arial" w:hAnsi="Arial" w:cs="Arial"/>
              </w:rPr>
              <w:t>Dankort</w:t>
            </w:r>
            <w:r>
              <w:rPr>
                <w:rFonts w:ascii="Arial" w:hAnsi="Arial" w:cs="Arial"/>
              </w:rPr>
              <w:t>, has to comply with wider European regulations, which they claim will increase their costs and decrease their comparative efficiency.</w:t>
            </w:r>
            <w:r>
              <w:rPr>
                <w:rStyle w:val="FootnoteReference"/>
                <w:rFonts w:ascii="Arial" w:hAnsi="Arial" w:cs="Arial"/>
              </w:rPr>
              <w:footnoteReference w:id="8"/>
            </w:r>
          </w:p>
        </w:tc>
        <w:tc>
          <w:tcPr>
            <w:tcW w:w="5103" w:type="dxa"/>
          </w:tcPr>
          <w:p w14:paraId="1D379D03" w14:textId="77777777" w:rsidR="00582757" w:rsidRPr="00D0328D" w:rsidRDefault="00582757" w:rsidP="00FC3826">
            <w:pPr>
              <w:spacing w:after="40" w:line="276" w:lineRule="auto"/>
              <w:rPr>
                <w:rFonts w:ascii="Arial" w:hAnsi="Arial" w:cs="Arial"/>
              </w:rPr>
            </w:pPr>
            <w:r>
              <w:rPr>
                <w:rFonts w:ascii="Arial" w:hAnsi="Arial" w:cs="Arial"/>
              </w:rPr>
              <w:t xml:space="preserve">Same as Europe above.  </w:t>
            </w:r>
          </w:p>
        </w:tc>
      </w:tr>
      <w:tr w:rsidR="00582757" w:rsidRPr="00D0328D" w14:paraId="7FA991FF" w14:textId="77777777" w:rsidTr="00582757">
        <w:tc>
          <w:tcPr>
            <w:tcW w:w="1526" w:type="dxa"/>
          </w:tcPr>
          <w:p w14:paraId="0A1A060F" w14:textId="77777777" w:rsidR="00582757" w:rsidRPr="003025EF" w:rsidRDefault="00582757" w:rsidP="00FC3826">
            <w:pPr>
              <w:spacing w:after="40" w:line="276" w:lineRule="auto"/>
              <w:rPr>
                <w:rFonts w:ascii="Arial" w:hAnsi="Arial" w:cs="Arial"/>
                <w:b/>
              </w:rPr>
            </w:pPr>
            <w:r w:rsidRPr="003025EF">
              <w:rPr>
                <w:rFonts w:ascii="Arial" w:hAnsi="Arial" w:cs="Arial"/>
                <w:b/>
              </w:rPr>
              <w:t>Singapore</w:t>
            </w:r>
          </w:p>
        </w:tc>
        <w:tc>
          <w:tcPr>
            <w:tcW w:w="3402" w:type="dxa"/>
          </w:tcPr>
          <w:p w14:paraId="2367305D" w14:textId="77777777" w:rsidR="00582757" w:rsidRPr="00D0328D" w:rsidRDefault="00582757" w:rsidP="00FC3826">
            <w:pPr>
              <w:pStyle w:val="NormalWeb"/>
              <w:spacing w:before="0" w:beforeAutospacing="0" w:after="40" w:afterAutospacing="0" w:line="276" w:lineRule="auto"/>
              <w:rPr>
                <w:rFonts w:ascii="Arial" w:hAnsi="Arial" w:cs="Arial"/>
                <w:color w:val="262626"/>
                <w:sz w:val="22"/>
                <w:szCs w:val="22"/>
                <w:lang w:val="en-AU"/>
              </w:rPr>
            </w:pPr>
            <w:r w:rsidRPr="00D0328D">
              <w:rPr>
                <w:rFonts w:ascii="Arial" w:hAnsi="Arial" w:cs="Arial"/>
                <w:color w:val="262626"/>
                <w:sz w:val="22"/>
                <w:szCs w:val="22"/>
                <w:lang w:val="en-AU"/>
              </w:rPr>
              <w:t>Central bank proposing to license and regulate mobile wallet provide</w:t>
            </w:r>
            <w:r>
              <w:rPr>
                <w:rFonts w:ascii="Arial" w:hAnsi="Arial" w:cs="Arial"/>
                <w:color w:val="262626"/>
                <w:sz w:val="22"/>
                <w:szCs w:val="22"/>
                <w:lang w:val="en-AU"/>
              </w:rPr>
              <w:t>rs and services that allow use of</w:t>
            </w:r>
            <w:r w:rsidRPr="00D0328D">
              <w:rPr>
                <w:rFonts w:ascii="Arial" w:hAnsi="Arial" w:cs="Arial"/>
                <w:color w:val="262626"/>
                <w:sz w:val="22"/>
                <w:szCs w:val="22"/>
                <w:lang w:val="en-AU"/>
              </w:rPr>
              <w:t xml:space="preserve"> multiple cards</w:t>
            </w:r>
            <w:r w:rsidRPr="00D0328D">
              <w:rPr>
                <w:rStyle w:val="FootnoteReference"/>
                <w:rFonts w:ascii="Arial" w:hAnsi="Arial" w:cs="Arial"/>
                <w:color w:val="262626"/>
                <w:sz w:val="22"/>
                <w:szCs w:val="22"/>
                <w:lang w:val="en-AU"/>
              </w:rPr>
              <w:footnoteReference w:id="9"/>
            </w:r>
          </w:p>
        </w:tc>
        <w:tc>
          <w:tcPr>
            <w:tcW w:w="5103" w:type="dxa"/>
          </w:tcPr>
          <w:p w14:paraId="48B71B21" w14:textId="77777777" w:rsidR="00582757" w:rsidRPr="00D0328D" w:rsidRDefault="00582757" w:rsidP="00FC3826">
            <w:pPr>
              <w:spacing w:after="40" w:line="276" w:lineRule="auto"/>
              <w:rPr>
                <w:rFonts w:ascii="Arial" w:hAnsi="Arial" w:cs="Arial"/>
              </w:rPr>
            </w:pPr>
            <w:r w:rsidRPr="00D0328D">
              <w:rPr>
                <w:rFonts w:ascii="Arial" w:hAnsi="Arial" w:cs="Arial"/>
              </w:rPr>
              <w:t>-</w:t>
            </w:r>
          </w:p>
        </w:tc>
        <w:tc>
          <w:tcPr>
            <w:tcW w:w="5103" w:type="dxa"/>
          </w:tcPr>
          <w:p w14:paraId="3398956F" w14:textId="77777777" w:rsidR="00582757" w:rsidRPr="00D0328D" w:rsidRDefault="00582757" w:rsidP="00FC3826">
            <w:pPr>
              <w:spacing w:after="40" w:line="276" w:lineRule="auto"/>
              <w:rPr>
                <w:rFonts w:ascii="Arial" w:hAnsi="Arial" w:cs="Arial"/>
              </w:rPr>
            </w:pPr>
            <w:r w:rsidRPr="00D0328D">
              <w:rPr>
                <w:rFonts w:ascii="Arial" w:hAnsi="Arial" w:cs="Arial"/>
              </w:rPr>
              <w:t>-</w:t>
            </w:r>
          </w:p>
        </w:tc>
      </w:tr>
    </w:tbl>
    <w:p w14:paraId="4130AF5D" w14:textId="77777777" w:rsidR="000F2406" w:rsidRPr="00490846" w:rsidRDefault="000F2406" w:rsidP="00FC3826">
      <w:pPr>
        <w:spacing w:line="276" w:lineRule="auto"/>
      </w:pPr>
    </w:p>
    <w:sectPr w:rsidR="000F2406" w:rsidRPr="00490846" w:rsidSect="003025EF">
      <w:pgSz w:w="16838" w:h="11906" w:orient="landscape"/>
      <w:pgMar w:top="1440" w:right="820" w:bottom="144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64F9C6" w14:textId="77777777" w:rsidR="00FC6A0B" w:rsidRDefault="00FC6A0B" w:rsidP="00826967">
      <w:pPr>
        <w:spacing w:after="0" w:line="240" w:lineRule="auto"/>
      </w:pPr>
      <w:r>
        <w:separator/>
      </w:r>
    </w:p>
  </w:endnote>
  <w:endnote w:type="continuationSeparator" w:id="0">
    <w:p w14:paraId="4E68C9E2" w14:textId="77777777" w:rsidR="00FC6A0B" w:rsidRDefault="00FC6A0B" w:rsidP="00826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auto"/>
    <w:pitch w:val="variable"/>
    <w:sig w:usb0="00000003" w:usb1="00000000" w:usb2="00000000" w:usb3="00000000" w:csb0="00000001"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20002A87" w:usb1="00000000" w:usb2="00000000" w:usb3="00000000" w:csb0="000001FF" w:csb1="00000000"/>
  </w:font>
  <w:font w:name="Zapf Dingbats">
    <w:altName w:val="Wingdings 2"/>
    <w:charset w:val="02"/>
    <w:family w:val="auto"/>
    <w:pitch w:val="variable"/>
    <w:sig w:usb0="00000000" w:usb1="10000000" w:usb2="00000000" w:usb3="00000000" w:csb0="80000000"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0205417"/>
      <w:docPartObj>
        <w:docPartGallery w:val="Page Numbers (Bottom of Page)"/>
        <w:docPartUnique/>
      </w:docPartObj>
    </w:sdtPr>
    <w:sdtEndPr>
      <w:rPr>
        <w:noProof/>
      </w:rPr>
    </w:sdtEndPr>
    <w:sdtContent>
      <w:p w14:paraId="5BCB5CCA" w14:textId="18D254F2" w:rsidR="00CE0E55" w:rsidRDefault="00CE0E55">
        <w:pPr>
          <w:pStyle w:val="Footer"/>
          <w:jc w:val="right"/>
        </w:pPr>
        <w:r>
          <w:fldChar w:fldCharType="begin"/>
        </w:r>
        <w:r>
          <w:instrText xml:space="preserve"> PAGE   \* MERGEFORMAT </w:instrText>
        </w:r>
        <w:r>
          <w:fldChar w:fldCharType="separate"/>
        </w:r>
        <w:r w:rsidR="00DE633C">
          <w:rPr>
            <w:noProof/>
          </w:rPr>
          <w:t>8</w:t>
        </w:r>
        <w:r>
          <w:rPr>
            <w:noProof/>
          </w:rPr>
          <w:fldChar w:fldCharType="end"/>
        </w:r>
      </w:p>
    </w:sdtContent>
  </w:sdt>
  <w:p w14:paraId="3638EF7E" w14:textId="77777777" w:rsidR="00CE0E55" w:rsidRDefault="00CE0E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40E6E" w14:textId="77777777" w:rsidR="00341267" w:rsidRPr="00D31995" w:rsidRDefault="00341267" w:rsidP="00341267">
    <w:pPr>
      <w:pStyle w:val="Footer"/>
      <w:rPr>
        <w:sz w:val="16"/>
        <w:szCs w:val="16"/>
      </w:rPr>
    </w:pPr>
    <w:r w:rsidRPr="00D31995">
      <w:rPr>
        <w:b/>
        <w:sz w:val="16"/>
        <w:szCs w:val="16"/>
      </w:rPr>
      <w:t>Australian Payments Clearing Association Limited</w:t>
    </w:r>
    <w:r w:rsidRPr="00D31995">
      <w:rPr>
        <w:sz w:val="16"/>
        <w:szCs w:val="16"/>
      </w:rPr>
      <w:t xml:space="preserve"> ABN 12 055 136 519</w:t>
    </w:r>
  </w:p>
  <w:p w14:paraId="76715B4B" w14:textId="1A1EEE75" w:rsidR="00341267" w:rsidRDefault="00341267">
    <w:pPr>
      <w:pStyle w:val="Footer"/>
    </w:pPr>
    <w:r w:rsidRPr="00D31995">
      <w:rPr>
        <w:sz w:val="16"/>
        <w:szCs w:val="16"/>
      </w:rPr>
      <w:t xml:space="preserve">Level </w:t>
    </w:r>
    <w:r>
      <w:rPr>
        <w:sz w:val="16"/>
        <w:szCs w:val="16"/>
      </w:rPr>
      <w:t>6</w:t>
    </w:r>
    <w:r w:rsidRPr="00D31995">
      <w:rPr>
        <w:sz w:val="16"/>
        <w:szCs w:val="16"/>
      </w:rPr>
      <w:t xml:space="preserve">, </w:t>
    </w:r>
    <w:r>
      <w:rPr>
        <w:sz w:val="16"/>
        <w:szCs w:val="16"/>
      </w:rPr>
      <w:t>14 Martin Place</w:t>
    </w:r>
    <w:r w:rsidRPr="00D31995">
      <w:rPr>
        <w:sz w:val="16"/>
        <w:szCs w:val="16"/>
      </w:rPr>
      <w:t>, Sydney NSW 2000 Telephone +61 2 921</w:t>
    </w:r>
    <w:r>
      <w:rPr>
        <w:sz w:val="16"/>
        <w:szCs w:val="16"/>
      </w:rPr>
      <w:t>6</w:t>
    </w:r>
    <w:r w:rsidRPr="00D31995">
      <w:rPr>
        <w:sz w:val="16"/>
        <w:szCs w:val="16"/>
      </w:rPr>
      <w:t xml:space="preserve"> </w:t>
    </w:r>
    <w:r>
      <w:rPr>
        <w:sz w:val="16"/>
        <w:szCs w:val="16"/>
      </w:rPr>
      <w:t>4888</w:t>
    </w:r>
    <w:r w:rsidRPr="00D31995">
      <w:rPr>
        <w:sz w:val="16"/>
        <w:szCs w:val="16"/>
      </w:rPr>
      <w:t xml:space="preserve"> Facsimile +61 2 9221 8057 </w:t>
    </w:r>
    <w:hyperlink r:id="rId1" w:history="1">
      <w:r w:rsidRPr="00D31995">
        <w:rPr>
          <w:rStyle w:val="Hyperlink"/>
          <w:b/>
          <w:sz w:val="16"/>
          <w:szCs w:val="16"/>
        </w:rPr>
        <w:t>www.apca.com.au</w:t>
      </w:r>
    </w:hyperlink>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E5EC2E" w14:textId="77777777" w:rsidR="00FC6A0B" w:rsidRDefault="00FC6A0B" w:rsidP="00826967">
      <w:pPr>
        <w:spacing w:after="0" w:line="240" w:lineRule="auto"/>
      </w:pPr>
      <w:r>
        <w:separator/>
      </w:r>
    </w:p>
  </w:footnote>
  <w:footnote w:type="continuationSeparator" w:id="0">
    <w:p w14:paraId="595863FD" w14:textId="77777777" w:rsidR="00FC6A0B" w:rsidRDefault="00FC6A0B" w:rsidP="00826967">
      <w:pPr>
        <w:spacing w:after="0" w:line="240" w:lineRule="auto"/>
      </w:pPr>
      <w:r>
        <w:continuationSeparator/>
      </w:r>
    </w:p>
  </w:footnote>
  <w:footnote w:id="1">
    <w:p w14:paraId="2752D933" w14:textId="77777777" w:rsidR="00857634" w:rsidRPr="00BA03F9" w:rsidRDefault="00857634" w:rsidP="00582757">
      <w:pPr>
        <w:pStyle w:val="NormalWeb"/>
        <w:spacing w:before="0" w:beforeAutospacing="0" w:after="0" w:afterAutospacing="0"/>
        <w:rPr>
          <w:rFonts w:ascii="Arial" w:hAnsi="Arial" w:cs="Arial"/>
          <w:sz w:val="16"/>
          <w:szCs w:val="16"/>
        </w:rPr>
      </w:pPr>
      <w:r w:rsidRPr="00BA03F9">
        <w:rPr>
          <w:rStyle w:val="FootnoteReference"/>
          <w:rFonts w:ascii="Arial" w:hAnsi="Arial" w:cs="Arial"/>
          <w:sz w:val="16"/>
          <w:szCs w:val="16"/>
        </w:rPr>
        <w:footnoteRef/>
      </w:r>
      <w:r w:rsidRPr="00BA03F9">
        <w:rPr>
          <w:rFonts w:ascii="Arial" w:hAnsi="Arial" w:cs="Arial"/>
          <w:sz w:val="16"/>
          <w:szCs w:val="16"/>
        </w:rPr>
        <w:t xml:space="preserve"> </w:t>
      </w:r>
      <w:hyperlink r:id="rId1" w:history="1">
        <w:r w:rsidRPr="00BA03F9">
          <w:rPr>
            <w:rStyle w:val="Hyperlink"/>
            <w:rFonts w:ascii="Arial" w:hAnsi="Arial" w:cs="Arial"/>
            <w:sz w:val="16"/>
            <w:szCs w:val="16"/>
            <w:lang w:val="en-US"/>
          </w:rPr>
          <w:t>Regulation</w:t>
        </w:r>
        <w:r w:rsidRPr="00BA03F9">
          <w:rPr>
            <w:rStyle w:val="Hyperlink"/>
            <w:rFonts w:ascii="Arial" w:hAnsi="Arial" w:cs="Arial"/>
            <w:sz w:val="16"/>
            <w:szCs w:val="16"/>
          </w:rPr>
          <w:t xml:space="preserve"> </w:t>
        </w:r>
        <w:r w:rsidRPr="00BA03F9">
          <w:rPr>
            <w:rStyle w:val="Hyperlink"/>
            <w:rFonts w:ascii="Arial" w:hAnsi="Arial" w:cs="Arial"/>
            <w:sz w:val="16"/>
            <w:szCs w:val="16"/>
            <w:lang w:val="en-US"/>
          </w:rPr>
          <w:t>on interchange fees for card-based payment transactions</w:t>
        </w:r>
      </w:hyperlink>
      <w:r w:rsidRPr="00BA03F9">
        <w:rPr>
          <w:rFonts w:ascii="Arial" w:hAnsi="Arial" w:cs="Arial"/>
          <w:sz w:val="16"/>
          <w:szCs w:val="16"/>
          <w:lang w:val="en-US"/>
        </w:rPr>
        <w:t>, April 2015</w:t>
      </w:r>
    </w:p>
  </w:footnote>
  <w:footnote w:id="2">
    <w:p w14:paraId="30635338" w14:textId="77777777" w:rsidR="00857634" w:rsidRPr="00BA03F9" w:rsidRDefault="00857634" w:rsidP="00582757">
      <w:pPr>
        <w:pStyle w:val="FootnoteText"/>
        <w:rPr>
          <w:rFonts w:ascii="Arial" w:hAnsi="Arial" w:cs="Arial"/>
          <w:sz w:val="16"/>
          <w:szCs w:val="16"/>
          <w:lang w:val="en-US"/>
        </w:rPr>
      </w:pPr>
      <w:r w:rsidRPr="00BA03F9">
        <w:rPr>
          <w:rStyle w:val="FootnoteReference"/>
          <w:rFonts w:ascii="Arial" w:hAnsi="Arial" w:cs="Arial"/>
          <w:sz w:val="16"/>
          <w:szCs w:val="16"/>
        </w:rPr>
        <w:footnoteRef/>
      </w:r>
      <w:r w:rsidRPr="00BA03F9">
        <w:rPr>
          <w:rFonts w:ascii="Arial" w:hAnsi="Arial" w:cs="Arial"/>
          <w:sz w:val="16"/>
          <w:szCs w:val="16"/>
        </w:rPr>
        <w:t xml:space="preserve"> </w:t>
      </w:r>
      <w:hyperlink r:id="rId2" w:history="1">
        <w:r w:rsidRPr="00BA03F9">
          <w:rPr>
            <w:rStyle w:val="Hyperlink"/>
            <w:rFonts w:ascii="Arial" w:hAnsi="Arial" w:cs="Arial"/>
            <w:sz w:val="16"/>
            <w:szCs w:val="16"/>
          </w:rPr>
          <w:t>Summary of timeline and key dates for European regulation</w:t>
        </w:r>
      </w:hyperlink>
      <w:r w:rsidRPr="00BA03F9">
        <w:rPr>
          <w:rFonts w:ascii="Arial" w:hAnsi="Arial" w:cs="Arial"/>
          <w:sz w:val="16"/>
          <w:szCs w:val="16"/>
        </w:rPr>
        <w:t>, Eversheds.com</w:t>
      </w:r>
    </w:p>
  </w:footnote>
  <w:footnote w:id="3">
    <w:p w14:paraId="6D7C4F14" w14:textId="77777777" w:rsidR="00857634" w:rsidRPr="00BA03F9" w:rsidRDefault="00857634" w:rsidP="003025EF">
      <w:pPr>
        <w:spacing w:after="0" w:line="240" w:lineRule="auto"/>
        <w:rPr>
          <w:rFonts w:ascii="Arial" w:hAnsi="Arial" w:cs="Arial"/>
          <w:sz w:val="16"/>
          <w:szCs w:val="16"/>
          <w:lang w:val="en-US"/>
        </w:rPr>
      </w:pPr>
      <w:r w:rsidRPr="00BA03F9">
        <w:rPr>
          <w:rStyle w:val="FootnoteReference"/>
          <w:rFonts w:ascii="Arial" w:hAnsi="Arial" w:cs="Arial"/>
          <w:sz w:val="16"/>
          <w:szCs w:val="16"/>
        </w:rPr>
        <w:footnoteRef/>
      </w:r>
      <w:r w:rsidRPr="00BA03F9">
        <w:rPr>
          <w:rFonts w:ascii="Arial" w:hAnsi="Arial" w:cs="Arial"/>
          <w:sz w:val="16"/>
          <w:szCs w:val="16"/>
        </w:rPr>
        <w:t xml:space="preserve"> </w:t>
      </w:r>
      <w:hyperlink r:id="rId3" w:history="1">
        <w:r w:rsidRPr="00BA03F9">
          <w:rPr>
            <w:rStyle w:val="Hyperlink"/>
            <w:rFonts w:ascii="Arial" w:hAnsi="Arial" w:cs="Arial"/>
            <w:sz w:val="16"/>
            <w:szCs w:val="16"/>
            <w:lang w:val="en-US"/>
          </w:rPr>
          <w:t>Guidance on the PSR’s approach as a competent authority for the EU Interchange Fee Regulation</w:t>
        </w:r>
      </w:hyperlink>
      <w:r w:rsidRPr="00BA03F9">
        <w:rPr>
          <w:rFonts w:ascii="Arial" w:hAnsi="Arial" w:cs="Arial"/>
          <w:sz w:val="16"/>
          <w:szCs w:val="16"/>
          <w:lang w:val="en-US"/>
        </w:rPr>
        <w:t>, Payment Systems Regulator, October 2016</w:t>
      </w:r>
    </w:p>
  </w:footnote>
  <w:footnote w:id="4">
    <w:p w14:paraId="54F293E5" w14:textId="77777777" w:rsidR="00857634" w:rsidRPr="00BA03F9" w:rsidRDefault="00857634" w:rsidP="00582757">
      <w:pPr>
        <w:pStyle w:val="FootnoteText"/>
        <w:rPr>
          <w:rStyle w:val="FootnoteReference"/>
          <w:rFonts w:ascii="Arial" w:hAnsi="Arial" w:cs="Arial"/>
          <w:sz w:val="16"/>
          <w:szCs w:val="16"/>
        </w:rPr>
      </w:pPr>
      <w:r w:rsidRPr="00BA03F9">
        <w:rPr>
          <w:rFonts w:ascii="Arial" w:hAnsi="Arial" w:cs="Arial"/>
          <w:sz w:val="16"/>
          <w:szCs w:val="16"/>
          <w:vertAlign w:val="superscript"/>
          <w:lang w:val="en-US"/>
        </w:rPr>
        <w:footnoteRef/>
      </w:r>
      <w:r w:rsidRPr="00BA03F9">
        <w:rPr>
          <w:rFonts w:ascii="Arial" w:hAnsi="Arial" w:cs="Arial"/>
          <w:sz w:val="16"/>
          <w:szCs w:val="16"/>
          <w:vertAlign w:val="superscript"/>
          <w:lang w:val="en-US"/>
        </w:rPr>
        <w:t xml:space="preserve"> </w:t>
      </w:r>
      <w:hyperlink r:id="rId4" w:history="1">
        <w:r w:rsidRPr="00BA03F9">
          <w:rPr>
            <w:rStyle w:val="Hyperlink"/>
            <w:rFonts w:ascii="Arial" w:hAnsi="Arial" w:cs="Arial"/>
            <w:sz w:val="16"/>
            <w:szCs w:val="16"/>
            <w:lang w:val="en-US"/>
          </w:rPr>
          <w:t>Code of Conduct for the Credit and Debit Card Industry in Canada</w:t>
        </w:r>
      </w:hyperlink>
      <w:r w:rsidRPr="00BA03F9">
        <w:rPr>
          <w:rFonts w:ascii="Arial" w:hAnsi="Arial" w:cs="Arial"/>
          <w:sz w:val="16"/>
          <w:szCs w:val="16"/>
          <w:lang w:val="en-US"/>
        </w:rPr>
        <w:t>, Financial Consumer Agency of Canada, August 2015</w:t>
      </w:r>
    </w:p>
  </w:footnote>
  <w:footnote w:id="5">
    <w:p w14:paraId="7920AC1A" w14:textId="77777777" w:rsidR="00857634" w:rsidRPr="00D938EE" w:rsidRDefault="00857634" w:rsidP="00582757">
      <w:pPr>
        <w:pStyle w:val="FootnoteText"/>
        <w:rPr>
          <w:rFonts w:ascii="Arial" w:hAnsi="Arial" w:cs="Arial"/>
          <w:sz w:val="16"/>
          <w:szCs w:val="16"/>
          <w:lang w:val="en-US"/>
        </w:rPr>
      </w:pPr>
      <w:r w:rsidRPr="00D938EE">
        <w:rPr>
          <w:rStyle w:val="FootnoteReference"/>
          <w:rFonts w:ascii="Arial" w:hAnsi="Arial" w:cs="Arial"/>
          <w:sz w:val="16"/>
          <w:szCs w:val="16"/>
        </w:rPr>
        <w:footnoteRef/>
      </w:r>
      <w:r w:rsidRPr="00D938EE">
        <w:rPr>
          <w:rFonts w:ascii="Arial" w:hAnsi="Arial" w:cs="Arial"/>
          <w:sz w:val="16"/>
          <w:szCs w:val="16"/>
        </w:rPr>
        <w:t xml:space="preserve"> </w:t>
      </w:r>
      <w:hyperlink r:id="rId5" w:history="1">
        <w:r w:rsidRPr="00D938EE">
          <w:rPr>
            <w:rStyle w:val="Hyperlink"/>
            <w:rFonts w:ascii="Arial" w:hAnsi="Arial" w:cs="Arial"/>
            <w:sz w:val="16"/>
            <w:szCs w:val="16"/>
            <w:lang w:val="en-US"/>
          </w:rPr>
          <w:t>Mobile Device Rules and Standards</w:t>
        </w:r>
      </w:hyperlink>
      <w:r w:rsidRPr="00D938EE">
        <w:rPr>
          <w:rFonts w:ascii="Arial" w:hAnsi="Arial" w:cs="Arial"/>
          <w:sz w:val="16"/>
          <w:szCs w:val="16"/>
          <w:lang w:val="en-US"/>
        </w:rPr>
        <w:t>, Payments NZ</w:t>
      </w:r>
      <w:r>
        <w:rPr>
          <w:rFonts w:ascii="Arial" w:hAnsi="Arial" w:cs="Arial"/>
          <w:sz w:val="16"/>
          <w:szCs w:val="16"/>
          <w:lang w:val="en-US"/>
        </w:rPr>
        <w:t xml:space="preserve"> Ltd</w:t>
      </w:r>
      <w:r w:rsidRPr="00D938EE">
        <w:rPr>
          <w:rFonts w:ascii="Arial" w:hAnsi="Arial" w:cs="Arial"/>
          <w:sz w:val="16"/>
          <w:szCs w:val="16"/>
          <w:lang w:val="en-US"/>
        </w:rPr>
        <w:t>, May 2014</w:t>
      </w:r>
    </w:p>
  </w:footnote>
  <w:footnote w:id="6">
    <w:p w14:paraId="75776192" w14:textId="77777777" w:rsidR="00857634" w:rsidRPr="00C817E0" w:rsidRDefault="00857634" w:rsidP="00582757">
      <w:pPr>
        <w:spacing w:after="0" w:line="240" w:lineRule="auto"/>
        <w:rPr>
          <w:rFonts w:ascii="Arial" w:hAnsi="Arial" w:cs="Arial"/>
          <w:sz w:val="16"/>
          <w:szCs w:val="16"/>
          <w:lang w:val="en-NZ"/>
        </w:rPr>
      </w:pPr>
      <w:r w:rsidRPr="00C817E0">
        <w:rPr>
          <w:rStyle w:val="FootnoteReference"/>
          <w:rFonts w:ascii="Arial" w:hAnsi="Arial" w:cs="Arial"/>
          <w:sz w:val="16"/>
          <w:szCs w:val="16"/>
        </w:rPr>
        <w:footnoteRef/>
      </w:r>
      <w:r w:rsidRPr="00C817E0">
        <w:rPr>
          <w:rFonts w:ascii="Arial" w:hAnsi="Arial" w:cs="Arial"/>
          <w:sz w:val="16"/>
          <w:szCs w:val="16"/>
        </w:rPr>
        <w:t xml:space="preserve"> </w:t>
      </w:r>
      <w:hyperlink r:id="rId6" w:history="1">
        <w:r w:rsidRPr="00C817E0">
          <w:rPr>
            <w:rStyle w:val="Hyperlink"/>
            <w:rFonts w:ascii="Arial" w:hAnsi="Arial" w:cs="Arial"/>
            <w:sz w:val="16"/>
            <w:szCs w:val="16"/>
            <w:lang w:val="en-NZ"/>
          </w:rPr>
          <w:t>Payment Card Reform Framework</w:t>
        </w:r>
      </w:hyperlink>
      <w:r w:rsidRPr="00C817E0">
        <w:rPr>
          <w:rFonts w:ascii="Arial" w:hAnsi="Arial" w:cs="Arial"/>
          <w:sz w:val="16"/>
          <w:szCs w:val="16"/>
          <w:lang w:val="en-NZ"/>
        </w:rPr>
        <w:t>, Central Bank of Malaysia, October 2014</w:t>
      </w:r>
    </w:p>
  </w:footnote>
  <w:footnote w:id="7">
    <w:p w14:paraId="7FE70F41" w14:textId="77777777" w:rsidR="00857634" w:rsidRPr="00D90C18" w:rsidRDefault="00857634" w:rsidP="00582757">
      <w:pPr>
        <w:widowControl w:val="0"/>
        <w:autoSpaceDE w:val="0"/>
        <w:autoSpaceDN w:val="0"/>
        <w:adjustRightInd w:val="0"/>
        <w:spacing w:after="0" w:line="240" w:lineRule="auto"/>
        <w:rPr>
          <w:rFonts w:ascii="Arial" w:hAnsi="Arial" w:cs="Arial"/>
          <w:color w:val="262626"/>
          <w:sz w:val="16"/>
          <w:szCs w:val="16"/>
          <w:lang w:val="en-US"/>
        </w:rPr>
      </w:pPr>
      <w:r w:rsidRPr="007D6EC1">
        <w:rPr>
          <w:rStyle w:val="FootnoteReference"/>
          <w:rFonts w:ascii="Arial" w:hAnsi="Arial" w:cs="Arial"/>
          <w:sz w:val="16"/>
          <w:szCs w:val="16"/>
        </w:rPr>
        <w:footnoteRef/>
      </w:r>
      <w:r w:rsidRPr="007D6EC1">
        <w:rPr>
          <w:rFonts w:ascii="Arial" w:hAnsi="Arial" w:cs="Arial"/>
          <w:sz w:val="16"/>
          <w:szCs w:val="16"/>
        </w:rPr>
        <w:t xml:space="preserve"> </w:t>
      </w:r>
      <w:hyperlink r:id="rId7" w:history="1">
        <w:r w:rsidRPr="007D6EC1">
          <w:rPr>
            <w:rStyle w:val="Hyperlink"/>
            <w:rFonts w:ascii="Arial" w:hAnsi="Arial" w:cs="Arial"/>
            <w:sz w:val="16"/>
            <w:szCs w:val="16"/>
            <w:lang w:val="en-US"/>
          </w:rPr>
          <w:t>Central bank to force dual-network bank cards out of mainland market</w:t>
        </w:r>
      </w:hyperlink>
      <w:r w:rsidRPr="007D6EC1">
        <w:rPr>
          <w:rFonts w:ascii="Arial" w:hAnsi="Arial" w:cs="Arial"/>
          <w:color w:val="262626"/>
          <w:sz w:val="16"/>
          <w:szCs w:val="16"/>
          <w:lang w:val="en-US"/>
        </w:rPr>
        <w:t>, Global Times, Dec</w:t>
      </w:r>
      <w:r>
        <w:rPr>
          <w:rFonts w:ascii="Arial" w:hAnsi="Arial" w:cs="Arial"/>
          <w:color w:val="262626"/>
          <w:sz w:val="16"/>
          <w:szCs w:val="16"/>
          <w:lang w:val="en-US"/>
        </w:rPr>
        <w:t>ember 2016</w:t>
      </w:r>
    </w:p>
  </w:footnote>
  <w:footnote w:id="8">
    <w:p w14:paraId="5E411C22" w14:textId="77777777" w:rsidR="00857634" w:rsidRPr="00BC2176" w:rsidRDefault="00857634" w:rsidP="00582757">
      <w:pPr>
        <w:pStyle w:val="FootnoteText"/>
        <w:rPr>
          <w:rFonts w:ascii="Arial" w:hAnsi="Arial" w:cs="Arial"/>
          <w:sz w:val="16"/>
          <w:szCs w:val="16"/>
          <w:lang w:val="en-US"/>
        </w:rPr>
      </w:pPr>
      <w:r w:rsidRPr="00BC2176">
        <w:rPr>
          <w:rStyle w:val="FootnoteReference"/>
          <w:rFonts w:ascii="Arial" w:hAnsi="Arial" w:cs="Arial"/>
          <w:sz w:val="16"/>
          <w:szCs w:val="16"/>
        </w:rPr>
        <w:footnoteRef/>
      </w:r>
      <w:r w:rsidRPr="00BC2176">
        <w:rPr>
          <w:rFonts w:ascii="Arial" w:hAnsi="Arial" w:cs="Arial"/>
          <w:sz w:val="16"/>
          <w:szCs w:val="16"/>
        </w:rPr>
        <w:t xml:space="preserve"> </w:t>
      </w:r>
      <w:hyperlink r:id="rId8" w:history="1">
        <w:r w:rsidRPr="00BC2176">
          <w:rPr>
            <w:rStyle w:val="Hyperlink"/>
            <w:rFonts w:ascii="Arial" w:hAnsi="Arial" w:cs="Arial"/>
            <w:sz w:val="16"/>
            <w:szCs w:val="16"/>
            <w:lang w:val="en-US"/>
          </w:rPr>
          <w:t>Annual report 2014</w:t>
        </w:r>
      </w:hyperlink>
      <w:r>
        <w:rPr>
          <w:rFonts w:ascii="Arial" w:hAnsi="Arial" w:cs="Arial"/>
          <w:sz w:val="16"/>
          <w:szCs w:val="16"/>
          <w:lang w:val="en-US"/>
        </w:rPr>
        <w:t>, Danish Payments Council</w:t>
      </w:r>
    </w:p>
  </w:footnote>
  <w:footnote w:id="9">
    <w:p w14:paraId="02E1375F" w14:textId="77777777" w:rsidR="00857634" w:rsidRPr="00E278F2" w:rsidRDefault="00857634" w:rsidP="00582757">
      <w:pPr>
        <w:spacing w:after="0" w:line="240" w:lineRule="auto"/>
        <w:rPr>
          <w:rFonts w:ascii="Arial" w:hAnsi="Arial" w:cs="Arial"/>
          <w:sz w:val="16"/>
          <w:szCs w:val="16"/>
          <w:lang w:val="en-NZ"/>
        </w:rPr>
      </w:pPr>
      <w:r w:rsidRPr="00E278F2">
        <w:rPr>
          <w:rStyle w:val="FootnoteReference"/>
          <w:rFonts w:ascii="Arial" w:hAnsi="Arial" w:cs="Arial"/>
          <w:sz w:val="16"/>
          <w:szCs w:val="16"/>
        </w:rPr>
        <w:footnoteRef/>
      </w:r>
      <w:r w:rsidRPr="00E278F2">
        <w:rPr>
          <w:rFonts w:ascii="Arial" w:hAnsi="Arial" w:cs="Arial"/>
          <w:sz w:val="16"/>
          <w:szCs w:val="16"/>
        </w:rPr>
        <w:t xml:space="preserve"> </w:t>
      </w:r>
      <w:hyperlink r:id="rId9" w:history="1">
        <w:r w:rsidRPr="00E278F2">
          <w:rPr>
            <w:rStyle w:val="Hyperlink"/>
            <w:rFonts w:ascii="Arial" w:hAnsi="Arial" w:cs="Arial"/>
            <w:sz w:val="16"/>
            <w:szCs w:val="16"/>
            <w:lang w:val="en-NZ"/>
          </w:rPr>
          <w:t>Payment Card Reform Framework</w:t>
        </w:r>
      </w:hyperlink>
      <w:r w:rsidRPr="00E278F2">
        <w:rPr>
          <w:rFonts w:ascii="Arial" w:hAnsi="Arial" w:cs="Arial"/>
          <w:sz w:val="16"/>
          <w:szCs w:val="16"/>
          <w:lang w:val="en-NZ"/>
        </w:rPr>
        <w:t>, Central Bank of Malaysia, October 2014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262D5A" w14:textId="77777777" w:rsidR="00341267" w:rsidRDefault="00341267" w:rsidP="00341267">
    <w:pPr>
      <w:pStyle w:val="Header"/>
    </w:pPr>
    <w:r>
      <w:rPr>
        <w:noProof/>
        <w:lang w:eastAsia="en-AU"/>
      </w:rPr>
      <w:drawing>
        <wp:anchor distT="0" distB="0" distL="114300" distR="114300" simplePos="0" relativeHeight="251661312" behindDoc="0" locked="0" layoutInCell="1" allowOverlap="1" wp14:anchorId="71A6B1DB" wp14:editId="2302086F">
          <wp:simplePos x="0" y="0"/>
          <wp:positionH relativeFrom="column">
            <wp:posOffset>4723765</wp:posOffset>
          </wp:positionH>
          <wp:positionV relativeFrom="paragraph">
            <wp:posOffset>-211455</wp:posOffset>
          </wp:positionV>
          <wp:extent cx="1549229" cy="67627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2012_TwoColours.jpg"/>
                  <pic:cNvPicPr/>
                </pic:nvPicPr>
                <pic:blipFill>
                  <a:blip r:embed="rId1">
                    <a:extLst>
                      <a:ext uri="{28A0092B-C50C-407E-A947-70E740481C1C}">
                        <a14:useLocalDpi xmlns:a14="http://schemas.microsoft.com/office/drawing/2010/main" val="0"/>
                      </a:ext>
                    </a:extLst>
                  </a:blip>
                  <a:stretch>
                    <a:fillRect/>
                  </a:stretch>
                </pic:blipFill>
                <pic:spPr>
                  <a:xfrm>
                    <a:off x="0" y="0"/>
                    <a:ext cx="1549229" cy="676275"/>
                  </a:xfrm>
                  <a:prstGeom prst="rect">
                    <a:avLst/>
                  </a:prstGeom>
                </pic:spPr>
              </pic:pic>
            </a:graphicData>
          </a:graphic>
          <wp14:sizeRelH relativeFrom="margin">
            <wp14:pctWidth>0</wp14:pctWidth>
          </wp14:sizeRelH>
          <wp14:sizeRelV relativeFrom="margin">
            <wp14:pctHeight>0</wp14:pctHeight>
          </wp14:sizeRelV>
        </wp:anchor>
      </w:drawing>
    </w:r>
  </w:p>
  <w:p w14:paraId="1C8E9ECA" w14:textId="65F5468E" w:rsidR="00CE0E55" w:rsidRDefault="00CE0E55" w:rsidP="00CE0E55">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C7879"/>
    <w:multiLevelType w:val="hybridMultilevel"/>
    <w:tmpl w:val="F37466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92A3040"/>
    <w:multiLevelType w:val="hybridMultilevel"/>
    <w:tmpl w:val="7CE603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36A6EDD"/>
    <w:multiLevelType w:val="hybridMultilevel"/>
    <w:tmpl w:val="C66235DA"/>
    <w:lvl w:ilvl="0" w:tplc="651C5F12">
      <w:start w:val="2017"/>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4023CE5"/>
    <w:multiLevelType w:val="hybridMultilevel"/>
    <w:tmpl w:val="DF1E26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5756DC8"/>
    <w:multiLevelType w:val="hybridMultilevel"/>
    <w:tmpl w:val="125477B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17B4043B"/>
    <w:multiLevelType w:val="hybridMultilevel"/>
    <w:tmpl w:val="EFF642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AF26261"/>
    <w:multiLevelType w:val="hybridMultilevel"/>
    <w:tmpl w:val="FA042B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1E880572"/>
    <w:multiLevelType w:val="hybridMultilevel"/>
    <w:tmpl w:val="38600640"/>
    <w:lvl w:ilvl="0" w:tplc="651C5F12">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8B71FF8"/>
    <w:multiLevelType w:val="hybridMultilevel"/>
    <w:tmpl w:val="99CCBA72"/>
    <w:lvl w:ilvl="0" w:tplc="651C5F12">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AA65395"/>
    <w:multiLevelType w:val="hybridMultilevel"/>
    <w:tmpl w:val="E13C37A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nsid w:val="308B7333"/>
    <w:multiLevelType w:val="hybridMultilevel"/>
    <w:tmpl w:val="89F047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0AD1AE3"/>
    <w:multiLevelType w:val="hybridMultilevel"/>
    <w:tmpl w:val="94BEC838"/>
    <w:lvl w:ilvl="0" w:tplc="0104449C">
      <w:start w:val="1"/>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4403DC7"/>
    <w:multiLevelType w:val="hybridMultilevel"/>
    <w:tmpl w:val="61BE13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7D52AC6"/>
    <w:multiLevelType w:val="hybridMultilevel"/>
    <w:tmpl w:val="6E16B9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385433BF"/>
    <w:multiLevelType w:val="hybridMultilevel"/>
    <w:tmpl w:val="DFCC3AE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0E12E1"/>
    <w:multiLevelType w:val="hybridMultilevel"/>
    <w:tmpl w:val="038438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76D7155"/>
    <w:multiLevelType w:val="hybridMultilevel"/>
    <w:tmpl w:val="25860472"/>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nsid w:val="47845644"/>
    <w:multiLevelType w:val="hybridMultilevel"/>
    <w:tmpl w:val="FC54C7FA"/>
    <w:lvl w:ilvl="0" w:tplc="651C5F12">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A2F3282"/>
    <w:multiLevelType w:val="hybridMultilevel"/>
    <w:tmpl w:val="8006F7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4D0E5D0B"/>
    <w:multiLevelType w:val="hybridMultilevel"/>
    <w:tmpl w:val="5296B5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7482DC8"/>
    <w:multiLevelType w:val="hybridMultilevel"/>
    <w:tmpl w:val="AE488D96"/>
    <w:lvl w:ilvl="0" w:tplc="651C5F12">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603C1ED1"/>
    <w:multiLevelType w:val="hybridMultilevel"/>
    <w:tmpl w:val="DB7CD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2AE02B3"/>
    <w:multiLevelType w:val="hybridMultilevel"/>
    <w:tmpl w:val="8BEA2FDE"/>
    <w:lvl w:ilvl="0" w:tplc="651C5F12">
      <w:start w:val="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6EE504C4"/>
    <w:multiLevelType w:val="hybridMultilevel"/>
    <w:tmpl w:val="285A8D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C935E17"/>
    <w:multiLevelType w:val="hybridMultilevel"/>
    <w:tmpl w:val="EA06AF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E044569"/>
    <w:multiLevelType w:val="hybridMultilevel"/>
    <w:tmpl w:val="87F2E7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5"/>
  </w:num>
  <w:num w:numId="2">
    <w:abstractNumId w:val="13"/>
  </w:num>
  <w:num w:numId="3">
    <w:abstractNumId w:val="2"/>
  </w:num>
  <w:num w:numId="4">
    <w:abstractNumId w:val="18"/>
  </w:num>
  <w:num w:numId="5">
    <w:abstractNumId w:val="0"/>
  </w:num>
  <w:num w:numId="6">
    <w:abstractNumId w:val="4"/>
  </w:num>
  <w:num w:numId="7">
    <w:abstractNumId w:val="23"/>
  </w:num>
  <w:num w:numId="8">
    <w:abstractNumId w:val="5"/>
  </w:num>
  <w:num w:numId="9">
    <w:abstractNumId w:val="24"/>
  </w:num>
  <w:num w:numId="10">
    <w:abstractNumId w:val="11"/>
  </w:num>
  <w:num w:numId="11">
    <w:abstractNumId w:val="20"/>
  </w:num>
  <w:num w:numId="12">
    <w:abstractNumId w:val="17"/>
  </w:num>
  <w:num w:numId="13">
    <w:abstractNumId w:val="8"/>
  </w:num>
  <w:num w:numId="14">
    <w:abstractNumId w:val="7"/>
  </w:num>
  <w:num w:numId="15">
    <w:abstractNumId w:val="22"/>
  </w:num>
  <w:num w:numId="16">
    <w:abstractNumId w:val="15"/>
  </w:num>
  <w:num w:numId="17">
    <w:abstractNumId w:val="12"/>
  </w:num>
  <w:num w:numId="18">
    <w:abstractNumId w:val="10"/>
  </w:num>
  <w:num w:numId="19">
    <w:abstractNumId w:val="16"/>
  </w:num>
  <w:num w:numId="20">
    <w:abstractNumId w:val="14"/>
  </w:num>
  <w:num w:numId="21">
    <w:abstractNumId w:val="6"/>
  </w:num>
  <w:num w:numId="22">
    <w:abstractNumId w:val="3"/>
  </w:num>
  <w:num w:numId="23">
    <w:abstractNumId w:val="21"/>
  </w:num>
  <w:num w:numId="24">
    <w:abstractNumId w:val="19"/>
  </w:num>
  <w:num w:numId="25">
    <w:abstractNumId w:val="1"/>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774"/>
    <w:rsid w:val="0002224A"/>
    <w:rsid w:val="00047361"/>
    <w:rsid w:val="000602B2"/>
    <w:rsid w:val="000D51D9"/>
    <w:rsid w:val="000E25DA"/>
    <w:rsid w:val="000F2406"/>
    <w:rsid w:val="000F7A9C"/>
    <w:rsid w:val="00102089"/>
    <w:rsid w:val="0011568D"/>
    <w:rsid w:val="0012681E"/>
    <w:rsid w:val="00130918"/>
    <w:rsid w:val="00137392"/>
    <w:rsid w:val="00151F9A"/>
    <w:rsid w:val="0017527A"/>
    <w:rsid w:val="00184F9B"/>
    <w:rsid w:val="001E0722"/>
    <w:rsid w:val="0020552F"/>
    <w:rsid w:val="00207443"/>
    <w:rsid w:val="00227A90"/>
    <w:rsid w:val="002326BD"/>
    <w:rsid w:val="00253DCA"/>
    <w:rsid w:val="00267D25"/>
    <w:rsid w:val="002745CD"/>
    <w:rsid w:val="002A6AA6"/>
    <w:rsid w:val="002E7A5F"/>
    <w:rsid w:val="002F5B37"/>
    <w:rsid w:val="003025EF"/>
    <w:rsid w:val="003220E8"/>
    <w:rsid w:val="00341267"/>
    <w:rsid w:val="00351A65"/>
    <w:rsid w:val="0037223C"/>
    <w:rsid w:val="003739DC"/>
    <w:rsid w:val="0039066D"/>
    <w:rsid w:val="003B6F32"/>
    <w:rsid w:val="003D7876"/>
    <w:rsid w:val="004206D2"/>
    <w:rsid w:val="004251E8"/>
    <w:rsid w:val="00442878"/>
    <w:rsid w:val="00471239"/>
    <w:rsid w:val="004846EE"/>
    <w:rsid w:val="00490846"/>
    <w:rsid w:val="00491C99"/>
    <w:rsid w:val="00497AA4"/>
    <w:rsid w:val="004A2910"/>
    <w:rsid w:val="004D4B46"/>
    <w:rsid w:val="004E28C4"/>
    <w:rsid w:val="004E5385"/>
    <w:rsid w:val="00520295"/>
    <w:rsid w:val="00546973"/>
    <w:rsid w:val="00553361"/>
    <w:rsid w:val="005579A8"/>
    <w:rsid w:val="00560AC8"/>
    <w:rsid w:val="005625D8"/>
    <w:rsid w:val="00564E0E"/>
    <w:rsid w:val="00582757"/>
    <w:rsid w:val="00583AEA"/>
    <w:rsid w:val="00596587"/>
    <w:rsid w:val="005A07E1"/>
    <w:rsid w:val="005A2334"/>
    <w:rsid w:val="005A5298"/>
    <w:rsid w:val="005F3BEC"/>
    <w:rsid w:val="00606097"/>
    <w:rsid w:val="00644728"/>
    <w:rsid w:val="00665C58"/>
    <w:rsid w:val="0067159F"/>
    <w:rsid w:val="00686FEB"/>
    <w:rsid w:val="006A27C3"/>
    <w:rsid w:val="006C5CE4"/>
    <w:rsid w:val="007005B1"/>
    <w:rsid w:val="00713A84"/>
    <w:rsid w:val="0073075B"/>
    <w:rsid w:val="00733469"/>
    <w:rsid w:val="00752AD8"/>
    <w:rsid w:val="007604D6"/>
    <w:rsid w:val="00765935"/>
    <w:rsid w:val="00765E26"/>
    <w:rsid w:val="007725CE"/>
    <w:rsid w:val="00797F67"/>
    <w:rsid w:val="007A24EA"/>
    <w:rsid w:val="007A3B8C"/>
    <w:rsid w:val="007D7755"/>
    <w:rsid w:val="00826967"/>
    <w:rsid w:val="008443BC"/>
    <w:rsid w:val="008458AA"/>
    <w:rsid w:val="00857634"/>
    <w:rsid w:val="0086325F"/>
    <w:rsid w:val="00881575"/>
    <w:rsid w:val="00892588"/>
    <w:rsid w:val="00895E79"/>
    <w:rsid w:val="008A7692"/>
    <w:rsid w:val="008B161C"/>
    <w:rsid w:val="008B1F7C"/>
    <w:rsid w:val="009033DA"/>
    <w:rsid w:val="00931C1E"/>
    <w:rsid w:val="009341A2"/>
    <w:rsid w:val="009436FA"/>
    <w:rsid w:val="00945CE6"/>
    <w:rsid w:val="00963169"/>
    <w:rsid w:val="00A00507"/>
    <w:rsid w:val="00A10CE2"/>
    <w:rsid w:val="00A17BDA"/>
    <w:rsid w:val="00A2573D"/>
    <w:rsid w:val="00A31A41"/>
    <w:rsid w:val="00A43735"/>
    <w:rsid w:val="00A43F25"/>
    <w:rsid w:val="00A72B7E"/>
    <w:rsid w:val="00AA3710"/>
    <w:rsid w:val="00AA7529"/>
    <w:rsid w:val="00AB09F5"/>
    <w:rsid w:val="00AC15C2"/>
    <w:rsid w:val="00B05539"/>
    <w:rsid w:val="00B30585"/>
    <w:rsid w:val="00B443F3"/>
    <w:rsid w:val="00B5032E"/>
    <w:rsid w:val="00B50403"/>
    <w:rsid w:val="00B53BB4"/>
    <w:rsid w:val="00B64CBD"/>
    <w:rsid w:val="00B668C9"/>
    <w:rsid w:val="00B766D8"/>
    <w:rsid w:val="00B774DA"/>
    <w:rsid w:val="00B8140E"/>
    <w:rsid w:val="00B834A4"/>
    <w:rsid w:val="00B9097A"/>
    <w:rsid w:val="00BA5542"/>
    <w:rsid w:val="00BD59E2"/>
    <w:rsid w:val="00BE3E5D"/>
    <w:rsid w:val="00BF4768"/>
    <w:rsid w:val="00BF4A4A"/>
    <w:rsid w:val="00C12121"/>
    <w:rsid w:val="00C17073"/>
    <w:rsid w:val="00C36760"/>
    <w:rsid w:val="00C53BE3"/>
    <w:rsid w:val="00C645FE"/>
    <w:rsid w:val="00C65564"/>
    <w:rsid w:val="00C73B2C"/>
    <w:rsid w:val="00C85E55"/>
    <w:rsid w:val="00C91C3C"/>
    <w:rsid w:val="00C92200"/>
    <w:rsid w:val="00CA5774"/>
    <w:rsid w:val="00CD3CBD"/>
    <w:rsid w:val="00CE0E55"/>
    <w:rsid w:val="00D20D7A"/>
    <w:rsid w:val="00D24794"/>
    <w:rsid w:val="00D25F3E"/>
    <w:rsid w:val="00D41198"/>
    <w:rsid w:val="00D41833"/>
    <w:rsid w:val="00D524BD"/>
    <w:rsid w:val="00D7338F"/>
    <w:rsid w:val="00D93849"/>
    <w:rsid w:val="00DA5333"/>
    <w:rsid w:val="00DB16B8"/>
    <w:rsid w:val="00DD2D40"/>
    <w:rsid w:val="00DD742F"/>
    <w:rsid w:val="00DE633C"/>
    <w:rsid w:val="00DF6D20"/>
    <w:rsid w:val="00E3123C"/>
    <w:rsid w:val="00E35D45"/>
    <w:rsid w:val="00E36306"/>
    <w:rsid w:val="00E36705"/>
    <w:rsid w:val="00E50494"/>
    <w:rsid w:val="00E51C31"/>
    <w:rsid w:val="00E60CA2"/>
    <w:rsid w:val="00E75D0C"/>
    <w:rsid w:val="00E90902"/>
    <w:rsid w:val="00EB269C"/>
    <w:rsid w:val="00EC132D"/>
    <w:rsid w:val="00EE019B"/>
    <w:rsid w:val="00EE1D8B"/>
    <w:rsid w:val="00EF76F2"/>
    <w:rsid w:val="00F031FC"/>
    <w:rsid w:val="00F45817"/>
    <w:rsid w:val="00F47BBC"/>
    <w:rsid w:val="00F54062"/>
    <w:rsid w:val="00F708B5"/>
    <w:rsid w:val="00F81415"/>
    <w:rsid w:val="00F85E40"/>
    <w:rsid w:val="00F870C6"/>
    <w:rsid w:val="00FC3826"/>
    <w:rsid w:val="00FC6A0B"/>
    <w:rsid w:val="00FC7E54"/>
    <w:rsid w:val="00FD548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49A1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774"/>
    <w:pPr>
      <w:ind w:left="720"/>
      <w:contextualSpacing/>
    </w:pPr>
  </w:style>
  <w:style w:type="character" w:styleId="CommentReference">
    <w:name w:val="annotation reference"/>
    <w:basedOn w:val="DefaultParagraphFont"/>
    <w:uiPriority w:val="99"/>
    <w:semiHidden/>
    <w:unhideWhenUsed/>
    <w:rsid w:val="00B30585"/>
    <w:rPr>
      <w:sz w:val="16"/>
      <w:szCs w:val="16"/>
    </w:rPr>
  </w:style>
  <w:style w:type="paragraph" w:styleId="CommentText">
    <w:name w:val="annotation text"/>
    <w:basedOn w:val="Normal"/>
    <w:link w:val="CommentTextChar"/>
    <w:uiPriority w:val="99"/>
    <w:unhideWhenUsed/>
    <w:rsid w:val="00B30585"/>
    <w:pPr>
      <w:spacing w:line="240" w:lineRule="auto"/>
    </w:pPr>
    <w:rPr>
      <w:sz w:val="20"/>
      <w:szCs w:val="20"/>
    </w:rPr>
  </w:style>
  <w:style w:type="character" w:customStyle="1" w:styleId="CommentTextChar">
    <w:name w:val="Comment Text Char"/>
    <w:basedOn w:val="DefaultParagraphFont"/>
    <w:link w:val="CommentText"/>
    <w:uiPriority w:val="99"/>
    <w:rsid w:val="00B30585"/>
    <w:rPr>
      <w:sz w:val="20"/>
      <w:szCs w:val="20"/>
    </w:rPr>
  </w:style>
  <w:style w:type="paragraph" w:styleId="CommentSubject">
    <w:name w:val="annotation subject"/>
    <w:basedOn w:val="CommentText"/>
    <w:next w:val="CommentText"/>
    <w:link w:val="CommentSubjectChar"/>
    <w:uiPriority w:val="99"/>
    <w:semiHidden/>
    <w:unhideWhenUsed/>
    <w:rsid w:val="00B30585"/>
    <w:rPr>
      <w:b/>
      <w:bCs/>
    </w:rPr>
  </w:style>
  <w:style w:type="character" w:customStyle="1" w:styleId="CommentSubjectChar">
    <w:name w:val="Comment Subject Char"/>
    <w:basedOn w:val="CommentTextChar"/>
    <w:link w:val="CommentSubject"/>
    <w:uiPriority w:val="99"/>
    <w:semiHidden/>
    <w:rsid w:val="00B30585"/>
    <w:rPr>
      <w:b/>
      <w:bCs/>
      <w:sz w:val="20"/>
      <w:szCs w:val="20"/>
    </w:rPr>
  </w:style>
  <w:style w:type="paragraph" w:styleId="BalloonText">
    <w:name w:val="Balloon Text"/>
    <w:basedOn w:val="Normal"/>
    <w:link w:val="BalloonTextChar"/>
    <w:uiPriority w:val="99"/>
    <w:semiHidden/>
    <w:unhideWhenUsed/>
    <w:rsid w:val="00B305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0585"/>
    <w:rPr>
      <w:rFonts w:ascii="Segoe UI" w:hAnsi="Segoe UI" w:cs="Segoe UI"/>
      <w:sz w:val="18"/>
      <w:szCs w:val="18"/>
    </w:rPr>
  </w:style>
  <w:style w:type="paragraph" w:customStyle="1" w:styleId="Default">
    <w:name w:val="Default"/>
    <w:rsid w:val="00DB16B8"/>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5A2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69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967"/>
  </w:style>
  <w:style w:type="paragraph" w:styleId="Footer">
    <w:name w:val="footer"/>
    <w:basedOn w:val="Normal"/>
    <w:link w:val="FooterChar"/>
    <w:unhideWhenUsed/>
    <w:rsid w:val="00826967"/>
    <w:pPr>
      <w:tabs>
        <w:tab w:val="center" w:pos="4513"/>
        <w:tab w:val="right" w:pos="9026"/>
      </w:tabs>
      <w:spacing w:after="0" w:line="240" w:lineRule="auto"/>
    </w:pPr>
  </w:style>
  <w:style w:type="character" w:customStyle="1" w:styleId="FooterChar">
    <w:name w:val="Footer Char"/>
    <w:basedOn w:val="DefaultParagraphFont"/>
    <w:link w:val="Footer"/>
    <w:rsid w:val="00826967"/>
  </w:style>
  <w:style w:type="character" w:styleId="Hyperlink">
    <w:name w:val="Hyperlink"/>
    <w:basedOn w:val="DefaultParagraphFont"/>
    <w:uiPriority w:val="99"/>
    <w:unhideWhenUsed/>
    <w:rsid w:val="00582757"/>
    <w:rPr>
      <w:color w:val="0563C1" w:themeColor="hyperlink"/>
      <w:u w:val="single"/>
    </w:rPr>
  </w:style>
  <w:style w:type="paragraph" w:styleId="NormalWeb">
    <w:name w:val="Normal (Web)"/>
    <w:basedOn w:val="Normal"/>
    <w:uiPriority w:val="99"/>
    <w:unhideWhenUsed/>
    <w:rsid w:val="00582757"/>
    <w:pPr>
      <w:spacing w:before="100" w:beforeAutospacing="1" w:after="100" w:afterAutospacing="1" w:line="240" w:lineRule="auto"/>
    </w:pPr>
    <w:rPr>
      <w:rFonts w:ascii="Times" w:eastAsiaTheme="minorEastAsia" w:hAnsi="Times" w:cs="Times New Roman"/>
      <w:sz w:val="20"/>
      <w:szCs w:val="20"/>
      <w:lang w:val="en-NZ"/>
    </w:rPr>
  </w:style>
  <w:style w:type="paragraph" w:styleId="FootnoteText">
    <w:name w:val="footnote text"/>
    <w:basedOn w:val="Normal"/>
    <w:link w:val="FootnoteTextChar"/>
    <w:uiPriority w:val="99"/>
    <w:unhideWhenUsed/>
    <w:rsid w:val="00582757"/>
    <w:pPr>
      <w:spacing w:after="0" w:line="240" w:lineRule="auto"/>
    </w:pPr>
    <w:rPr>
      <w:rFonts w:eastAsiaTheme="minorEastAsia"/>
      <w:sz w:val="24"/>
      <w:szCs w:val="24"/>
      <w:lang w:val="en-GB"/>
    </w:rPr>
  </w:style>
  <w:style w:type="character" w:customStyle="1" w:styleId="FootnoteTextChar">
    <w:name w:val="Footnote Text Char"/>
    <w:basedOn w:val="DefaultParagraphFont"/>
    <w:link w:val="FootnoteText"/>
    <w:uiPriority w:val="99"/>
    <w:rsid w:val="00582757"/>
    <w:rPr>
      <w:rFonts w:eastAsiaTheme="minorEastAsia"/>
      <w:sz w:val="24"/>
      <w:szCs w:val="24"/>
      <w:lang w:val="en-GB"/>
    </w:rPr>
  </w:style>
  <w:style w:type="character" w:styleId="FootnoteReference">
    <w:name w:val="footnote reference"/>
    <w:basedOn w:val="DefaultParagraphFont"/>
    <w:uiPriority w:val="99"/>
    <w:unhideWhenUsed/>
    <w:rsid w:val="00582757"/>
    <w:rPr>
      <w:vertAlign w:val="superscript"/>
    </w:rPr>
  </w:style>
  <w:style w:type="character" w:styleId="HTMLTypewriter">
    <w:name w:val="HTML Typewriter"/>
    <w:basedOn w:val="DefaultParagraphFont"/>
    <w:uiPriority w:val="99"/>
    <w:semiHidden/>
    <w:unhideWhenUsed/>
    <w:rsid w:val="007A3B8C"/>
    <w:rPr>
      <w:rFonts w:ascii="Courier New" w:eastAsia="Times New Roman" w:hAnsi="Courier New" w:cs="Courier New" w:hint="default"/>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5774"/>
    <w:pPr>
      <w:ind w:left="720"/>
      <w:contextualSpacing/>
    </w:pPr>
  </w:style>
  <w:style w:type="character" w:styleId="CommentReference">
    <w:name w:val="annotation reference"/>
    <w:basedOn w:val="DefaultParagraphFont"/>
    <w:uiPriority w:val="99"/>
    <w:semiHidden/>
    <w:unhideWhenUsed/>
    <w:rsid w:val="00B30585"/>
    <w:rPr>
      <w:sz w:val="16"/>
      <w:szCs w:val="16"/>
    </w:rPr>
  </w:style>
  <w:style w:type="paragraph" w:styleId="CommentText">
    <w:name w:val="annotation text"/>
    <w:basedOn w:val="Normal"/>
    <w:link w:val="CommentTextChar"/>
    <w:uiPriority w:val="99"/>
    <w:unhideWhenUsed/>
    <w:rsid w:val="00B30585"/>
    <w:pPr>
      <w:spacing w:line="240" w:lineRule="auto"/>
    </w:pPr>
    <w:rPr>
      <w:sz w:val="20"/>
      <w:szCs w:val="20"/>
    </w:rPr>
  </w:style>
  <w:style w:type="character" w:customStyle="1" w:styleId="CommentTextChar">
    <w:name w:val="Comment Text Char"/>
    <w:basedOn w:val="DefaultParagraphFont"/>
    <w:link w:val="CommentText"/>
    <w:uiPriority w:val="99"/>
    <w:rsid w:val="00B30585"/>
    <w:rPr>
      <w:sz w:val="20"/>
      <w:szCs w:val="20"/>
    </w:rPr>
  </w:style>
  <w:style w:type="paragraph" w:styleId="CommentSubject">
    <w:name w:val="annotation subject"/>
    <w:basedOn w:val="CommentText"/>
    <w:next w:val="CommentText"/>
    <w:link w:val="CommentSubjectChar"/>
    <w:uiPriority w:val="99"/>
    <w:semiHidden/>
    <w:unhideWhenUsed/>
    <w:rsid w:val="00B30585"/>
    <w:rPr>
      <w:b/>
      <w:bCs/>
    </w:rPr>
  </w:style>
  <w:style w:type="character" w:customStyle="1" w:styleId="CommentSubjectChar">
    <w:name w:val="Comment Subject Char"/>
    <w:basedOn w:val="CommentTextChar"/>
    <w:link w:val="CommentSubject"/>
    <w:uiPriority w:val="99"/>
    <w:semiHidden/>
    <w:rsid w:val="00B30585"/>
    <w:rPr>
      <w:b/>
      <w:bCs/>
      <w:sz w:val="20"/>
      <w:szCs w:val="20"/>
    </w:rPr>
  </w:style>
  <w:style w:type="paragraph" w:styleId="BalloonText">
    <w:name w:val="Balloon Text"/>
    <w:basedOn w:val="Normal"/>
    <w:link w:val="BalloonTextChar"/>
    <w:uiPriority w:val="99"/>
    <w:semiHidden/>
    <w:unhideWhenUsed/>
    <w:rsid w:val="00B305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0585"/>
    <w:rPr>
      <w:rFonts w:ascii="Segoe UI" w:hAnsi="Segoe UI" w:cs="Segoe UI"/>
      <w:sz w:val="18"/>
      <w:szCs w:val="18"/>
    </w:rPr>
  </w:style>
  <w:style w:type="paragraph" w:customStyle="1" w:styleId="Default">
    <w:name w:val="Default"/>
    <w:rsid w:val="00DB16B8"/>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5A2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69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967"/>
  </w:style>
  <w:style w:type="paragraph" w:styleId="Footer">
    <w:name w:val="footer"/>
    <w:basedOn w:val="Normal"/>
    <w:link w:val="FooterChar"/>
    <w:unhideWhenUsed/>
    <w:rsid w:val="00826967"/>
    <w:pPr>
      <w:tabs>
        <w:tab w:val="center" w:pos="4513"/>
        <w:tab w:val="right" w:pos="9026"/>
      </w:tabs>
      <w:spacing w:after="0" w:line="240" w:lineRule="auto"/>
    </w:pPr>
  </w:style>
  <w:style w:type="character" w:customStyle="1" w:styleId="FooterChar">
    <w:name w:val="Footer Char"/>
    <w:basedOn w:val="DefaultParagraphFont"/>
    <w:link w:val="Footer"/>
    <w:rsid w:val="00826967"/>
  </w:style>
  <w:style w:type="character" w:styleId="Hyperlink">
    <w:name w:val="Hyperlink"/>
    <w:basedOn w:val="DefaultParagraphFont"/>
    <w:uiPriority w:val="99"/>
    <w:unhideWhenUsed/>
    <w:rsid w:val="00582757"/>
    <w:rPr>
      <w:color w:val="0563C1" w:themeColor="hyperlink"/>
      <w:u w:val="single"/>
    </w:rPr>
  </w:style>
  <w:style w:type="paragraph" w:styleId="NormalWeb">
    <w:name w:val="Normal (Web)"/>
    <w:basedOn w:val="Normal"/>
    <w:uiPriority w:val="99"/>
    <w:unhideWhenUsed/>
    <w:rsid w:val="00582757"/>
    <w:pPr>
      <w:spacing w:before="100" w:beforeAutospacing="1" w:after="100" w:afterAutospacing="1" w:line="240" w:lineRule="auto"/>
    </w:pPr>
    <w:rPr>
      <w:rFonts w:ascii="Times" w:eastAsiaTheme="minorEastAsia" w:hAnsi="Times" w:cs="Times New Roman"/>
      <w:sz w:val="20"/>
      <w:szCs w:val="20"/>
      <w:lang w:val="en-NZ"/>
    </w:rPr>
  </w:style>
  <w:style w:type="paragraph" w:styleId="FootnoteText">
    <w:name w:val="footnote text"/>
    <w:basedOn w:val="Normal"/>
    <w:link w:val="FootnoteTextChar"/>
    <w:uiPriority w:val="99"/>
    <w:unhideWhenUsed/>
    <w:rsid w:val="00582757"/>
    <w:pPr>
      <w:spacing w:after="0" w:line="240" w:lineRule="auto"/>
    </w:pPr>
    <w:rPr>
      <w:rFonts w:eastAsiaTheme="minorEastAsia"/>
      <w:sz w:val="24"/>
      <w:szCs w:val="24"/>
      <w:lang w:val="en-GB"/>
    </w:rPr>
  </w:style>
  <w:style w:type="character" w:customStyle="1" w:styleId="FootnoteTextChar">
    <w:name w:val="Footnote Text Char"/>
    <w:basedOn w:val="DefaultParagraphFont"/>
    <w:link w:val="FootnoteText"/>
    <w:uiPriority w:val="99"/>
    <w:rsid w:val="00582757"/>
    <w:rPr>
      <w:rFonts w:eastAsiaTheme="minorEastAsia"/>
      <w:sz w:val="24"/>
      <w:szCs w:val="24"/>
      <w:lang w:val="en-GB"/>
    </w:rPr>
  </w:style>
  <w:style w:type="character" w:styleId="FootnoteReference">
    <w:name w:val="footnote reference"/>
    <w:basedOn w:val="DefaultParagraphFont"/>
    <w:uiPriority w:val="99"/>
    <w:unhideWhenUsed/>
    <w:rsid w:val="00582757"/>
    <w:rPr>
      <w:vertAlign w:val="superscript"/>
    </w:rPr>
  </w:style>
  <w:style w:type="character" w:styleId="HTMLTypewriter">
    <w:name w:val="HTML Typewriter"/>
    <w:basedOn w:val="DefaultParagraphFont"/>
    <w:uiPriority w:val="99"/>
    <w:semiHidden/>
    <w:unhideWhenUsed/>
    <w:rsid w:val="007A3B8C"/>
    <w:rPr>
      <w:rFonts w:ascii="Courier New" w:eastAsia="Times New Roman" w:hAnsi="Courier New" w:cs="Courier New"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mfoley@apca.com.au"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apca.com.au"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nationalbanken.dk/en/bankingandpayments/danish_payments_council/Documents/Payments%20Council%20Annual%20Report%202014.pdf" TargetMode="External"/><Relationship Id="rId3" Type="http://schemas.openxmlformats.org/officeDocument/2006/relationships/hyperlink" Target="https://www.psr.org.uk/sites/default/files/media/PDF/PSR-IFR-Guidance-Phase-2.pdf" TargetMode="External"/><Relationship Id="rId7" Type="http://schemas.openxmlformats.org/officeDocument/2006/relationships/hyperlink" Target="http://www.globaltimes.cn/content/1021178.shtml" TargetMode="External"/><Relationship Id="rId2" Type="http://schemas.openxmlformats.org/officeDocument/2006/relationships/hyperlink" Target="http://www.eversheds.com/global/en/what/articles/index.page?ArticleID=en/Financial_institutions/Payment_Matters_22_Europe_and_beyond" TargetMode="External"/><Relationship Id="rId1" Type="http://schemas.openxmlformats.org/officeDocument/2006/relationships/hyperlink" Target="http://eur-lex.europa.eu/legal-content/EN/TXT/PDF/?uri=OJ:L:2015:123:FULL&amp;from=EN" TargetMode="External"/><Relationship Id="rId6" Type="http://schemas.openxmlformats.org/officeDocument/2006/relationships/hyperlink" Target="http://www.bnm.gov.my/guidelines/50_others/CP_Payment_Card_Reform_Framework.pdf" TargetMode="External"/><Relationship Id="rId5" Type="http://schemas.openxmlformats.org/officeDocument/2006/relationships/hyperlink" Target="http://www.paymentsnz.co.nz/cms_show_download.php?id=108" TargetMode="External"/><Relationship Id="rId4" Type="http://schemas.openxmlformats.org/officeDocument/2006/relationships/hyperlink" Target="http://www.fcac-acfc.gc.ca/Eng/forIndustry/publications/lawsReg/Pages/CodeofCo-Codedeco.aspx" TargetMode="External"/><Relationship Id="rId9" Type="http://schemas.openxmlformats.org/officeDocument/2006/relationships/hyperlink" Target="http://www.bnm.gov.my/guidelines/50_others/CP_Payment_Card_Reform_Framework.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5B242E-5B0B-4E6B-B7D5-4586FAF8D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36A4212A.dotm</Template>
  <TotalTime>0</TotalTime>
  <Pages>2</Pages>
  <Words>2696</Words>
  <Characters>15744</Characters>
  <Application>Microsoft Office Word</Application>
  <DocSecurity>0</DocSecurity>
  <Lines>338</Lines>
  <Paragraphs>132</Paragraphs>
  <ScaleCrop>false</ScaleCrop>
  <Company/>
  <LinksUpToDate>false</LinksUpToDate>
  <CharactersWithSpaces>18353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dc:description/>
  <cp:lastModifiedBy>Reserve Bank of Australia</cp:lastModifiedBy>
  <cp:revision>2</cp:revision>
  <dcterms:created xsi:type="dcterms:W3CDTF">2017-02-14T02:24:00Z</dcterms:created>
  <dcterms:modified xsi:type="dcterms:W3CDTF">2017-02-14T02:24:00Z</dcterms:modified>
</cp:coreProperties>
</file>