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CFD8C4" w14:textId="64DB6D1C" w:rsidR="442F894C" w:rsidRDefault="442F894C" w:rsidP="053CA8BF">
      <w:pPr>
        <w:pStyle w:val="Heading1"/>
        <w:spacing w:before="322" w:after="322"/>
        <w:rPr>
          <w:rFonts w:ascii="Aptos" w:eastAsia="Aptos" w:hAnsi="Aptos" w:cs="Aptos"/>
          <w:b/>
          <w:bCs/>
          <w:color w:val="000000" w:themeColor="text1"/>
          <w:sz w:val="28"/>
          <w:szCs w:val="28"/>
        </w:rPr>
      </w:pPr>
      <w:r w:rsidRPr="053CA8BF">
        <w:rPr>
          <w:rFonts w:ascii="Aptos" w:eastAsia="Aptos" w:hAnsi="Aptos" w:cs="Aptos"/>
          <w:b/>
          <w:bCs/>
          <w:color w:val="000000" w:themeColor="text1"/>
          <w:sz w:val="32"/>
          <w:szCs w:val="32"/>
        </w:rPr>
        <w:t>Submission to the RBA Consultation on Surcharging</w:t>
      </w:r>
    </w:p>
    <w:p w14:paraId="33801D06" w14:textId="3716C6F0" w:rsidR="442F894C" w:rsidRDefault="442F894C" w:rsidP="053CA8BF">
      <w:pPr>
        <w:spacing w:before="240" w:after="240"/>
      </w:pPr>
      <w:r w:rsidRPr="053CA8BF">
        <w:rPr>
          <w:rFonts w:ascii="Aptos" w:eastAsia="Aptos" w:hAnsi="Aptos" w:cs="Aptos"/>
          <w:b/>
          <w:bCs/>
          <w:color w:val="000000" w:themeColor="text1"/>
        </w:rPr>
        <w:t>To:</w:t>
      </w:r>
      <w:r w:rsidRPr="053CA8BF">
        <w:rPr>
          <w:rFonts w:ascii="Aptos" w:eastAsia="Aptos" w:hAnsi="Aptos" w:cs="Aptos"/>
          <w:color w:val="000000" w:themeColor="text1"/>
        </w:rPr>
        <w:t xml:space="preserve"> Head of Payments Policy Department, Reserve Bank of Australia</w:t>
      </w:r>
      <w:r>
        <w:br/>
      </w:r>
      <w:r w:rsidRPr="053CA8BF">
        <w:rPr>
          <w:rFonts w:ascii="Aptos" w:eastAsia="Aptos" w:hAnsi="Aptos" w:cs="Aptos"/>
          <w:b/>
          <w:bCs/>
          <w:color w:val="000000" w:themeColor="text1"/>
        </w:rPr>
        <w:t>Email:</w:t>
      </w:r>
      <w:r w:rsidRPr="053CA8BF">
        <w:rPr>
          <w:rFonts w:ascii="Aptos" w:eastAsia="Aptos" w:hAnsi="Aptos" w:cs="Aptos"/>
          <w:color w:val="000000" w:themeColor="text1"/>
        </w:rPr>
        <w:t xml:space="preserve"> </w:t>
      </w:r>
      <w:hyperlink r:id="rId7">
        <w:r w:rsidRPr="053CA8BF">
          <w:rPr>
            <w:rStyle w:val="Hyperlink"/>
            <w:rFonts w:ascii="Aptos" w:eastAsia="Aptos" w:hAnsi="Aptos" w:cs="Aptos"/>
            <w:color w:val="000000" w:themeColor="text1"/>
          </w:rPr>
          <w:t>pysubmissions@rba.gov.au</w:t>
        </w:r>
        <w:r>
          <w:br/>
        </w:r>
      </w:hyperlink>
      <w:r w:rsidRPr="053CA8BF">
        <w:rPr>
          <w:rFonts w:ascii="Aptos" w:eastAsia="Aptos" w:hAnsi="Aptos" w:cs="Aptos"/>
          <w:b/>
          <w:bCs/>
          <w:color w:val="000000" w:themeColor="text1"/>
        </w:rPr>
        <w:t>Date:</w:t>
      </w:r>
      <w:r w:rsidRPr="053CA8BF">
        <w:rPr>
          <w:rFonts w:ascii="Aptos" w:eastAsia="Aptos" w:hAnsi="Aptos" w:cs="Aptos"/>
          <w:color w:val="000000" w:themeColor="text1"/>
        </w:rPr>
        <w:t xml:space="preserve"> 26th August 2025</w:t>
      </w:r>
    </w:p>
    <w:p w14:paraId="0DB35A01" w14:textId="31AEEA89" w:rsidR="615E37E0" w:rsidRDefault="615E37E0" w:rsidP="053CA8BF">
      <w:pPr>
        <w:spacing w:before="240" w:after="240"/>
      </w:pPr>
      <w:r w:rsidRPr="053CA8BF">
        <w:rPr>
          <w:rFonts w:ascii="Aptos" w:eastAsia="Aptos" w:hAnsi="Aptos" w:cs="Aptos"/>
          <w:b/>
          <w:bCs/>
          <w:color w:val="000000" w:themeColor="text1"/>
        </w:rPr>
        <w:t>From:</w:t>
      </w:r>
    </w:p>
    <w:p w14:paraId="23F117DE" w14:textId="4867B10C" w:rsidR="615E37E0" w:rsidRDefault="615E37E0" w:rsidP="053CA8BF">
      <w:pPr>
        <w:spacing w:before="240" w:after="240"/>
      </w:pPr>
      <w:r w:rsidRPr="053CA8BF">
        <w:rPr>
          <w:rFonts w:ascii="Aptos" w:eastAsia="Aptos" w:hAnsi="Aptos" w:cs="Aptos"/>
          <w:b/>
          <w:bCs/>
          <w:color w:val="000000" w:themeColor="text1"/>
        </w:rPr>
        <w:t>Vibhu Arya</w:t>
      </w:r>
      <w:r>
        <w:br/>
      </w:r>
      <w:r w:rsidRPr="053CA8BF">
        <w:rPr>
          <w:rFonts w:ascii="Aptos" w:eastAsia="Aptos" w:hAnsi="Aptos" w:cs="Aptos"/>
          <w:color w:val="000000" w:themeColor="text1"/>
        </w:rPr>
        <w:t>Doctoral Researcher (Real-Time Payments Adoption)</w:t>
      </w:r>
      <w:r>
        <w:br/>
      </w:r>
      <w:r w:rsidRPr="053CA8BF">
        <w:rPr>
          <w:rFonts w:ascii="Aptos" w:eastAsia="Aptos" w:hAnsi="Aptos" w:cs="Aptos"/>
          <w:color w:val="000000" w:themeColor="text1"/>
        </w:rPr>
        <w:t>UTS Business School, University of Technology Sydney</w:t>
      </w:r>
    </w:p>
    <w:p w14:paraId="5C050CAE" w14:textId="45F9A982" w:rsidR="615E37E0" w:rsidRDefault="615E37E0" w:rsidP="053CA8BF">
      <w:pPr>
        <w:spacing w:before="240" w:after="240"/>
      </w:pPr>
      <w:r w:rsidRPr="053CA8BF">
        <w:rPr>
          <w:rFonts w:ascii="Aptos" w:eastAsia="Aptos" w:hAnsi="Aptos" w:cs="Aptos"/>
          <w:color w:val="000000" w:themeColor="text1"/>
        </w:rPr>
        <w:t xml:space="preserve"> </w:t>
      </w:r>
      <w:hyperlink r:id="rId8">
        <w:r w:rsidRPr="053CA8BF">
          <w:rPr>
            <w:rStyle w:val="Hyperlink"/>
            <w:rFonts w:ascii="Aptos" w:eastAsia="Aptos" w:hAnsi="Aptos" w:cs="Aptos"/>
          </w:rPr>
          <w:t>Vibhu.arya@uts.student.edu.au</w:t>
        </w:r>
        <w:r>
          <w:br/>
        </w:r>
      </w:hyperlink>
      <w:r w:rsidRPr="053CA8BF">
        <w:rPr>
          <w:rFonts w:ascii="Aptos" w:eastAsia="Aptos" w:hAnsi="Aptos" w:cs="Aptos"/>
          <w:color w:val="000000" w:themeColor="text1"/>
        </w:rPr>
        <w:t xml:space="preserve"> +61 451 685 446</w:t>
      </w:r>
    </w:p>
    <w:p w14:paraId="6D9407D3" w14:textId="6638708B" w:rsidR="053CA8BF" w:rsidRDefault="053CA8BF"/>
    <w:p w14:paraId="533180C9" w14:textId="7256A777" w:rsidR="442F894C" w:rsidRDefault="442F894C" w:rsidP="053CA8BF">
      <w:pPr>
        <w:pStyle w:val="Heading3"/>
        <w:spacing w:before="281" w:after="281"/>
      </w:pPr>
      <w:r w:rsidRPr="053CA8BF">
        <w:rPr>
          <w:rFonts w:ascii="Aptos" w:eastAsia="Aptos" w:hAnsi="Aptos" w:cs="Aptos"/>
          <w:b/>
          <w:bCs/>
          <w:color w:val="000000" w:themeColor="text1"/>
        </w:rPr>
        <w:t>Author Profile</w:t>
      </w:r>
    </w:p>
    <w:p w14:paraId="242815F8" w14:textId="7456F6DB" w:rsidR="442F894C" w:rsidRDefault="442F894C" w:rsidP="053CA8BF">
      <w:pPr>
        <w:spacing w:before="240" w:after="240"/>
      </w:pPr>
      <w:r w:rsidRPr="053CA8BF">
        <w:rPr>
          <w:rFonts w:ascii="Aptos" w:eastAsia="Aptos" w:hAnsi="Aptos" w:cs="Aptos"/>
          <w:color w:val="000000" w:themeColor="text1"/>
        </w:rPr>
        <w:t>I am a doctoral researcher at the UTS Business School, University of Technology Sydney, focusing on how real-time payments (RTP) become part of everyday life. I bring more than 20 years of experience in payments and financial services</w:t>
      </w:r>
      <w:r w:rsidR="000E74B2">
        <w:rPr>
          <w:rFonts w:ascii="Aptos" w:eastAsia="Aptos" w:hAnsi="Aptos" w:cs="Aptos"/>
          <w:color w:val="000000" w:themeColor="text1"/>
        </w:rPr>
        <w:t xml:space="preserve">. </w:t>
      </w:r>
      <w:r w:rsidRPr="053CA8BF">
        <w:rPr>
          <w:rFonts w:ascii="Aptos" w:eastAsia="Aptos" w:hAnsi="Aptos" w:cs="Aptos"/>
          <w:color w:val="000000" w:themeColor="text1"/>
        </w:rPr>
        <w:t>This dual perspective, combining research depth with hands-on operating experience, shapes my analysis of how competition, infrastructure design and regulatory choices influence the way people and small businesses pay.</w:t>
      </w:r>
    </w:p>
    <w:p w14:paraId="4A077660" w14:textId="3BCB249A" w:rsidR="053CA8BF" w:rsidRDefault="053CA8BF"/>
    <w:p w14:paraId="6615C9F7" w14:textId="45D46E09" w:rsidR="442F894C" w:rsidRDefault="442F894C" w:rsidP="053CA8BF">
      <w:pPr>
        <w:pStyle w:val="Heading2"/>
        <w:spacing w:before="299" w:after="299"/>
      </w:pPr>
      <w:r w:rsidRPr="053CA8BF">
        <w:rPr>
          <w:rFonts w:ascii="Aptos" w:eastAsia="Aptos" w:hAnsi="Aptos" w:cs="Aptos"/>
          <w:b/>
          <w:bCs/>
          <w:color w:val="000000" w:themeColor="text1"/>
          <w:sz w:val="36"/>
          <w:szCs w:val="36"/>
        </w:rPr>
        <w:t>1. Introduction</w:t>
      </w:r>
    </w:p>
    <w:p w14:paraId="50424A95" w14:textId="540A781F" w:rsidR="442F894C" w:rsidRDefault="442F894C" w:rsidP="053CA8BF">
      <w:pPr>
        <w:spacing w:before="240" w:after="240"/>
      </w:pPr>
      <w:r w:rsidRPr="053CA8BF">
        <w:rPr>
          <w:rFonts w:ascii="Aptos" w:eastAsia="Aptos" w:hAnsi="Aptos" w:cs="Aptos"/>
          <w:color w:val="000000" w:themeColor="text1"/>
        </w:rPr>
        <w:t>I am not taking a position on whether card surcharges should be retained or banned. The deeper issue is that Australia lacks a visible, everyday alternative to cards at checkout. When there is only one familiar path, the policy conversation keeps circling around card fees. The practical step now is to make RTP (</w:t>
      </w:r>
      <w:proofErr w:type="spellStart"/>
      <w:r w:rsidRPr="053CA8BF">
        <w:rPr>
          <w:rFonts w:ascii="Aptos" w:eastAsia="Aptos" w:hAnsi="Aptos" w:cs="Aptos"/>
          <w:color w:val="000000" w:themeColor="text1"/>
        </w:rPr>
        <w:t>PayID</w:t>
      </w:r>
      <w:proofErr w:type="spellEnd"/>
      <w:r w:rsidRPr="053CA8BF">
        <w:rPr>
          <w:rFonts w:ascii="Aptos" w:eastAsia="Aptos" w:hAnsi="Aptos" w:cs="Aptos"/>
          <w:color w:val="000000" w:themeColor="text1"/>
        </w:rPr>
        <w:t xml:space="preserve"> and </w:t>
      </w:r>
      <w:proofErr w:type="spellStart"/>
      <w:r w:rsidRPr="053CA8BF">
        <w:rPr>
          <w:rFonts w:ascii="Aptos" w:eastAsia="Aptos" w:hAnsi="Aptos" w:cs="Aptos"/>
          <w:color w:val="000000" w:themeColor="text1"/>
        </w:rPr>
        <w:t>PayTo</w:t>
      </w:r>
      <w:proofErr w:type="spellEnd"/>
      <w:r w:rsidRPr="053CA8BF">
        <w:rPr>
          <w:rFonts w:ascii="Aptos" w:eastAsia="Aptos" w:hAnsi="Aptos" w:cs="Aptos"/>
          <w:color w:val="000000" w:themeColor="text1"/>
        </w:rPr>
        <w:t xml:space="preserve"> over the NPP) a clear and trusted choice alongside cards in retail and e-commerce.</w:t>
      </w:r>
    </w:p>
    <w:p w14:paraId="185A10AD" w14:textId="745AF1C3" w:rsidR="053CA8BF" w:rsidRDefault="053CA8BF"/>
    <w:p w14:paraId="0C58539C" w14:textId="50B69711" w:rsidR="442F894C" w:rsidRDefault="442F894C" w:rsidP="053CA8BF">
      <w:pPr>
        <w:pStyle w:val="Heading2"/>
        <w:spacing w:before="299" w:after="299"/>
      </w:pPr>
      <w:r w:rsidRPr="053CA8BF">
        <w:rPr>
          <w:rFonts w:ascii="Aptos" w:eastAsia="Aptos" w:hAnsi="Aptos" w:cs="Aptos"/>
          <w:b/>
          <w:bCs/>
          <w:color w:val="000000" w:themeColor="text1"/>
          <w:sz w:val="36"/>
          <w:szCs w:val="36"/>
        </w:rPr>
        <w:lastRenderedPageBreak/>
        <w:t>2. What the evidence shows</w:t>
      </w:r>
    </w:p>
    <w:p w14:paraId="2C21F1A9" w14:textId="5780FA60" w:rsidR="442F894C" w:rsidRDefault="442F894C" w:rsidP="053CA8BF">
      <w:pPr>
        <w:spacing w:before="240" w:after="240"/>
        <w:rPr>
          <w:rFonts w:ascii="Aptos" w:eastAsia="Aptos" w:hAnsi="Aptos" w:cs="Aptos"/>
          <w:color w:val="000000" w:themeColor="text1"/>
        </w:rPr>
      </w:pPr>
      <w:r w:rsidRPr="053CA8BF">
        <w:rPr>
          <w:rFonts w:ascii="Aptos" w:eastAsia="Aptos" w:hAnsi="Aptos" w:cs="Aptos"/>
          <w:b/>
          <w:bCs/>
          <w:color w:val="000000" w:themeColor="text1"/>
        </w:rPr>
        <w:t>Australians are already digital and adaptable.</w:t>
      </w:r>
      <w:r w:rsidRPr="053CA8BF">
        <w:rPr>
          <w:rFonts w:ascii="Aptos" w:eastAsia="Aptos" w:hAnsi="Aptos" w:cs="Aptos"/>
          <w:color w:val="000000" w:themeColor="text1"/>
        </w:rPr>
        <w:t xml:space="preserve"> Cash has fallen from about 69 percent of transactions in 2007 to 13 percent in 2022.</w:t>
      </w:r>
      <w:r w:rsidRPr="053CA8BF">
        <w:rPr>
          <w:rStyle w:val="FootnoteReference"/>
          <w:rFonts w:ascii="Aptos" w:eastAsia="Aptos" w:hAnsi="Aptos" w:cs="Aptos"/>
          <w:color w:val="000000" w:themeColor="text1"/>
        </w:rPr>
        <w:footnoteReference w:id="1"/>
      </w:r>
      <w:r w:rsidR="5F58944E" w:rsidRPr="053CA8BF">
        <w:rPr>
          <w:rFonts w:ascii="Aptos" w:eastAsia="Aptos" w:hAnsi="Aptos" w:cs="Aptos"/>
          <w:color w:val="000000" w:themeColor="text1"/>
        </w:rPr>
        <w:t xml:space="preserve"> </w:t>
      </w:r>
      <w:r w:rsidRPr="053CA8BF">
        <w:rPr>
          <w:rFonts w:ascii="Aptos" w:eastAsia="Aptos" w:hAnsi="Aptos" w:cs="Aptos"/>
          <w:color w:val="000000" w:themeColor="text1"/>
        </w:rPr>
        <w:t xml:space="preserve"> That comfort with tap-to-pay demonstrates something important: if paying is made simple and visible, Australians adopt it quickly.</w:t>
      </w:r>
    </w:p>
    <w:p w14:paraId="53C8C94C" w14:textId="21B72C1F" w:rsidR="442F894C" w:rsidRDefault="442F894C" w:rsidP="053CA8BF">
      <w:pPr>
        <w:spacing w:before="240" w:after="240"/>
      </w:pPr>
      <w:r w:rsidRPr="053CA8BF">
        <w:rPr>
          <w:rFonts w:ascii="Aptos" w:eastAsia="Aptos" w:hAnsi="Aptos" w:cs="Aptos"/>
          <w:b/>
          <w:bCs/>
          <w:color w:val="000000" w:themeColor="text1"/>
        </w:rPr>
        <w:t>Scan-to-pay is the same habit.</w:t>
      </w:r>
      <w:r w:rsidRPr="053CA8BF">
        <w:rPr>
          <w:rFonts w:ascii="Aptos" w:eastAsia="Aptos" w:hAnsi="Aptos" w:cs="Aptos"/>
          <w:color w:val="000000" w:themeColor="text1"/>
        </w:rPr>
        <w:t xml:space="preserve"> If people can tap a card or phone, they can just as easily scan a QR code that triggers </w:t>
      </w:r>
      <w:proofErr w:type="spellStart"/>
      <w:r w:rsidRPr="053CA8BF">
        <w:rPr>
          <w:rFonts w:ascii="Aptos" w:eastAsia="Aptos" w:hAnsi="Aptos" w:cs="Aptos"/>
          <w:color w:val="000000" w:themeColor="text1"/>
        </w:rPr>
        <w:t>PayID</w:t>
      </w:r>
      <w:proofErr w:type="spellEnd"/>
      <w:r w:rsidRPr="053CA8BF">
        <w:rPr>
          <w:rFonts w:ascii="Aptos" w:eastAsia="Aptos" w:hAnsi="Aptos" w:cs="Aptos"/>
          <w:color w:val="000000" w:themeColor="text1"/>
        </w:rPr>
        <w:t xml:space="preserve"> or </w:t>
      </w:r>
      <w:proofErr w:type="spellStart"/>
      <w:r w:rsidRPr="053CA8BF">
        <w:rPr>
          <w:rFonts w:ascii="Aptos" w:eastAsia="Aptos" w:hAnsi="Aptos" w:cs="Aptos"/>
          <w:color w:val="000000" w:themeColor="text1"/>
        </w:rPr>
        <w:t>PayTo</w:t>
      </w:r>
      <w:proofErr w:type="spellEnd"/>
      <w:r w:rsidRPr="053CA8BF">
        <w:rPr>
          <w:rFonts w:ascii="Aptos" w:eastAsia="Aptos" w:hAnsi="Aptos" w:cs="Aptos"/>
          <w:color w:val="000000" w:themeColor="text1"/>
        </w:rPr>
        <w:t xml:space="preserve">. The </w:t>
      </w:r>
      <w:proofErr w:type="spellStart"/>
      <w:r w:rsidRPr="053CA8BF">
        <w:rPr>
          <w:rFonts w:ascii="Aptos" w:eastAsia="Aptos" w:hAnsi="Aptos" w:cs="Aptos"/>
          <w:color w:val="000000" w:themeColor="text1"/>
        </w:rPr>
        <w:t>behaviour</w:t>
      </w:r>
      <w:proofErr w:type="spellEnd"/>
      <w:r w:rsidRPr="053CA8BF">
        <w:rPr>
          <w:rFonts w:ascii="Aptos" w:eastAsia="Aptos" w:hAnsi="Aptos" w:cs="Aptos"/>
          <w:color w:val="000000" w:themeColor="text1"/>
        </w:rPr>
        <w:t xml:space="preserve"> change required is small. What is missing is clear presentation at checkout, for example a “Pay with </w:t>
      </w:r>
      <w:proofErr w:type="spellStart"/>
      <w:r w:rsidRPr="053CA8BF">
        <w:rPr>
          <w:rFonts w:ascii="Aptos" w:eastAsia="Aptos" w:hAnsi="Aptos" w:cs="Aptos"/>
          <w:color w:val="000000" w:themeColor="text1"/>
        </w:rPr>
        <w:t>PayID</w:t>
      </w:r>
      <w:proofErr w:type="spellEnd"/>
      <w:r w:rsidRPr="053CA8BF">
        <w:rPr>
          <w:rFonts w:ascii="Aptos" w:eastAsia="Aptos" w:hAnsi="Aptos" w:cs="Aptos"/>
          <w:color w:val="000000" w:themeColor="text1"/>
        </w:rPr>
        <w:t>/</w:t>
      </w:r>
      <w:proofErr w:type="spellStart"/>
      <w:r w:rsidRPr="053CA8BF">
        <w:rPr>
          <w:rFonts w:ascii="Aptos" w:eastAsia="Aptos" w:hAnsi="Aptos" w:cs="Aptos"/>
          <w:color w:val="000000" w:themeColor="text1"/>
        </w:rPr>
        <w:t>PayTo</w:t>
      </w:r>
      <w:proofErr w:type="spellEnd"/>
      <w:r w:rsidRPr="053CA8BF">
        <w:rPr>
          <w:rFonts w:ascii="Aptos" w:eastAsia="Aptos" w:hAnsi="Aptos" w:cs="Aptos"/>
          <w:color w:val="000000" w:themeColor="text1"/>
        </w:rPr>
        <w:t>” button online or a QR code at the counter in-store, and a consistent message that this option is safe, instant and straightforward.</w:t>
      </w:r>
    </w:p>
    <w:p w14:paraId="2039E221" w14:textId="6D0CE8F3" w:rsidR="442F894C" w:rsidRDefault="442F894C" w:rsidP="053CA8BF">
      <w:pPr>
        <w:spacing w:before="240" w:after="240"/>
      </w:pPr>
      <w:r w:rsidRPr="053CA8BF">
        <w:rPr>
          <w:rFonts w:ascii="Aptos" w:eastAsia="Aptos" w:hAnsi="Aptos" w:cs="Aptos"/>
          <w:b/>
          <w:bCs/>
          <w:color w:val="000000" w:themeColor="text1"/>
        </w:rPr>
        <w:t>Choice drives competition and competition drives innovation.</w:t>
      </w:r>
      <w:r w:rsidRPr="053CA8BF">
        <w:rPr>
          <w:rFonts w:ascii="Aptos" w:eastAsia="Aptos" w:hAnsi="Aptos" w:cs="Aptos"/>
          <w:color w:val="000000" w:themeColor="text1"/>
        </w:rPr>
        <w:t xml:space="preserve"> Today, most checkouts present only card options. Adding an RTP choice beside card logos creates a genuine contest on speed, price and experience. This helps small businesses, which often lack negotiating leverage, compare real costs and select the right tool for each use case.</w:t>
      </w:r>
    </w:p>
    <w:p w14:paraId="4D37830B" w14:textId="5B1FC100" w:rsidR="442F894C" w:rsidRDefault="442F894C" w:rsidP="053CA8BF">
      <w:pPr>
        <w:spacing w:before="240" w:after="240"/>
      </w:pPr>
      <w:r w:rsidRPr="053CA8BF">
        <w:rPr>
          <w:rFonts w:ascii="Aptos" w:eastAsia="Aptos" w:hAnsi="Aptos" w:cs="Aptos"/>
          <w:b/>
          <w:bCs/>
          <w:color w:val="000000" w:themeColor="text1"/>
        </w:rPr>
        <w:t>International comparators show the upside.</w:t>
      </w:r>
    </w:p>
    <w:p w14:paraId="6EA7FD78" w14:textId="4C1C4DB4" w:rsidR="442F894C" w:rsidRDefault="442F894C" w:rsidP="053CA8BF">
      <w:pPr>
        <w:pStyle w:val="ListParagraph"/>
        <w:numPr>
          <w:ilvl w:val="0"/>
          <w:numId w:val="7"/>
        </w:numPr>
        <w:spacing w:before="240" w:after="240"/>
        <w:rPr>
          <w:rFonts w:ascii="Aptos" w:eastAsia="Aptos" w:hAnsi="Aptos" w:cs="Aptos"/>
          <w:color w:val="000000" w:themeColor="text1"/>
        </w:rPr>
      </w:pPr>
      <w:r w:rsidRPr="053CA8BF">
        <w:rPr>
          <w:rFonts w:ascii="Aptos" w:eastAsia="Aptos" w:hAnsi="Aptos" w:cs="Aptos"/>
          <w:b/>
          <w:bCs/>
          <w:color w:val="000000" w:themeColor="text1"/>
        </w:rPr>
        <w:t>Brazil (Pix):</w:t>
      </w:r>
      <w:r w:rsidRPr="053CA8BF">
        <w:rPr>
          <w:rFonts w:ascii="Aptos" w:eastAsia="Aptos" w:hAnsi="Aptos" w:cs="Aptos"/>
          <w:color w:val="000000" w:themeColor="text1"/>
        </w:rPr>
        <w:t xml:space="preserve"> made real-time payments a normal way to pay both in-store and online. Within a few years Pix overtook cards on usage measures and became part of daily commerce.</w:t>
      </w:r>
      <w:r w:rsidRPr="053CA8BF">
        <w:rPr>
          <w:rStyle w:val="FootnoteReference"/>
          <w:rFonts w:ascii="Aptos" w:eastAsia="Aptos" w:hAnsi="Aptos" w:cs="Aptos"/>
          <w:color w:val="000000" w:themeColor="text1"/>
        </w:rPr>
        <w:footnoteReference w:id="2"/>
      </w:r>
    </w:p>
    <w:p w14:paraId="23A77B90" w14:textId="2CDE313A" w:rsidR="442F894C" w:rsidRDefault="442F894C" w:rsidP="053CA8BF">
      <w:pPr>
        <w:pStyle w:val="ListParagraph"/>
        <w:numPr>
          <w:ilvl w:val="0"/>
          <w:numId w:val="7"/>
        </w:numPr>
        <w:spacing w:before="240" w:after="240"/>
        <w:rPr>
          <w:rFonts w:ascii="Aptos" w:eastAsia="Aptos" w:hAnsi="Aptos" w:cs="Aptos"/>
          <w:color w:val="000000" w:themeColor="text1"/>
        </w:rPr>
      </w:pPr>
      <w:r w:rsidRPr="053CA8BF">
        <w:rPr>
          <w:rFonts w:ascii="Aptos" w:eastAsia="Aptos" w:hAnsi="Aptos" w:cs="Aptos"/>
          <w:b/>
          <w:bCs/>
          <w:color w:val="000000" w:themeColor="text1"/>
        </w:rPr>
        <w:t>India (UPI):</w:t>
      </w:r>
      <w:r w:rsidRPr="053CA8BF">
        <w:rPr>
          <w:rFonts w:ascii="Aptos" w:eastAsia="Aptos" w:hAnsi="Aptos" w:cs="Aptos"/>
          <w:color w:val="000000" w:themeColor="text1"/>
        </w:rPr>
        <w:t xml:space="preserve"> now processes billions of transactions every month across micro-merchants and large platforms. Once RTP was made simple and ubiquitous, it became the default for everyday payments.</w:t>
      </w:r>
      <w:r w:rsidRPr="053CA8BF">
        <w:rPr>
          <w:rStyle w:val="FootnoteReference"/>
          <w:rFonts w:ascii="Aptos" w:eastAsia="Aptos" w:hAnsi="Aptos" w:cs="Aptos"/>
          <w:color w:val="000000" w:themeColor="text1"/>
        </w:rPr>
        <w:footnoteReference w:id="3"/>
      </w:r>
    </w:p>
    <w:p w14:paraId="50E01554" w14:textId="1D22BD03" w:rsidR="442F894C" w:rsidRDefault="442F894C" w:rsidP="053CA8BF">
      <w:pPr>
        <w:spacing w:before="240" w:after="240"/>
        <w:rPr>
          <w:rFonts w:ascii="Aptos" w:eastAsia="Aptos" w:hAnsi="Aptos" w:cs="Aptos"/>
          <w:color w:val="000000" w:themeColor="text1"/>
        </w:rPr>
      </w:pPr>
      <w:r w:rsidRPr="053CA8BF">
        <w:rPr>
          <w:rFonts w:ascii="Aptos" w:eastAsia="Aptos" w:hAnsi="Aptos" w:cs="Aptos"/>
          <w:b/>
          <w:bCs/>
          <w:color w:val="000000" w:themeColor="text1"/>
        </w:rPr>
        <w:t>Australia is part way there.</w:t>
      </w:r>
      <w:r w:rsidRPr="053CA8BF">
        <w:rPr>
          <w:rFonts w:ascii="Aptos" w:eastAsia="Aptos" w:hAnsi="Aptos" w:cs="Aptos"/>
          <w:color w:val="000000" w:themeColor="text1"/>
        </w:rPr>
        <w:t xml:space="preserve"> The NPP and </w:t>
      </w:r>
      <w:proofErr w:type="spellStart"/>
      <w:r w:rsidRPr="053CA8BF">
        <w:rPr>
          <w:rFonts w:ascii="Aptos" w:eastAsia="Aptos" w:hAnsi="Aptos" w:cs="Aptos"/>
          <w:color w:val="000000" w:themeColor="text1"/>
        </w:rPr>
        <w:t>PayTo</w:t>
      </w:r>
      <w:proofErr w:type="spellEnd"/>
      <w:r w:rsidRPr="053CA8BF">
        <w:rPr>
          <w:rFonts w:ascii="Aptos" w:eastAsia="Aptos" w:hAnsi="Aptos" w:cs="Aptos"/>
          <w:color w:val="000000" w:themeColor="text1"/>
        </w:rPr>
        <w:t xml:space="preserve"> rails are </w:t>
      </w:r>
      <w:proofErr w:type="gramStart"/>
      <w:r w:rsidRPr="053CA8BF">
        <w:rPr>
          <w:rFonts w:ascii="Aptos" w:eastAsia="Aptos" w:hAnsi="Aptos" w:cs="Aptos"/>
          <w:color w:val="000000" w:themeColor="text1"/>
        </w:rPr>
        <w:t>robust</w:t>
      </w:r>
      <w:proofErr w:type="gramEnd"/>
      <w:r w:rsidRPr="053CA8BF">
        <w:rPr>
          <w:rFonts w:ascii="Aptos" w:eastAsia="Aptos" w:hAnsi="Aptos" w:cs="Aptos"/>
          <w:color w:val="000000" w:themeColor="text1"/>
        </w:rPr>
        <w:t xml:space="preserve"> and volumes continue to grow. Corporate adoption signals are mixed. Research shows that some </w:t>
      </w:r>
      <w:proofErr w:type="spellStart"/>
      <w:r w:rsidRPr="053CA8BF">
        <w:rPr>
          <w:rFonts w:ascii="Aptos" w:eastAsia="Aptos" w:hAnsi="Aptos" w:cs="Aptos"/>
          <w:color w:val="000000" w:themeColor="text1"/>
        </w:rPr>
        <w:t>organisations</w:t>
      </w:r>
      <w:proofErr w:type="spellEnd"/>
      <w:r w:rsidRPr="053CA8BF">
        <w:rPr>
          <w:rFonts w:ascii="Aptos" w:eastAsia="Aptos" w:hAnsi="Aptos" w:cs="Aptos"/>
          <w:color w:val="000000" w:themeColor="text1"/>
        </w:rPr>
        <w:t xml:space="preserve"> </w:t>
      </w:r>
      <w:r w:rsidRPr="053CA8BF">
        <w:rPr>
          <w:rFonts w:ascii="Aptos" w:eastAsia="Aptos" w:hAnsi="Aptos" w:cs="Aptos"/>
          <w:color w:val="000000" w:themeColor="text1"/>
        </w:rPr>
        <w:lastRenderedPageBreak/>
        <w:t>have started or are ready to move, while many still have no current plans. This pattern is consistent with inertia when the alternative is not visible at checkout.</w:t>
      </w:r>
      <w:r w:rsidR="60CEF3B4" w:rsidRPr="053CA8BF">
        <w:rPr>
          <w:rFonts w:ascii="Aptos" w:eastAsia="Aptos" w:hAnsi="Aptos" w:cs="Aptos"/>
          <w:color w:val="000000" w:themeColor="text1"/>
        </w:rPr>
        <w:t xml:space="preserve"> </w:t>
      </w:r>
      <w:r w:rsidRPr="053CA8BF">
        <w:rPr>
          <w:rStyle w:val="FootnoteReference"/>
          <w:rFonts w:ascii="Aptos" w:eastAsia="Aptos" w:hAnsi="Aptos" w:cs="Aptos"/>
          <w:color w:val="000000" w:themeColor="text1"/>
        </w:rPr>
        <w:footnoteReference w:id="4"/>
      </w:r>
    </w:p>
    <w:p w14:paraId="1133F999" w14:textId="7C4A4DE4" w:rsidR="053CA8BF" w:rsidRDefault="053CA8BF"/>
    <w:p w14:paraId="381406AA" w14:textId="2608492E" w:rsidR="442F894C" w:rsidRDefault="442F894C" w:rsidP="053CA8BF">
      <w:pPr>
        <w:pStyle w:val="Heading2"/>
        <w:spacing w:before="299" w:after="299"/>
      </w:pPr>
      <w:r w:rsidRPr="053CA8BF">
        <w:rPr>
          <w:rFonts w:ascii="Aptos" w:eastAsia="Aptos" w:hAnsi="Aptos" w:cs="Aptos"/>
          <w:b/>
          <w:bCs/>
          <w:color w:val="000000" w:themeColor="text1"/>
          <w:sz w:val="36"/>
          <w:szCs w:val="36"/>
        </w:rPr>
        <w:t>3. The RTP Adoption Octagon</w:t>
      </w:r>
    </w:p>
    <w:p w14:paraId="10654637" w14:textId="782F1EB8" w:rsidR="442F894C" w:rsidRDefault="442F894C" w:rsidP="053CA8BF">
      <w:pPr>
        <w:spacing w:before="240" w:after="240"/>
      </w:pPr>
      <w:r w:rsidRPr="053CA8BF">
        <w:rPr>
          <w:rFonts w:ascii="Aptos" w:eastAsia="Aptos" w:hAnsi="Aptos" w:cs="Aptos"/>
          <w:color w:val="000000" w:themeColor="text1"/>
        </w:rPr>
        <w:t>My research proposes the RTP Adoption Octagon, a framework with eight levers that determine whether RTP crosses the gap from infrastructure to everyday habit:</w:t>
      </w:r>
    </w:p>
    <w:p w14:paraId="7975D220" w14:textId="64A22297" w:rsidR="442F894C" w:rsidRDefault="442F894C" w:rsidP="053CA8BF">
      <w:pPr>
        <w:pStyle w:val="ListParagraph"/>
        <w:numPr>
          <w:ilvl w:val="0"/>
          <w:numId w:val="6"/>
        </w:numPr>
        <w:spacing w:before="240" w:after="240"/>
        <w:rPr>
          <w:rFonts w:ascii="Aptos" w:eastAsia="Aptos" w:hAnsi="Aptos" w:cs="Aptos"/>
          <w:color w:val="000000" w:themeColor="text1"/>
        </w:rPr>
      </w:pPr>
      <w:r w:rsidRPr="053CA8BF">
        <w:rPr>
          <w:rFonts w:ascii="Aptos" w:eastAsia="Aptos" w:hAnsi="Aptos" w:cs="Aptos"/>
          <w:color w:val="000000" w:themeColor="text1"/>
        </w:rPr>
        <w:t>Regulation: clear and predictable rules on access and costs</w:t>
      </w:r>
    </w:p>
    <w:p w14:paraId="792DCE7A" w14:textId="6847A7A8" w:rsidR="442F894C" w:rsidRDefault="442F894C" w:rsidP="053CA8BF">
      <w:pPr>
        <w:pStyle w:val="ListParagraph"/>
        <w:numPr>
          <w:ilvl w:val="0"/>
          <w:numId w:val="6"/>
        </w:numPr>
        <w:spacing w:before="240" w:after="240"/>
        <w:rPr>
          <w:rFonts w:ascii="Aptos" w:eastAsia="Aptos" w:hAnsi="Aptos" w:cs="Aptos"/>
          <w:color w:val="000000" w:themeColor="text1"/>
        </w:rPr>
      </w:pPr>
      <w:r w:rsidRPr="053CA8BF">
        <w:rPr>
          <w:rFonts w:ascii="Aptos" w:eastAsia="Aptos" w:hAnsi="Aptos" w:cs="Aptos"/>
          <w:color w:val="000000" w:themeColor="text1"/>
        </w:rPr>
        <w:t>Platform economics: low or zero MDR signals that invite usage</w:t>
      </w:r>
    </w:p>
    <w:p w14:paraId="13001130" w14:textId="2D0D63D7" w:rsidR="442F894C" w:rsidRDefault="442F894C" w:rsidP="053CA8BF">
      <w:pPr>
        <w:pStyle w:val="ListParagraph"/>
        <w:numPr>
          <w:ilvl w:val="0"/>
          <w:numId w:val="6"/>
        </w:numPr>
        <w:spacing w:before="240" w:after="240"/>
        <w:rPr>
          <w:rFonts w:ascii="Aptos" w:eastAsia="Aptos" w:hAnsi="Aptos" w:cs="Aptos"/>
          <w:color w:val="000000" w:themeColor="text1"/>
        </w:rPr>
      </w:pPr>
      <w:r w:rsidRPr="053CA8BF">
        <w:rPr>
          <w:rFonts w:ascii="Aptos" w:eastAsia="Aptos" w:hAnsi="Aptos" w:cs="Aptos"/>
          <w:color w:val="000000" w:themeColor="text1"/>
        </w:rPr>
        <w:t>Merchant onboarding: easy APIs, fast certification and reliable settlement</w:t>
      </w:r>
    </w:p>
    <w:p w14:paraId="498CCADC" w14:textId="361CE8EB" w:rsidR="442F894C" w:rsidRDefault="442F894C" w:rsidP="053CA8BF">
      <w:pPr>
        <w:pStyle w:val="ListParagraph"/>
        <w:numPr>
          <w:ilvl w:val="0"/>
          <w:numId w:val="6"/>
        </w:numPr>
        <w:spacing w:before="240" w:after="240"/>
        <w:rPr>
          <w:rFonts w:ascii="Aptos" w:eastAsia="Aptos" w:hAnsi="Aptos" w:cs="Aptos"/>
          <w:color w:val="000000" w:themeColor="text1"/>
        </w:rPr>
      </w:pPr>
      <w:r w:rsidRPr="053CA8BF">
        <w:rPr>
          <w:rFonts w:ascii="Aptos" w:eastAsia="Aptos" w:hAnsi="Aptos" w:cs="Aptos"/>
          <w:color w:val="000000" w:themeColor="text1"/>
        </w:rPr>
        <w:t xml:space="preserve">Consumer </w:t>
      </w:r>
      <w:proofErr w:type="spellStart"/>
      <w:r w:rsidRPr="053CA8BF">
        <w:rPr>
          <w:rFonts w:ascii="Aptos" w:eastAsia="Aptos" w:hAnsi="Aptos" w:cs="Aptos"/>
          <w:color w:val="000000" w:themeColor="text1"/>
        </w:rPr>
        <w:t>behaviour</w:t>
      </w:r>
      <w:proofErr w:type="spellEnd"/>
      <w:r w:rsidRPr="053CA8BF">
        <w:rPr>
          <w:rFonts w:ascii="Aptos" w:eastAsia="Aptos" w:hAnsi="Aptos" w:cs="Aptos"/>
          <w:color w:val="000000" w:themeColor="text1"/>
        </w:rPr>
        <w:t>: visibility and trust at checkout, simple language, familiar flows</w:t>
      </w:r>
    </w:p>
    <w:p w14:paraId="4455C6B2" w14:textId="2BB5AFEE" w:rsidR="442F894C" w:rsidRDefault="442F894C" w:rsidP="053CA8BF">
      <w:pPr>
        <w:pStyle w:val="ListParagraph"/>
        <w:numPr>
          <w:ilvl w:val="0"/>
          <w:numId w:val="6"/>
        </w:numPr>
        <w:spacing w:before="240" w:after="240"/>
        <w:rPr>
          <w:rFonts w:ascii="Aptos" w:eastAsia="Aptos" w:hAnsi="Aptos" w:cs="Aptos"/>
          <w:color w:val="000000" w:themeColor="text1"/>
        </w:rPr>
      </w:pPr>
      <w:r w:rsidRPr="053CA8BF">
        <w:rPr>
          <w:rFonts w:ascii="Aptos" w:eastAsia="Aptos" w:hAnsi="Aptos" w:cs="Aptos"/>
          <w:color w:val="000000" w:themeColor="text1"/>
        </w:rPr>
        <w:t>Public-private collaboration: central bank, banks and PSPs aligned</w:t>
      </w:r>
    </w:p>
    <w:p w14:paraId="3800CEFF" w14:textId="4B139116" w:rsidR="442F894C" w:rsidRDefault="442F894C" w:rsidP="053CA8BF">
      <w:pPr>
        <w:pStyle w:val="ListParagraph"/>
        <w:numPr>
          <w:ilvl w:val="0"/>
          <w:numId w:val="6"/>
        </w:numPr>
        <w:spacing w:before="240" w:after="240"/>
        <w:rPr>
          <w:rFonts w:ascii="Aptos" w:eastAsia="Aptos" w:hAnsi="Aptos" w:cs="Aptos"/>
          <w:color w:val="000000" w:themeColor="text1"/>
        </w:rPr>
      </w:pPr>
      <w:r w:rsidRPr="053CA8BF">
        <w:rPr>
          <w:rFonts w:ascii="Aptos" w:eastAsia="Aptos" w:hAnsi="Aptos" w:cs="Aptos"/>
          <w:color w:val="000000" w:themeColor="text1"/>
        </w:rPr>
        <w:t>Infrastructure reliability: always-on rails and workable dispute processes</w:t>
      </w:r>
    </w:p>
    <w:p w14:paraId="62E81D39" w14:textId="6F4E2B06" w:rsidR="442F894C" w:rsidRDefault="442F894C" w:rsidP="053CA8BF">
      <w:pPr>
        <w:pStyle w:val="ListParagraph"/>
        <w:numPr>
          <w:ilvl w:val="0"/>
          <w:numId w:val="6"/>
        </w:numPr>
        <w:spacing w:before="240" w:after="240"/>
        <w:rPr>
          <w:rFonts w:ascii="Aptos" w:eastAsia="Aptos" w:hAnsi="Aptos" w:cs="Aptos"/>
          <w:color w:val="000000" w:themeColor="text1"/>
        </w:rPr>
      </w:pPr>
      <w:r w:rsidRPr="053CA8BF">
        <w:rPr>
          <w:rFonts w:ascii="Aptos" w:eastAsia="Aptos" w:hAnsi="Aptos" w:cs="Aptos"/>
          <w:color w:val="000000" w:themeColor="text1"/>
        </w:rPr>
        <w:t>Competitive dynamics: RTP presented as a peer to cards, not as a back-office utility</w:t>
      </w:r>
    </w:p>
    <w:p w14:paraId="215E45FE" w14:textId="25C4DE04" w:rsidR="442F894C" w:rsidRDefault="442F894C" w:rsidP="053CA8BF">
      <w:pPr>
        <w:pStyle w:val="ListParagraph"/>
        <w:numPr>
          <w:ilvl w:val="0"/>
          <w:numId w:val="6"/>
        </w:numPr>
        <w:spacing w:before="240" w:after="240"/>
        <w:rPr>
          <w:rFonts w:ascii="Aptos" w:eastAsia="Aptos" w:hAnsi="Aptos" w:cs="Aptos"/>
          <w:color w:val="000000" w:themeColor="text1"/>
        </w:rPr>
      </w:pPr>
      <w:r w:rsidRPr="053CA8BF">
        <w:rPr>
          <w:rFonts w:ascii="Aptos" w:eastAsia="Aptos" w:hAnsi="Aptos" w:cs="Aptos"/>
          <w:color w:val="000000" w:themeColor="text1"/>
        </w:rPr>
        <w:t>Education and nudging: default placement, consistent labels and awareness campaigns</w:t>
      </w:r>
    </w:p>
    <w:p w14:paraId="394B6761" w14:textId="3660CD6F" w:rsidR="442F894C" w:rsidRDefault="442F894C" w:rsidP="053CA8BF">
      <w:pPr>
        <w:pStyle w:val="Heading2"/>
        <w:spacing w:before="299" w:after="299"/>
      </w:pPr>
      <w:r w:rsidRPr="053CA8BF">
        <w:rPr>
          <w:rFonts w:ascii="Aptos" w:eastAsia="Aptos" w:hAnsi="Aptos" w:cs="Aptos"/>
          <w:b/>
          <w:bCs/>
          <w:color w:val="000000" w:themeColor="text1"/>
          <w:sz w:val="36"/>
          <w:szCs w:val="36"/>
        </w:rPr>
        <w:t>4. Diagnosis for Australia (2025)</w:t>
      </w:r>
    </w:p>
    <w:p w14:paraId="753890E1" w14:textId="067BB971" w:rsidR="442F894C" w:rsidRDefault="442F894C" w:rsidP="053CA8BF">
      <w:pPr>
        <w:spacing w:before="240" w:after="240"/>
      </w:pPr>
      <w:r w:rsidRPr="053CA8BF">
        <w:rPr>
          <w:rFonts w:ascii="Aptos" w:eastAsia="Aptos" w:hAnsi="Aptos" w:cs="Aptos"/>
          <w:color w:val="000000" w:themeColor="text1"/>
        </w:rPr>
        <w:t xml:space="preserve">Australia is strong on rails and regulatory intent. The NPP and </w:t>
      </w:r>
      <w:proofErr w:type="spellStart"/>
      <w:r w:rsidRPr="053CA8BF">
        <w:rPr>
          <w:rFonts w:ascii="Aptos" w:eastAsia="Aptos" w:hAnsi="Aptos" w:cs="Aptos"/>
          <w:color w:val="000000" w:themeColor="text1"/>
        </w:rPr>
        <w:t>PayTo</w:t>
      </w:r>
      <w:proofErr w:type="spellEnd"/>
      <w:r w:rsidRPr="053CA8BF">
        <w:rPr>
          <w:rFonts w:ascii="Aptos" w:eastAsia="Aptos" w:hAnsi="Aptos" w:cs="Aptos"/>
          <w:color w:val="000000" w:themeColor="text1"/>
        </w:rPr>
        <w:t xml:space="preserve"> are world-class, and BECS retirement is set. The adoption challenge lies in three areas:</w:t>
      </w:r>
    </w:p>
    <w:p w14:paraId="1534C6C9" w14:textId="54DA8A10" w:rsidR="442F894C" w:rsidRDefault="442F894C" w:rsidP="053CA8BF">
      <w:pPr>
        <w:pStyle w:val="ListParagraph"/>
        <w:numPr>
          <w:ilvl w:val="0"/>
          <w:numId w:val="5"/>
        </w:numPr>
        <w:spacing w:before="240" w:after="240"/>
        <w:rPr>
          <w:rFonts w:ascii="Aptos" w:eastAsia="Aptos" w:hAnsi="Aptos" w:cs="Aptos"/>
          <w:color w:val="000000" w:themeColor="text1"/>
        </w:rPr>
      </w:pPr>
      <w:r w:rsidRPr="053CA8BF">
        <w:rPr>
          <w:rFonts w:ascii="Aptos" w:eastAsia="Aptos" w:hAnsi="Aptos" w:cs="Aptos"/>
          <w:b/>
          <w:bCs/>
          <w:color w:val="000000" w:themeColor="text1"/>
        </w:rPr>
        <w:t>Checkout visibility:</w:t>
      </w:r>
      <w:r w:rsidRPr="053CA8BF">
        <w:rPr>
          <w:rFonts w:ascii="Aptos" w:eastAsia="Aptos" w:hAnsi="Aptos" w:cs="Aptos"/>
          <w:color w:val="000000" w:themeColor="text1"/>
        </w:rPr>
        <w:t xml:space="preserve"> RTP options are rarely shown alongside cards, so consumers default to habit.</w:t>
      </w:r>
    </w:p>
    <w:p w14:paraId="10253BBC" w14:textId="642CC760" w:rsidR="442F894C" w:rsidRDefault="442F894C" w:rsidP="053CA8BF">
      <w:pPr>
        <w:pStyle w:val="ListParagraph"/>
        <w:numPr>
          <w:ilvl w:val="0"/>
          <w:numId w:val="5"/>
        </w:numPr>
        <w:spacing w:before="240" w:after="240"/>
        <w:rPr>
          <w:rFonts w:ascii="Aptos" w:eastAsia="Aptos" w:hAnsi="Aptos" w:cs="Aptos"/>
          <w:color w:val="000000" w:themeColor="text1"/>
        </w:rPr>
      </w:pPr>
      <w:r w:rsidRPr="053CA8BF">
        <w:rPr>
          <w:rFonts w:ascii="Aptos" w:eastAsia="Aptos" w:hAnsi="Aptos" w:cs="Aptos"/>
          <w:b/>
          <w:bCs/>
          <w:color w:val="000000" w:themeColor="text1"/>
        </w:rPr>
        <w:t>Consumer nudging:</w:t>
      </w:r>
      <w:r w:rsidRPr="053CA8BF">
        <w:rPr>
          <w:rFonts w:ascii="Aptos" w:eastAsia="Aptos" w:hAnsi="Aptos" w:cs="Aptos"/>
          <w:color w:val="000000" w:themeColor="text1"/>
        </w:rPr>
        <w:t xml:space="preserve"> little sustained effort has been made to make “Pay with </w:t>
      </w:r>
      <w:proofErr w:type="spellStart"/>
      <w:r w:rsidRPr="053CA8BF">
        <w:rPr>
          <w:rFonts w:ascii="Aptos" w:eastAsia="Aptos" w:hAnsi="Aptos" w:cs="Aptos"/>
          <w:color w:val="000000" w:themeColor="text1"/>
        </w:rPr>
        <w:t>PayID</w:t>
      </w:r>
      <w:proofErr w:type="spellEnd"/>
      <w:r w:rsidRPr="053CA8BF">
        <w:rPr>
          <w:rFonts w:ascii="Aptos" w:eastAsia="Aptos" w:hAnsi="Aptos" w:cs="Aptos"/>
          <w:color w:val="000000" w:themeColor="text1"/>
        </w:rPr>
        <w:t>/</w:t>
      </w:r>
      <w:proofErr w:type="spellStart"/>
      <w:r w:rsidRPr="053CA8BF">
        <w:rPr>
          <w:rFonts w:ascii="Aptos" w:eastAsia="Aptos" w:hAnsi="Aptos" w:cs="Aptos"/>
          <w:color w:val="000000" w:themeColor="text1"/>
        </w:rPr>
        <w:t>PayTo</w:t>
      </w:r>
      <w:proofErr w:type="spellEnd"/>
      <w:r w:rsidRPr="053CA8BF">
        <w:rPr>
          <w:rFonts w:ascii="Aptos" w:eastAsia="Aptos" w:hAnsi="Aptos" w:cs="Aptos"/>
          <w:color w:val="000000" w:themeColor="text1"/>
        </w:rPr>
        <w:t>” a mainstream, trusted brand for everyday payments.</w:t>
      </w:r>
    </w:p>
    <w:p w14:paraId="7CD9C0B0" w14:textId="3642AC85" w:rsidR="442F894C" w:rsidRDefault="442F894C" w:rsidP="053CA8BF">
      <w:pPr>
        <w:pStyle w:val="ListParagraph"/>
        <w:numPr>
          <w:ilvl w:val="0"/>
          <w:numId w:val="5"/>
        </w:numPr>
        <w:spacing w:before="240" w:after="240"/>
        <w:rPr>
          <w:rFonts w:ascii="Aptos" w:eastAsia="Aptos" w:hAnsi="Aptos" w:cs="Aptos"/>
          <w:color w:val="000000" w:themeColor="text1"/>
        </w:rPr>
      </w:pPr>
      <w:r w:rsidRPr="053CA8BF">
        <w:rPr>
          <w:rFonts w:ascii="Aptos" w:eastAsia="Aptos" w:hAnsi="Aptos" w:cs="Aptos"/>
          <w:b/>
          <w:bCs/>
          <w:color w:val="000000" w:themeColor="text1"/>
        </w:rPr>
        <w:t>Non-bank participation:</w:t>
      </w:r>
      <w:r w:rsidRPr="053CA8BF">
        <w:rPr>
          <w:rFonts w:ascii="Aptos" w:eastAsia="Aptos" w:hAnsi="Aptos" w:cs="Aptos"/>
          <w:color w:val="000000" w:themeColor="text1"/>
        </w:rPr>
        <w:t xml:space="preserve"> </w:t>
      </w:r>
      <w:proofErr w:type="spellStart"/>
      <w:r w:rsidRPr="053CA8BF">
        <w:rPr>
          <w:rFonts w:ascii="Aptos" w:eastAsia="Aptos" w:hAnsi="Aptos" w:cs="Aptos"/>
          <w:color w:val="000000" w:themeColor="text1"/>
        </w:rPr>
        <w:t>fintechs</w:t>
      </w:r>
      <w:proofErr w:type="spellEnd"/>
      <w:r w:rsidRPr="053CA8BF">
        <w:rPr>
          <w:rFonts w:ascii="Aptos" w:eastAsia="Aptos" w:hAnsi="Aptos" w:cs="Aptos"/>
          <w:color w:val="000000" w:themeColor="text1"/>
        </w:rPr>
        <w:t xml:space="preserve"> and payment providers face high barriers to direct participation, reducing competition and slowing innovation compared to more open ecosystems.</w:t>
      </w:r>
    </w:p>
    <w:p w14:paraId="0A21A096" w14:textId="131B4444" w:rsidR="442F894C" w:rsidRDefault="442F894C" w:rsidP="053CA8BF">
      <w:pPr>
        <w:spacing w:before="240" w:after="240"/>
      </w:pPr>
      <w:r w:rsidRPr="053CA8BF">
        <w:rPr>
          <w:rFonts w:ascii="Aptos" w:eastAsia="Aptos" w:hAnsi="Aptos" w:cs="Aptos"/>
          <w:b/>
          <w:bCs/>
          <w:color w:val="000000" w:themeColor="text1"/>
        </w:rPr>
        <w:t>Where the RBA can help:</w:t>
      </w:r>
    </w:p>
    <w:p w14:paraId="6F008316" w14:textId="2080FE52" w:rsidR="442F894C" w:rsidRDefault="442F894C" w:rsidP="053CA8BF">
      <w:pPr>
        <w:pStyle w:val="ListParagraph"/>
        <w:numPr>
          <w:ilvl w:val="0"/>
          <w:numId w:val="4"/>
        </w:numPr>
        <w:spacing w:before="240" w:after="240"/>
        <w:rPr>
          <w:rFonts w:ascii="Aptos" w:eastAsia="Aptos" w:hAnsi="Aptos" w:cs="Aptos"/>
          <w:color w:val="000000" w:themeColor="text1"/>
        </w:rPr>
      </w:pPr>
      <w:r w:rsidRPr="053CA8BF">
        <w:rPr>
          <w:rFonts w:ascii="Aptos" w:eastAsia="Aptos" w:hAnsi="Aptos" w:cs="Aptos"/>
          <w:b/>
          <w:bCs/>
          <w:color w:val="000000" w:themeColor="text1"/>
        </w:rPr>
        <w:lastRenderedPageBreak/>
        <w:t>Visibility standards:</w:t>
      </w:r>
      <w:r w:rsidRPr="053CA8BF">
        <w:rPr>
          <w:rFonts w:ascii="Aptos" w:eastAsia="Aptos" w:hAnsi="Aptos" w:cs="Aptos"/>
          <w:color w:val="000000" w:themeColor="text1"/>
        </w:rPr>
        <w:t xml:space="preserve"> encourage or require RTP to be shown beside cards in retail and online checkouts.</w:t>
      </w:r>
    </w:p>
    <w:p w14:paraId="51C5C628" w14:textId="1E3A1657" w:rsidR="442F894C" w:rsidRDefault="442F894C" w:rsidP="053CA8BF">
      <w:pPr>
        <w:pStyle w:val="ListParagraph"/>
        <w:numPr>
          <w:ilvl w:val="0"/>
          <w:numId w:val="4"/>
        </w:numPr>
        <w:spacing w:before="240" w:after="240"/>
        <w:rPr>
          <w:rFonts w:ascii="Aptos" w:eastAsia="Aptos" w:hAnsi="Aptos" w:cs="Aptos"/>
          <w:color w:val="000000" w:themeColor="text1"/>
        </w:rPr>
      </w:pPr>
      <w:r w:rsidRPr="053CA8BF">
        <w:rPr>
          <w:rFonts w:ascii="Aptos" w:eastAsia="Aptos" w:hAnsi="Aptos" w:cs="Aptos"/>
          <w:b/>
          <w:bCs/>
          <w:color w:val="000000" w:themeColor="text1"/>
        </w:rPr>
        <w:t>Open participation:</w:t>
      </w:r>
      <w:r w:rsidRPr="053CA8BF">
        <w:rPr>
          <w:rFonts w:ascii="Aptos" w:eastAsia="Aptos" w:hAnsi="Aptos" w:cs="Aptos"/>
          <w:color w:val="000000" w:themeColor="text1"/>
        </w:rPr>
        <w:t xml:space="preserve"> lower barriers for qualified non-bank providers to integrate and innovate.</w:t>
      </w:r>
    </w:p>
    <w:p w14:paraId="735EF6A8" w14:textId="2B5F9711" w:rsidR="442F894C" w:rsidRDefault="442F894C" w:rsidP="053CA8BF">
      <w:pPr>
        <w:pStyle w:val="ListParagraph"/>
        <w:numPr>
          <w:ilvl w:val="0"/>
          <w:numId w:val="4"/>
        </w:numPr>
        <w:spacing w:before="240" w:after="240"/>
        <w:rPr>
          <w:rFonts w:ascii="Aptos" w:eastAsia="Aptos" w:hAnsi="Aptos" w:cs="Aptos"/>
          <w:color w:val="000000" w:themeColor="text1"/>
        </w:rPr>
      </w:pPr>
      <w:r w:rsidRPr="053CA8BF">
        <w:rPr>
          <w:rFonts w:ascii="Aptos" w:eastAsia="Aptos" w:hAnsi="Aptos" w:cs="Aptos"/>
          <w:b/>
          <w:bCs/>
          <w:color w:val="000000" w:themeColor="text1"/>
        </w:rPr>
        <w:t>Transparent comparison for SMEs:</w:t>
      </w:r>
      <w:r w:rsidRPr="053CA8BF">
        <w:rPr>
          <w:rFonts w:ascii="Aptos" w:eastAsia="Aptos" w:hAnsi="Aptos" w:cs="Aptos"/>
          <w:color w:val="000000" w:themeColor="text1"/>
        </w:rPr>
        <w:t xml:space="preserve"> require acquirers and gateways to publish effective “cost per $100” across cards and RTP in a format that small businesses can use easily.</w:t>
      </w:r>
    </w:p>
    <w:p w14:paraId="334E6390" w14:textId="7185B57A" w:rsidR="442F894C" w:rsidRDefault="442F894C" w:rsidP="053CA8BF">
      <w:pPr>
        <w:spacing w:before="240" w:after="240"/>
      </w:pPr>
      <w:r w:rsidRPr="053CA8BF">
        <w:rPr>
          <w:rFonts w:ascii="Aptos" w:eastAsia="Aptos" w:hAnsi="Aptos" w:cs="Aptos"/>
          <w:b/>
          <w:bCs/>
          <w:color w:val="000000" w:themeColor="text1"/>
        </w:rPr>
        <w:t>Bottom line:</w:t>
      </w:r>
      <w:r w:rsidRPr="053CA8BF">
        <w:rPr>
          <w:rFonts w:ascii="Aptos" w:eastAsia="Aptos" w:hAnsi="Aptos" w:cs="Aptos"/>
          <w:color w:val="000000" w:themeColor="text1"/>
        </w:rPr>
        <w:t xml:space="preserve"> Until RTP is visible at checkout, actively nudged for consumer use, broadened through non-bank participation, and transparently comparable for SMEs, it cannot compete fairly with entrenched card networks.</w:t>
      </w:r>
    </w:p>
    <w:p w14:paraId="223C1D99" w14:textId="4FE5689B" w:rsidR="442F894C" w:rsidRDefault="442F894C" w:rsidP="053CA8BF">
      <w:pPr>
        <w:pStyle w:val="Heading2"/>
        <w:spacing w:before="299" w:after="299"/>
      </w:pPr>
      <w:r w:rsidRPr="053CA8BF">
        <w:rPr>
          <w:rFonts w:ascii="Aptos" w:eastAsia="Aptos" w:hAnsi="Aptos" w:cs="Aptos"/>
          <w:b/>
          <w:bCs/>
          <w:color w:val="000000" w:themeColor="text1"/>
          <w:sz w:val="36"/>
          <w:szCs w:val="36"/>
        </w:rPr>
        <w:t xml:space="preserve">5. </w:t>
      </w:r>
      <w:r w:rsidR="09E18F61" w:rsidRPr="053CA8BF">
        <w:rPr>
          <w:rFonts w:ascii="Aptos" w:eastAsia="Aptos" w:hAnsi="Aptos" w:cs="Aptos"/>
          <w:b/>
          <w:bCs/>
          <w:color w:val="000000" w:themeColor="text1"/>
          <w:sz w:val="36"/>
          <w:szCs w:val="36"/>
        </w:rPr>
        <w:t>Questions for consideration</w:t>
      </w:r>
    </w:p>
    <w:p w14:paraId="2B80E4D5" w14:textId="19EA20D1" w:rsidR="09E18F61" w:rsidRDefault="09E18F61" w:rsidP="053CA8BF">
      <w:pPr>
        <w:pStyle w:val="ListParagraph"/>
        <w:numPr>
          <w:ilvl w:val="0"/>
          <w:numId w:val="3"/>
        </w:numPr>
        <w:spacing w:before="240" w:after="240"/>
        <w:rPr>
          <w:color w:val="000000" w:themeColor="text1"/>
        </w:rPr>
      </w:pPr>
      <w:r w:rsidRPr="053CA8BF">
        <w:rPr>
          <w:b/>
          <w:bCs/>
          <w:color w:val="000000" w:themeColor="text1"/>
        </w:rPr>
        <w:t>Checkout parity:</w:t>
      </w:r>
      <w:r w:rsidRPr="053CA8BF">
        <w:rPr>
          <w:color w:val="000000" w:themeColor="text1"/>
        </w:rPr>
        <w:t xml:space="preserve"> Should </w:t>
      </w:r>
      <w:proofErr w:type="spellStart"/>
      <w:r w:rsidRPr="053CA8BF">
        <w:rPr>
          <w:color w:val="000000" w:themeColor="text1"/>
        </w:rPr>
        <w:t>PayID</w:t>
      </w:r>
      <w:proofErr w:type="spellEnd"/>
      <w:r w:rsidRPr="053CA8BF">
        <w:rPr>
          <w:color w:val="000000" w:themeColor="text1"/>
        </w:rPr>
        <w:t xml:space="preserve"> and </w:t>
      </w:r>
      <w:proofErr w:type="spellStart"/>
      <w:r w:rsidRPr="053CA8BF">
        <w:rPr>
          <w:color w:val="000000" w:themeColor="text1"/>
        </w:rPr>
        <w:t>PayTo</w:t>
      </w:r>
      <w:proofErr w:type="spellEnd"/>
      <w:r w:rsidRPr="053CA8BF">
        <w:rPr>
          <w:color w:val="000000" w:themeColor="text1"/>
        </w:rPr>
        <w:t xml:space="preserve"> be displayed as clearly as card logos in retail and e-commerce, so consumers see them as a genuine choice?</w:t>
      </w:r>
    </w:p>
    <w:p w14:paraId="5A1C4DC6" w14:textId="5C653233" w:rsidR="09E18F61" w:rsidRDefault="09E18F61" w:rsidP="053CA8BF">
      <w:pPr>
        <w:pStyle w:val="ListParagraph"/>
        <w:numPr>
          <w:ilvl w:val="0"/>
          <w:numId w:val="3"/>
        </w:numPr>
        <w:spacing w:before="240" w:after="240"/>
        <w:rPr>
          <w:color w:val="000000" w:themeColor="text1"/>
        </w:rPr>
      </w:pPr>
      <w:r w:rsidRPr="053CA8BF">
        <w:rPr>
          <w:b/>
          <w:bCs/>
          <w:color w:val="000000" w:themeColor="text1"/>
        </w:rPr>
        <w:t>Transparent costs for SMEs:</w:t>
      </w:r>
      <w:r w:rsidRPr="053CA8BF">
        <w:rPr>
          <w:color w:val="000000" w:themeColor="text1"/>
        </w:rPr>
        <w:t xml:space="preserve"> What </w:t>
      </w:r>
      <w:proofErr w:type="gramStart"/>
      <w:r w:rsidRPr="053CA8BF">
        <w:rPr>
          <w:color w:val="000000" w:themeColor="text1"/>
        </w:rPr>
        <w:t>is</w:t>
      </w:r>
      <w:proofErr w:type="gramEnd"/>
      <w:r w:rsidRPr="053CA8BF">
        <w:rPr>
          <w:color w:val="000000" w:themeColor="text1"/>
        </w:rPr>
        <w:t xml:space="preserve"> the best way to provide small businesses with simple and comparable cost metrics across cards and RTP?</w:t>
      </w:r>
    </w:p>
    <w:p w14:paraId="03AA390A" w14:textId="5FFEADA7" w:rsidR="09E18F61" w:rsidRDefault="09E18F61" w:rsidP="053CA8BF">
      <w:pPr>
        <w:pStyle w:val="ListParagraph"/>
        <w:numPr>
          <w:ilvl w:val="0"/>
          <w:numId w:val="3"/>
        </w:numPr>
        <w:spacing w:before="240" w:after="240"/>
        <w:rPr>
          <w:color w:val="000000" w:themeColor="text1"/>
        </w:rPr>
      </w:pPr>
      <w:r w:rsidRPr="053CA8BF">
        <w:rPr>
          <w:b/>
          <w:bCs/>
          <w:color w:val="000000" w:themeColor="text1"/>
        </w:rPr>
        <w:t>Friction-light onboarding:</w:t>
      </w:r>
      <w:r w:rsidRPr="053CA8BF">
        <w:rPr>
          <w:color w:val="000000" w:themeColor="text1"/>
        </w:rPr>
        <w:t xml:space="preserve"> What tools or standards would make it easier for SMEs to adopt RTP quickly and with confidence?</w:t>
      </w:r>
    </w:p>
    <w:p w14:paraId="5C4CF741" w14:textId="250C0786" w:rsidR="09E18F61" w:rsidRDefault="09E18F61" w:rsidP="053CA8BF">
      <w:pPr>
        <w:pStyle w:val="ListParagraph"/>
        <w:numPr>
          <w:ilvl w:val="0"/>
          <w:numId w:val="3"/>
        </w:numPr>
        <w:spacing w:before="240" w:after="240"/>
        <w:rPr>
          <w:color w:val="000000" w:themeColor="text1"/>
        </w:rPr>
      </w:pPr>
      <w:r w:rsidRPr="053CA8BF">
        <w:rPr>
          <w:b/>
          <w:bCs/>
          <w:color w:val="000000" w:themeColor="text1"/>
        </w:rPr>
        <w:t>Risk assurance:</w:t>
      </w:r>
      <w:r w:rsidRPr="053CA8BF">
        <w:rPr>
          <w:color w:val="000000" w:themeColor="text1"/>
        </w:rPr>
        <w:t xml:space="preserve"> What level of transparency on RTP fraud and dispute resolution would reassure businesses and consumers?</w:t>
      </w:r>
    </w:p>
    <w:p w14:paraId="0BF0D4C1" w14:textId="5940DA4D" w:rsidR="09E18F61" w:rsidRDefault="09E18F61" w:rsidP="053CA8BF">
      <w:pPr>
        <w:pStyle w:val="ListParagraph"/>
        <w:numPr>
          <w:ilvl w:val="0"/>
          <w:numId w:val="3"/>
        </w:numPr>
        <w:spacing w:before="240" w:after="240"/>
        <w:rPr>
          <w:color w:val="000000" w:themeColor="text1"/>
        </w:rPr>
      </w:pPr>
      <w:r w:rsidRPr="053CA8BF">
        <w:rPr>
          <w:b/>
          <w:bCs/>
          <w:color w:val="000000" w:themeColor="text1"/>
        </w:rPr>
        <w:t>Wider access:</w:t>
      </w:r>
      <w:r w:rsidRPr="053CA8BF">
        <w:rPr>
          <w:color w:val="000000" w:themeColor="text1"/>
        </w:rPr>
        <w:t xml:space="preserve"> Should non-bank providers be given more direct participation pathways, and if so, under what safeguards?</w:t>
      </w:r>
    </w:p>
    <w:p w14:paraId="763878B3" w14:textId="2DED15F5" w:rsidR="053CA8BF" w:rsidRDefault="053CA8BF"/>
    <w:p w14:paraId="4FD9F411" w14:textId="1F5CC284" w:rsidR="442F894C" w:rsidRDefault="442F894C" w:rsidP="053CA8BF">
      <w:pPr>
        <w:pStyle w:val="Heading2"/>
        <w:spacing w:before="299" w:after="299"/>
      </w:pPr>
      <w:r w:rsidRPr="053CA8BF">
        <w:rPr>
          <w:rFonts w:ascii="Aptos" w:eastAsia="Aptos" w:hAnsi="Aptos" w:cs="Aptos"/>
          <w:b/>
          <w:bCs/>
          <w:color w:val="000000" w:themeColor="text1"/>
          <w:sz w:val="36"/>
          <w:szCs w:val="36"/>
        </w:rPr>
        <w:t>6. Conclusion</w:t>
      </w:r>
    </w:p>
    <w:p w14:paraId="1CE310F5" w14:textId="3CFC733D" w:rsidR="442F894C" w:rsidRDefault="442F894C" w:rsidP="053CA8BF">
      <w:pPr>
        <w:spacing w:before="240" w:after="240"/>
      </w:pPr>
      <w:r w:rsidRPr="053CA8BF">
        <w:rPr>
          <w:rFonts w:ascii="Aptos" w:eastAsia="Aptos" w:hAnsi="Aptos" w:cs="Aptos"/>
          <w:color w:val="000000" w:themeColor="text1"/>
        </w:rPr>
        <w:t>Australia is ready. Consumers are already digital, small businesses want lower-cost options, and the rails exist. The step that unlocks progress is choice at the point of payment. Once RTP sits alongside cards, visible and trusted, the national conversation will move beyond surcharges to genuine competition, better service and faster innovation.</w:t>
      </w:r>
    </w:p>
    <w:p w14:paraId="19D03CF8" w14:textId="6A21F27A" w:rsidR="442F894C" w:rsidRDefault="442F894C" w:rsidP="053CA8BF">
      <w:pPr>
        <w:spacing w:before="240" w:after="240"/>
        <w:rPr>
          <w:rFonts w:ascii="Aptos" w:eastAsia="Aptos" w:hAnsi="Aptos" w:cs="Aptos"/>
          <w:color w:val="000000" w:themeColor="text1"/>
        </w:rPr>
      </w:pPr>
      <w:r>
        <w:br/>
      </w:r>
      <w:r w:rsidRPr="053CA8BF">
        <w:rPr>
          <w:rFonts w:ascii="Aptos" w:eastAsia="Aptos" w:hAnsi="Aptos" w:cs="Aptos"/>
          <w:b/>
          <w:bCs/>
          <w:color w:val="000000" w:themeColor="text1"/>
        </w:rPr>
        <w:t>Vibhu Arya</w:t>
      </w:r>
      <w:r>
        <w:br/>
      </w:r>
      <w:r w:rsidRPr="053CA8BF">
        <w:rPr>
          <w:rFonts w:ascii="Aptos" w:eastAsia="Aptos" w:hAnsi="Aptos" w:cs="Aptos"/>
          <w:color w:val="000000" w:themeColor="text1"/>
        </w:rPr>
        <w:t>Doctoral Researcher, UTS Business School (R</w:t>
      </w:r>
      <w:r w:rsidR="5DDAD956" w:rsidRPr="053CA8BF">
        <w:rPr>
          <w:rFonts w:ascii="Aptos" w:eastAsia="Aptos" w:hAnsi="Aptos" w:cs="Aptos"/>
          <w:color w:val="000000" w:themeColor="text1"/>
        </w:rPr>
        <w:t>eal Time Payments</w:t>
      </w:r>
      <w:r w:rsidRPr="053CA8BF">
        <w:rPr>
          <w:rFonts w:ascii="Aptos" w:eastAsia="Aptos" w:hAnsi="Aptos" w:cs="Aptos"/>
          <w:color w:val="000000" w:themeColor="text1"/>
        </w:rPr>
        <w:t xml:space="preserve"> Adoption)</w:t>
      </w:r>
    </w:p>
    <w:sectPr w:rsidR="442F894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6B9AFD" w14:textId="77777777" w:rsidR="00323BA7" w:rsidRDefault="00323BA7">
      <w:pPr>
        <w:spacing w:after="0" w:line="240" w:lineRule="auto"/>
      </w:pPr>
      <w:r>
        <w:separator/>
      </w:r>
    </w:p>
  </w:endnote>
  <w:endnote w:type="continuationSeparator" w:id="0">
    <w:p w14:paraId="340D5DA7" w14:textId="77777777" w:rsidR="00323BA7" w:rsidRDefault="00323B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001" w:usb1="080E0000" w:usb2="00000010" w:usb3="00000000" w:csb0="00040000" w:csb1="00000000"/>
  </w:font>
  <w:font w:name="Vrinda">
    <w:panose1 w:val="020B0502040204020203"/>
    <w:charset w:val="00"/>
    <w:family w:val="swiss"/>
    <w:pitch w:val="variable"/>
    <w:sig w:usb0="0001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D8E53" w14:textId="77777777" w:rsidR="00323BA7" w:rsidRDefault="00323BA7">
      <w:pPr>
        <w:spacing w:after="0" w:line="240" w:lineRule="auto"/>
      </w:pPr>
      <w:r>
        <w:separator/>
      </w:r>
    </w:p>
  </w:footnote>
  <w:footnote w:type="continuationSeparator" w:id="0">
    <w:p w14:paraId="0A2070E7" w14:textId="77777777" w:rsidR="00323BA7" w:rsidRDefault="00323BA7">
      <w:pPr>
        <w:spacing w:after="0" w:line="240" w:lineRule="auto"/>
      </w:pPr>
      <w:r>
        <w:continuationSeparator/>
      </w:r>
    </w:p>
  </w:footnote>
  <w:footnote w:id="1">
    <w:p w14:paraId="58FAAA62" w14:textId="1B660B90" w:rsidR="053CA8BF" w:rsidRDefault="053CA8BF" w:rsidP="053CA8BF">
      <w:pPr>
        <w:pStyle w:val="FootnoteText"/>
      </w:pPr>
      <w:r w:rsidRPr="053CA8BF">
        <w:rPr>
          <w:rStyle w:val="FootnoteReference"/>
          <w:rFonts w:ascii="Aptos" w:eastAsia="Aptos" w:hAnsi="Aptos" w:cs="Aptos"/>
        </w:rPr>
        <w:footnoteRef/>
      </w:r>
      <w:r w:rsidRPr="053CA8BF">
        <w:rPr>
          <w:rFonts w:ascii="Aptos" w:eastAsia="Aptos" w:hAnsi="Aptos" w:cs="Aptos"/>
        </w:rPr>
        <w:t xml:space="preserve"> Reserve Bank of Australia. (2023). </w:t>
      </w:r>
      <w:r w:rsidRPr="053CA8BF">
        <w:rPr>
          <w:rFonts w:ascii="Aptos" w:eastAsia="Aptos" w:hAnsi="Aptos" w:cs="Aptos"/>
          <w:i/>
          <w:iCs/>
        </w:rPr>
        <w:t>Consumer Payments Survey 2022</w:t>
      </w:r>
      <w:r w:rsidRPr="053CA8BF">
        <w:rPr>
          <w:rFonts w:ascii="Aptos" w:eastAsia="Aptos" w:hAnsi="Aptos" w:cs="Aptos"/>
        </w:rPr>
        <w:t>. Retrieved from https://www.rba.gov.au/statistics/consumer-payments-survey</w:t>
      </w:r>
    </w:p>
  </w:footnote>
  <w:footnote w:id="2">
    <w:p w14:paraId="523598A9" w14:textId="4749140A" w:rsidR="053CA8BF" w:rsidRDefault="053CA8BF" w:rsidP="000E74B2">
      <w:pPr>
        <w:pStyle w:val="FootnoteText"/>
        <w:rPr>
          <w:sz w:val="12"/>
          <w:szCs w:val="12"/>
        </w:rPr>
      </w:pPr>
      <w:r w:rsidRPr="053CA8BF">
        <w:rPr>
          <w:rStyle w:val="FootnoteReference"/>
          <w:rFonts w:ascii="Aptos" w:eastAsia="Aptos" w:hAnsi="Aptos" w:cs="Aptos"/>
        </w:rPr>
        <w:footnoteRef/>
      </w:r>
      <w:r w:rsidRPr="053CA8BF">
        <w:rPr>
          <w:rFonts w:ascii="Aptos" w:eastAsia="Aptos" w:hAnsi="Aptos" w:cs="Aptos"/>
        </w:rPr>
        <w:t xml:space="preserve"> Bank for International Settlements. (2024). </w:t>
      </w:r>
      <w:r w:rsidRPr="053CA8BF">
        <w:rPr>
          <w:rFonts w:ascii="Aptos" w:eastAsia="Aptos" w:hAnsi="Aptos" w:cs="Aptos"/>
          <w:i/>
          <w:iCs/>
        </w:rPr>
        <w:t>Pix: Financial Inclusion and the Use of Financial Services in Brazil (BIS Papers No. 152)</w:t>
      </w:r>
      <w:r w:rsidRPr="053CA8BF">
        <w:rPr>
          <w:rFonts w:ascii="Aptos" w:eastAsia="Aptos" w:hAnsi="Aptos" w:cs="Aptos"/>
        </w:rPr>
        <w:t xml:space="preserve">. Basel: BIS. Retrieved from </w:t>
      </w:r>
      <w:hyperlink r:id="rId1">
        <w:r w:rsidRPr="053CA8BF">
          <w:rPr>
            <w:rStyle w:val="Hyperlink"/>
            <w:rFonts w:ascii="Aptos" w:eastAsia="Aptos" w:hAnsi="Aptos" w:cs="Aptos"/>
          </w:rPr>
          <w:t>https://www.bis.org/publ/bppdf/bispap152_c.pdf</w:t>
        </w:r>
      </w:hyperlink>
    </w:p>
    <w:p w14:paraId="08194403" w14:textId="2D74CFFF" w:rsidR="053CA8BF" w:rsidRDefault="053CA8BF" w:rsidP="000E74B2">
      <w:pPr>
        <w:pStyle w:val="FootnoteText"/>
        <w:rPr>
          <w:sz w:val="12"/>
          <w:szCs w:val="12"/>
        </w:rPr>
      </w:pPr>
      <w:r w:rsidRPr="053CA8BF">
        <w:rPr>
          <w:rFonts w:ascii="Aptos" w:eastAsia="Aptos" w:hAnsi="Aptos" w:cs="Aptos"/>
        </w:rPr>
        <w:t xml:space="preserve">Financial Times. (2024, July 15). </w:t>
      </w:r>
      <w:r w:rsidRPr="053CA8BF">
        <w:rPr>
          <w:rFonts w:ascii="Aptos" w:eastAsia="Aptos" w:hAnsi="Aptos" w:cs="Aptos"/>
          <w:i/>
          <w:iCs/>
        </w:rPr>
        <w:t xml:space="preserve">How Brazil’s Pix Payments System </w:t>
      </w:r>
      <w:proofErr w:type="spellStart"/>
      <w:r w:rsidRPr="053CA8BF">
        <w:rPr>
          <w:rFonts w:ascii="Aptos" w:eastAsia="Aptos" w:hAnsi="Aptos" w:cs="Aptos"/>
          <w:i/>
          <w:iCs/>
        </w:rPr>
        <w:t>Revolutionised</w:t>
      </w:r>
      <w:proofErr w:type="spellEnd"/>
      <w:r w:rsidRPr="053CA8BF">
        <w:rPr>
          <w:rFonts w:ascii="Aptos" w:eastAsia="Aptos" w:hAnsi="Aptos" w:cs="Aptos"/>
          <w:i/>
          <w:iCs/>
        </w:rPr>
        <w:t xml:space="preserve"> Commerce</w:t>
      </w:r>
      <w:r w:rsidRPr="053CA8BF">
        <w:rPr>
          <w:rFonts w:ascii="Aptos" w:eastAsia="Aptos" w:hAnsi="Aptos" w:cs="Aptos"/>
        </w:rPr>
        <w:t xml:space="preserve">. London: FT. Retrieved from </w:t>
      </w:r>
      <w:hyperlink r:id="rId2">
        <w:r w:rsidRPr="053CA8BF">
          <w:rPr>
            <w:rStyle w:val="Hyperlink"/>
            <w:rFonts w:ascii="Aptos" w:eastAsia="Aptos" w:hAnsi="Aptos" w:cs="Aptos"/>
          </w:rPr>
          <w:t>https://www.ft.com/content/e17e6de1-d863-46f8-bfab-fa8cbfc495f0</w:t>
        </w:r>
      </w:hyperlink>
    </w:p>
    <w:p w14:paraId="75FBFE22" w14:textId="260280F8" w:rsidR="053CA8BF" w:rsidRDefault="053CA8BF" w:rsidP="000E74B2">
      <w:pPr>
        <w:pStyle w:val="FootnoteText"/>
        <w:rPr>
          <w:sz w:val="12"/>
          <w:szCs w:val="12"/>
        </w:rPr>
      </w:pPr>
      <w:r w:rsidRPr="053CA8BF">
        <w:rPr>
          <w:rFonts w:ascii="Aptos" w:eastAsia="Aptos" w:hAnsi="Aptos" w:cs="Aptos"/>
        </w:rPr>
        <w:t xml:space="preserve">Reuters. (2024, September 9). </w:t>
      </w:r>
      <w:r w:rsidRPr="053CA8BF">
        <w:rPr>
          <w:rFonts w:ascii="Aptos" w:eastAsia="Aptos" w:hAnsi="Aptos" w:cs="Aptos"/>
          <w:i/>
          <w:iCs/>
        </w:rPr>
        <w:t>Brazil’s Pix to Overtake Credit Cards in E-Commerce Soon, Study Shows</w:t>
      </w:r>
      <w:r w:rsidRPr="053CA8BF">
        <w:rPr>
          <w:rFonts w:ascii="Aptos" w:eastAsia="Aptos" w:hAnsi="Aptos" w:cs="Aptos"/>
        </w:rPr>
        <w:t xml:space="preserve">. Retrieved from </w:t>
      </w:r>
      <w:hyperlink r:id="rId3">
        <w:r w:rsidRPr="053CA8BF">
          <w:rPr>
            <w:rStyle w:val="Hyperlink"/>
            <w:rFonts w:ascii="Aptos" w:eastAsia="Aptos" w:hAnsi="Aptos" w:cs="Aptos"/>
          </w:rPr>
          <w:t>https://www.reuters.com/business/finance/brazils-pix-overtake-credit-cards-e-commerce-soon-2025-study-shows-2024-09-09</w:t>
        </w:r>
      </w:hyperlink>
    </w:p>
  </w:footnote>
  <w:footnote w:id="3">
    <w:p w14:paraId="59A92DE5" w14:textId="1764D33E" w:rsidR="053CA8BF" w:rsidRDefault="053CA8BF" w:rsidP="053CA8BF">
      <w:pPr>
        <w:pStyle w:val="FootnoteText"/>
      </w:pPr>
      <w:r w:rsidRPr="053CA8BF">
        <w:rPr>
          <w:rStyle w:val="FootnoteReference"/>
          <w:rFonts w:ascii="Aptos" w:eastAsia="Aptos" w:hAnsi="Aptos" w:cs="Aptos"/>
        </w:rPr>
        <w:footnoteRef/>
      </w:r>
      <w:r w:rsidRPr="053CA8BF">
        <w:rPr>
          <w:rFonts w:ascii="Aptos" w:eastAsia="Aptos" w:hAnsi="Aptos" w:cs="Aptos"/>
        </w:rPr>
        <w:t xml:space="preserve"> Times of India. (2024, May 6). </w:t>
      </w:r>
      <w:r w:rsidRPr="053CA8BF">
        <w:rPr>
          <w:rFonts w:ascii="Aptos" w:eastAsia="Aptos" w:hAnsi="Aptos" w:cs="Aptos"/>
          <w:i/>
          <w:iCs/>
        </w:rPr>
        <w:t xml:space="preserve">UPI Surge: India Leads the World in Fast Payments with 18 </w:t>
      </w:r>
      <w:proofErr w:type="gramStart"/>
      <w:r w:rsidRPr="053CA8BF">
        <w:rPr>
          <w:rFonts w:ascii="Aptos" w:eastAsia="Aptos" w:hAnsi="Aptos" w:cs="Aptos"/>
          <w:i/>
          <w:iCs/>
        </w:rPr>
        <w:t>Billion</w:t>
      </w:r>
      <w:proofErr w:type="gramEnd"/>
      <w:r w:rsidRPr="053CA8BF">
        <w:rPr>
          <w:rFonts w:ascii="Aptos" w:eastAsia="Aptos" w:hAnsi="Aptos" w:cs="Aptos"/>
          <w:i/>
          <w:iCs/>
        </w:rPr>
        <w:t xml:space="preserve"> Monthly Transactions</w:t>
      </w:r>
      <w:r w:rsidRPr="053CA8BF">
        <w:rPr>
          <w:rFonts w:ascii="Aptos" w:eastAsia="Aptos" w:hAnsi="Aptos" w:cs="Aptos"/>
        </w:rPr>
        <w:t xml:space="preserve">. Retrieved from </w:t>
      </w:r>
      <w:hyperlink r:id="rId4">
        <w:r w:rsidRPr="053CA8BF">
          <w:rPr>
            <w:rStyle w:val="Hyperlink"/>
            <w:rFonts w:ascii="Aptos" w:eastAsia="Aptos" w:hAnsi="Aptos" w:cs="Aptos"/>
          </w:rPr>
          <w:t>https://timesofindia.indiatimes.com/business/india-business/upi-surge-india-leads-the-world-in-fast-payments-18-billion-monthly-transactions-power-growth/articleshow/122797610.cms</w:t>
        </w:r>
      </w:hyperlink>
    </w:p>
  </w:footnote>
  <w:footnote w:id="4">
    <w:p w14:paraId="10C5429E" w14:textId="5409ACA5" w:rsidR="053CA8BF" w:rsidRDefault="053CA8BF" w:rsidP="053CA8BF">
      <w:pPr>
        <w:pStyle w:val="FootnoteText"/>
      </w:pPr>
      <w:r w:rsidRPr="053CA8BF">
        <w:rPr>
          <w:rStyle w:val="FootnoteReference"/>
          <w:rFonts w:ascii="Aptos" w:eastAsia="Aptos" w:hAnsi="Aptos" w:cs="Aptos"/>
        </w:rPr>
        <w:footnoteRef/>
      </w:r>
      <w:r w:rsidRPr="053CA8BF">
        <w:rPr>
          <w:rFonts w:ascii="Aptos" w:eastAsia="Aptos" w:hAnsi="Aptos" w:cs="Aptos"/>
        </w:rPr>
        <w:t xml:space="preserve"> Westpac. (2025, May 28). </w:t>
      </w:r>
      <w:r w:rsidRPr="053CA8BF">
        <w:rPr>
          <w:rFonts w:ascii="Aptos" w:eastAsia="Aptos" w:hAnsi="Aptos" w:cs="Aptos"/>
          <w:i/>
          <w:iCs/>
        </w:rPr>
        <w:t>New Survey Finds Early Winners in the Real-Time Revolution</w:t>
      </w:r>
      <w:r w:rsidRPr="053CA8BF">
        <w:rPr>
          <w:rFonts w:ascii="Aptos" w:eastAsia="Aptos" w:hAnsi="Aptos" w:cs="Aptos"/>
        </w:rPr>
        <w:t xml:space="preserve">. Sydney: Westpac. Retrieved from </w:t>
      </w:r>
      <w:hyperlink r:id="rId5">
        <w:r w:rsidRPr="053CA8BF">
          <w:rPr>
            <w:rStyle w:val="Hyperlink"/>
            <w:rFonts w:ascii="Aptos" w:eastAsia="Aptos" w:hAnsi="Aptos" w:cs="Aptos"/>
          </w:rPr>
          <w:t>https://www.westpac.com.au/about-westpac/media/media-releases/2025/28-may</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BB50E1"/>
    <w:multiLevelType w:val="hybridMultilevel"/>
    <w:tmpl w:val="9EC09DBE"/>
    <w:lvl w:ilvl="0" w:tplc="12743D26">
      <w:start w:val="1"/>
      <w:numFmt w:val="decimal"/>
      <w:lvlText w:val="%1."/>
      <w:lvlJc w:val="left"/>
      <w:pPr>
        <w:ind w:left="720" w:hanging="360"/>
      </w:pPr>
    </w:lvl>
    <w:lvl w:ilvl="1" w:tplc="57D86470">
      <w:start w:val="1"/>
      <w:numFmt w:val="lowerLetter"/>
      <w:lvlText w:val="%2."/>
      <w:lvlJc w:val="left"/>
      <w:pPr>
        <w:ind w:left="1440" w:hanging="360"/>
      </w:pPr>
    </w:lvl>
    <w:lvl w:ilvl="2" w:tplc="A05A10C2">
      <w:start w:val="1"/>
      <w:numFmt w:val="lowerRoman"/>
      <w:lvlText w:val="%3."/>
      <w:lvlJc w:val="right"/>
      <w:pPr>
        <w:ind w:left="2160" w:hanging="180"/>
      </w:pPr>
    </w:lvl>
    <w:lvl w:ilvl="3" w:tplc="5E94BD34">
      <w:start w:val="1"/>
      <w:numFmt w:val="decimal"/>
      <w:lvlText w:val="%4."/>
      <w:lvlJc w:val="left"/>
      <w:pPr>
        <w:ind w:left="2880" w:hanging="360"/>
      </w:pPr>
    </w:lvl>
    <w:lvl w:ilvl="4" w:tplc="29B8D254">
      <w:start w:val="1"/>
      <w:numFmt w:val="lowerLetter"/>
      <w:lvlText w:val="%5."/>
      <w:lvlJc w:val="left"/>
      <w:pPr>
        <w:ind w:left="3600" w:hanging="360"/>
      </w:pPr>
    </w:lvl>
    <w:lvl w:ilvl="5" w:tplc="7FDCB39C">
      <w:start w:val="1"/>
      <w:numFmt w:val="lowerRoman"/>
      <w:lvlText w:val="%6."/>
      <w:lvlJc w:val="right"/>
      <w:pPr>
        <w:ind w:left="4320" w:hanging="180"/>
      </w:pPr>
    </w:lvl>
    <w:lvl w:ilvl="6" w:tplc="F502D590">
      <w:start w:val="1"/>
      <w:numFmt w:val="decimal"/>
      <w:lvlText w:val="%7."/>
      <w:lvlJc w:val="left"/>
      <w:pPr>
        <w:ind w:left="5040" w:hanging="360"/>
      </w:pPr>
    </w:lvl>
    <w:lvl w:ilvl="7" w:tplc="ACB638C6">
      <w:start w:val="1"/>
      <w:numFmt w:val="lowerLetter"/>
      <w:lvlText w:val="%8."/>
      <w:lvlJc w:val="left"/>
      <w:pPr>
        <w:ind w:left="5760" w:hanging="360"/>
      </w:pPr>
    </w:lvl>
    <w:lvl w:ilvl="8" w:tplc="820683DA">
      <w:start w:val="1"/>
      <w:numFmt w:val="lowerRoman"/>
      <w:lvlText w:val="%9."/>
      <w:lvlJc w:val="right"/>
      <w:pPr>
        <w:ind w:left="6480" w:hanging="180"/>
      </w:pPr>
    </w:lvl>
  </w:abstractNum>
  <w:abstractNum w:abstractNumId="1" w15:restartNumberingAfterBreak="0">
    <w:nsid w:val="3683E1E6"/>
    <w:multiLevelType w:val="hybridMultilevel"/>
    <w:tmpl w:val="D54692C2"/>
    <w:lvl w:ilvl="0" w:tplc="CAC6CA7A">
      <w:start w:val="1"/>
      <w:numFmt w:val="decimal"/>
      <w:lvlText w:val="%1."/>
      <w:lvlJc w:val="left"/>
      <w:pPr>
        <w:ind w:left="720" w:hanging="360"/>
      </w:pPr>
    </w:lvl>
    <w:lvl w:ilvl="1" w:tplc="55726BF4">
      <w:start w:val="1"/>
      <w:numFmt w:val="lowerLetter"/>
      <w:lvlText w:val="%2."/>
      <w:lvlJc w:val="left"/>
      <w:pPr>
        <w:ind w:left="1440" w:hanging="360"/>
      </w:pPr>
    </w:lvl>
    <w:lvl w:ilvl="2" w:tplc="D5D4DE76">
      <w:start w:val="1"/>
      <w:numFmt w:val="lowerRoman"/>
      <w:lvlText w:val="%3."/>
      <w:lvlJc w:val="right"/>
      <w:pPr>
        <w:ind w:left="2160" w:hanging="180"/>
      </w:pPr>
    </w:lvl>
    <w:lvl w:ilvl="3" w:tplc="DBDC1FCC">
      <w:start w:val="1"/>
      <w:numFmt w:val="decimal"/>
      <w:lvlText w:val="%4."/>
      <w:lvlJc w:val="left"/>
      <w:pPr>
        <w:ind w:left="2880" w:hanging="360"/>
      </w:pPr>
    </w:lvl>
    <w:lvl w:ilvl="4" w:tplc="52FC22C2">
      <w:start w:val="1"/>
      <w:numFmt w:val="lowerLetter"/>
      <w:lvlText w:val="%5."/>
      <w:lvlJc w:val="left"/>
      <w:pPr>
        <w:ind w:left="3600" w:hanging="360"/>
      </w:pPr>
    </w:lvl>
    <w:lvl w:ilvl="5" w:tplc="B616EF42">
      <w:start w:val="1"/>
      <w:numFmt w:val="lowerRoman"/>
      <w:lvlText w:val="%6."/>
      <w:lvlJc w:val="right"/>
      <w:pPr>
        <w:ind w:left="4320" w:hanging="180"/>
      </w:pPr>
    </w:lvl>
    <w:lvl w:ilvl="6" w:tplc="4EA20F00">
      <w:start w:val="1"/>
      <w:numFmt w:val="decimal"/>
      <w:lvlText w:val="%7."/>
      <w:lvlJc w:val="left"/>
      <w:pPr>
        <w:ind w:left="5040" w:hanging="360"/>
      </w:pPr>
    </w:lvl>
    <w:lvl w:ilvl="7" w:tplc="E34EE7CA">
      <w:start w:val="1"/>
      <w:numFmt w:val="lowerLetter"/>
      <w:lvlText w:val="%8."/>
      <w:lvlJc w:val="left"/>
      <w:pPr>
        <w:ind w:left="5760" w:hanging="360"/>
      </w:pPr>
    </w:lvl>
    <w:lvl w:ilvl="8" w:tplc="B0289BE6">
      <w:start w:val="1"/>
      <w:numFmt w:val="lowerRoman"/>
      <w:lvlText w:val="%9."/>
      <w:lvlJc w:val="right"/>
      <w:pPr>
        <w:ind w:left="6480" w:hanging="180"/>
      </w:pPr>
    </w:lvl>
  </w:abstractNum>
  <w:abstractNum w:abstractNumId="2" w15:restartNumberingAfterBreak="0">
    <w:nsid w:val="580FCE0B"/>
    <w:multiLevelType w:val="hybridMultilevel"/>
    <w:tmpl w:val="7E68FEB4"/>
    <w:lvl w:ilvl="0" w:tplc="FF38B094">
      <w:start w:val="1"/>
      <w:numFmt w:val="decimal"/>
      <w:lvlText w:val="%1."/>
      <w:lvlJc w:val="left"/>
      <w:pPr>
        <w:ind w:left="720" w:hanging="360"/>
      </w:pPr>
    </w:lvl>
    <w:lvl w:ilvl="1" w:tplc="9CE0BE7C">
      <w:start w:val="1"/>
      <w:numFmt w:val="lowerLetter"/>
      <w:lvlText w:val="%2."/>
      <w:lvlJc w:val="left"/>
      <w:pPr>
        <w:ind w:left="1440" w:hanging="360"/>
      </w:pPr>
    </w:lvl>
    <w:lvl w:ilvl="2" w:tplc="1DCED61E">
      <w:start w:val="1"/>
      <w:numFmt w:val="lowerRoman"/>
      <w:lvlText w:val="%3."/>
      <w:lvlJc w:val="right"/>
      <w:pPr>
        <w:ind w:left="2160" w:hanging="180"/>
      </w:pPr>
    </w:lvl>
    <w:lvl w:ilvl="3" w:tplc="C9EA912C">
      <w:start w:val="1"/>
      <w:numFmt w:val="decimal"/>
      <w:lvlText w:val="%4."/>
      <w:lvlJc w:val="left"/>
      <w:pPr>
        <w:ind w:left="2880" w:hanging="360"/>
      </w:pPr>
    </w:lvl>
    <w:lvl w:ilvl="4" w:tplc="E38AA538">
      <w:start w:val="1"/>
      <w:numFmt w:val="lowerLetter"/>
      <w:lvlText w:val="%5."/>
      <w:lvlJc w:val="left"/>
      <w:pPr>
        <w:ind w:left="3600" w:hanging="360"/>
      </w:pPr>
    </w:lvl>
    <w:lvl w:ilvl="5" w:tplc="FFC0F104">
      <w:start w:val="1"/>
      <w:numFmt w:val="lowerRoman"/>
      <w:lvlText w:val="%6."/>
      <w:lvlJc w:val="right"/>
      <w:pPr>
        <w:ind w:left="4320" w:hanging="180"/>
      </w:pPr>
    </w:lvl>
    <w:lvl w:ilvl="6" w:tplc="D9004FCE">
      <w:start w:val="1"/>
      <w:numFmt w:val="decimal"/>
      <w:lvlText w:val="%7."/>
      <w:lvlJc w:val="left"/>
      <w:pPr>
        <w:ind w:left="5040" w:hanging="360"/>
      </w:pPr>
    </w:lvl>
    <w:lvl w:ilvl="7" w:tplc="23189212">
      <w:start w:val="1"/>
      <w:numFmt w:val="lowerLetter"/>
      <w:lvlText w:val="%8."/>
      <w:lvlJc w:val="left"/>
      <w:pPr>
        <w:ind w:left="5760" w:hanging="360"/>
      </w:pPr>
    </w:lvl>
    <w:lvl w:ilvl="8" w:tplc="3984EF1A">
      <w:start w:val="1"/>
      <w:numFmt w:val="lowerRoman"/>
      <w:lvlText w:val="%9."/>
      <w:lvlJc w:val="right"/>
      <w:pPr>
        <w:ind w:left="6480" w:hanging="180"/>
      </w:pPr>
    </w:lvl>
  </w:abstractNum>
  <w:abstractNum w:abstractNumId="3" w15:restartNumberingAfterBreak="0">
    <w:nsid w:val="5963551F"/>
    <w:multiLevelType w:val="hybridMultilevel"/>
    <w:tmpl w:val="D55EFC7C"/>
    <w:lvl w:ilvl="0" w:tplc="C86ED840">
      <w:start w:val="1"/>
      <w:numFmt w:val="decimal"/>
      <w:lvlText w:val="%1."/>
      <w:lvlJc w:val="left"/>
      <w:pPr>
        <w:ind w:left="720" w:hanging="360"/>
      </w:pPr>
    </w:lvl>
    <w:lvl w:ilvl="1" w:tplc="BF8254A8">
      <w:start w:val="1"/>
      <w:numFmt w:val="lowerLetter"/>
      <w:lvlText w:val="%2."/>
      <w:lvlJc w:val="left"/>
      <w:pPr>
        <w:ind w:left="1440" w:hanging="360"/>
      </w:pPr>
    </w:lvl>
    <w:lvl w:ilvl="2" w:tplc="0422CB46">
      <w:start w:val="1"/>
      <w:numFmt w:val="lowerRoman"/>
      <w:lvlText w:val="%3."/>
      <w:lvlJc w:val="right"/>
      <w:pPr>
        <w:ind w:left="2160" w:hanging="180"/>
      </w:pPr>
    </w:lvl>
    <w:lvl w:ilvl="3" w:tplc="CA584D74">
      <w:start w:val="1"/>
      <w:numFmt w:val="decimal"/>
      <w:lvlText w:val="%4."/>
      <w:lvlJc w:val="left"/>
      <w:pPr>
        <w:ind w:left="2880" w:hanging="360"/>
      </w:pPr>
    </w:lvl>
    <w:lvl w:ilvl="4" w:tplc="D5802820">
      <w:start w:val="1"/>
      <w:numFmt w:val="lowerLetter"/>
      <w:lvlText w:val="%5."/>
      <w:lvlJc w:val="left"/>
      <w:pPr>
        <w:ind w:left="3600" w:hanging="360"/>
      </w:pPr>
    </w:lvl>
    <w:lvl w:ilvl="5" w:tplc="B9B4A820">
      <w:start w:val="1"/>
      <w:numFmt w:val="lowerRoman"/>
      <w:lvlText w:val="%6."/>
      <w:lvlJc w:val="right"/>
      <w:pPr>
        <w:ind w:left="4320" w:hanging="180"/>
      </w:pPr>
    </w:lvl>
    <w:lvl w:ilvl="6" w:tplc="43940732">
      <w:start w:val="1"/>
      <w:numFmt w:val="decimal"/>
      <w:lvlText w:val="%7."/>
      <w:lvlJc w:val="left"/>
      <w:pPr>
        <w:ind w:left="5040" w:hanging="360"/>
      </w:pPr>
    </w:lvl>
    <w:lvl w:ilvl="7" w:tplc="712AD2B6">
      <w:start w:val="1"/>
      <w:numFmt w:val="lowerLetter"/>
      <w:lvlText w:val="%8."/>
      <w:lvlJc w:val="left"/>
      <w:pPr>
        <w:ind w:left="5760" w:hanging="360"/>
      </w:pPr>
    </w:lvl>
    <w:lvl w:ilvl="8" w:tplc="44447482">
      <w:start w:val="1"/>
      <w:numFmt w:val="lowerRoman"/>
      <w:lvlText w:val="%9."/>
      <w:lvlJc w:val="right"/>
      <w:pPr>
        <w:ind w:left="6480" w:hanging="180"/>
      </w:pPr>
    </w:lvl>
  </w:abstractNum>
  <w:abstractNum w:abstractNumId="4" w15:restartNumberingAfterBreak="0">
    <w:nsid w:val="6529FC2B"/>
    <w:multiLevelType w:val="hybridMultilevel"/>
    <w:tmpl w:val="794A87AA"/>
    <w:lvl w:ilvl="0" w:tplc="127C8DDE">
      <w:start w:val="1"/>
      <w:numFmt w:val="bullet"/>
      <w:lvlText w:val=""/>
      <w:lvlJc w:val="left"/>
      <w:pPr>
        <w:ind w:left="720" w:hanging="360"/>
      </w:pPr>
      <w:rPr>
        <w:rFonts w:ascii="Symbol" w:hAnsi="Symbol" w:hint="default"/>
      </w:rPr>
    </w:lvl>
    <w:lvl w:ilvl="1" w:tplc="22DEF272">
      <w:start w:val="1"/>
      <w:numFmt w:val="bullet"/>
      <w:lvlText w:val="o"/>
      <w:lvlJc w:val="left"/>
      <w:pPr>
        <w:ind w:left="1440" w:hanging="360"/>
      </w:pPr>
      <w:rPr>
        <w:rFonts w:ascii="Courier New" w:hAnsi="Courier New" w:hint="default"/>
      </w:rPr>
    </w:lvl>
    <w:lvl w:ilvl="2" w:tplc="BAE09B0A">
      <w:start w:val="1"/>
      <w:numFmt w:val="bullet"/>
      <w:lvlText w:val=""/>
      <w:lvlJc w:val="left"/>
      <w:pPr>
        <w:ind w:left="2160" w:hanging="360"/>
      </w:pPr>
      <w:rPr>
        <w:rFonts w:ascii="Wingdings" w:hAnsi="Wingdings" w:hint="default"/>
      </w:rPr>
    </w:lvl>
    <w:lvl w:ilvl="3" w:tplc="4006BA5C">
      <w:start w:val="1"/>
      <w:numFmt w:val="bullet"/>
      <w:lvlText w:val=""/>
      <w:lvlJc w:val="left"/>
      <w:pPr>
        <w:ind w:left="2880" w:hanging="360"/>
      </w:pPr>
      <w:rPr>
        <w:rFonts w:ascii="Symbol" w:hAnsi="Symbol" w:hint="default"/>
      </w:rPr>
    </w:lvl>
    <w:lvl w:ilvl="4" w:tplc="E188D158">
      <w:start w:val="1"/>
      <w:numFmt w:val="bullet"/>
      <w:lvlText w:val="o"/>
      <w:lvlJc w:val="left"/>
      <w:pPr>
        <w:ind w:left="3600" w:hanging="360"/>
      </w:pPr>
      <w:rPr>
        <w:rFonts w:ascii="Courier New" w:hAnsi="Courier New" w:hint="default"/>
      </w:rPr>
    </w:lvl>
    <w:lvl w:ilvl="5" w:tplc="DA347794">
      <w:start w:val="1"/>
      <w:numFmt w:val="bullet"/>
      <w:lvlText w:val=""/>
      <w:lvlJc w:val="left"/>
      <w:pPr>
        <w:ind w:left="4320" w:hanging="360"/>
      </w:pPr>
      <w:rPr>
        <w:rFonts w:ascii="Wingdings" w:hAnsi="Wingdings" w:hint="default"/>
      </w:rPr>
    </w:lvl>
    <w:lvl w:ilvl="6" w:tplc="EDCC5066">
      <w:start w:val="1"/>
      <w:numFmt w:val="bullet"/>
      <w:lvlText w:val=""/>
      <w:lvlJc w:val="left"/>
      <w:pPr>
        <w:ind w:left="5040" w:hanging="360"/>
      </w:pPr>
      <w:rPr>
        <w:rFonts w:ascii="Symbol" w:hAnsi="Symbol" w:hint="default"/>
      </w:rPr>
    </w:lvl>
    <w:lvl w:ilvl="7" w:tplc="BF8E2FFE">
      <w:start w:val="1"/>
      <w:numFmt w:val="bullet"/>
      <w:lvlText w:val="o"/>
      <w:lvlJc w:val="left"/>
      <w:pPr>
        <w:ind w:left="5760" w:hanging="360"/>
      </w:pPr>
      <w:rPr>
        <w:rFonts w:ascii="Courier New" w:hAnsi="Courier New" w:hint="default"/>
      </w:rPr>
    </w:lvl>
    <w:lvl w:ilvl="8" w:tplc="6F744470">
      <w:start w:val="1"/>
      <w:numFmt w:val="bullet"/>
      <w:lvlText w:val=""/>
      <w:lvlJc w:val="left"/>
      <w:pPr>
        <w:ind w:left="6480" w:hanging="360"/>
      </w:pPr>
      <w:rPr>
        <w:rFonts w:ascii="Wingdings" w:hAnsi="Wingdings" w:hint="default"/>
      </w:rPr>
    </w:lvl>
  </w:abstractNum>
  <w:abstractNum w:abstractNumId="5" w15:restartNumberingAfterBreak="0">
    <w:nsid w:val="65491F47"/>
    <w:multiLevelType w:val="hybridMultilevel"/>
    <w:tmpl w:val="8E2CBF9E"/>
    <w:lvl w:ilvl="0" w:tplc="929E61AC">
      <w:start w:val="1"/>
      <w:numFmt w:val="bullet"/>
      <w:lvlText w:val=""/>
      <w:lvlJc w:val="left"/>
      <w:pPr>
        <w:ind w:left="720" w:hanging="360"/>
      </w:pPr>
      <w:rPr>
        <w:rFonts w:ascii="Symbol" w:hAnsi="Symbol" w:hint="default"/>
      </w:rPr>
    </w:lvl>
    <w:lvl w:ilvl="1" w:tplc="900CB1C6">
      <w:start w:val="1"/>
      <w:numFmt w:val="bullet"/>
      <w:lvlText w:val="o"/>
      <w:lvlJc w:val="left"/>
      <w:pPr>
        <w:ind w:left="1440" w:hanging="360"/>
      </w:pPr>
      <w:rPr>
        <w:rFonts w:ascii="Courier New" w:hAnsi="Courier New" w:hint="default"/>
      </w:rPr>
    </w:lvl>
    <w:lvl w:ilvl="2" w:tplc="859A0642">
      <w:start w:val="1"/>
      <w:numFmt w:val="bullet"/>
      <w:lvlText w:val=""/>
      <w:lvlJc w:val="left"/>
      <w:pPr>
        <w:ind w:left="2160" w:hanging="360"/>
      </w:pPr>
      <w:rPr>
        <w:rFonts w:ascii="Wingdings" w:hAnsi="Wingdings" w:hint="default"/>
      </w:rPr>
    </w:lvl>
    <w:lvl w:ilvl="3" w:tplc="6A5EFEC8">
      <w:start w:val="1"/>
      <w:numFmt w:val="bullet"/>
      <w:lvlText w:val=""/>
      <w:lvlJc w:val="left"/>
      <w:pPr>
        <w:ind w:left="2880" w:hanging="360"/>
      </w:pPr>
      <w:rPr>
        <w:rFonts w:ascii="Symbol" w:hAnsi="Symbol" w:hint="default"/>
      </w:rPr>
    </w:lvl>
    <w:lvl w:ilvl="4" w:tplc="04CC8570">
      <w:start w:val="1"/>
      <w:numFmt w:val="bullet"/>
      <w:lvlText w:val="o"/>
      <w:lvlJc w:val="left"/>
      <w:pPr>
        <w:ind w:left="3600" w:hanging="360"/>
      </w:pPr>
      <w:rPr>
        <w:rFonts w:ascii="Courier New" w:hAnsi="Courier New" w:hint="default"/>
      </w:rPr>
    </w:lvl>
    <w:lvl w:ilvl="5" w:tplc="95F8F690">
      <w:start w:val="1"/>
      <w:numFmt w:val="bullet"/>
      <w:lvlText w:val=""/>
      <w:lvlJc w:val="left"/>
      <w:pPr>
        <w:ind w:left="4320" w:hanging="360"/>
      </w:pPr>
      <w:rPr>
        <w:rFonts w:ascii="Wingdings" w:hAnsi="Wingdings" w:hint="default"/>
      </w:rPr>
    </w:lvl>
    <w:lvl w:ilvl="6" w:tplc="8DCA1A7E">
      <w:start w:val="1"/>
      <w:numFmt w:val="bullet"/>
      <w:lvlText w:val=""/>
      <w:lvlJc w:val="left"/>
      <w:pPr>
        <w:ind w:left="5040" w:hanging="360"/>
      </w:pPr>
      <w:rPr>
        <w:rFonts w:ascii="Symbol" w:hAnsi="Symbol" w:hint="default"/>
      </w:rPr>
    </w:lvl>
    <w:lvl w:ilvl="7" w:tplc="B44EC438">
      <w:start w:val="1"/>
      <w:numFmt w:val="bullet"/>
      <w:lvlText w:val="o"/>
      <w:lvlJc w:val="left"/>
      <w:pPr>
        <w:ind w:left="5760" w:hanging="360"/>
      </w:pPr>
      <w:rPr>
        <w:rFonts w:ascii="Courier New" w:hAnsi="Courier New" w:hint="default"/>
      </w:rPr>
    </w:lvl>
    <w:lvl w:ilvl="8" w:tplc="11041398">
      <w:start w:val="1"/>
      <w:numFmt w:val="bullet"/>
      <w:lvlText w:val=""/>
      <w:lvlJc w:val="left"/>
      <w:pPr>
        <w:ind w:left="6480" w:hanging="360"/>
      </w:pPr>
      <w:rPr>
        <w:rFonts w:ascii="Wingdings" w:hAnsi="Wingdings" w:hint="default"/>
      </w:rPr>
    </w:lvl>
  </w:abstractNum>
  <w:abstractNum w:abstractNumId="6" w15:restartNumberingAfterBreak="0">
    <w:nsid w:val="6A72F4BD"/>
    <w:multiLevelType w:val="hybridMultilevel"/>
    <w:tmpl w:val="4ED22682"/>
    <w:lvl w:ilvl="0" w:tplc="D59EB794">
      <w:start w:val="1"/>
      <w:numFmt w:val="bullet"/>
      <w:lvlText w:val=""/>
      <w:lvlJc w:val="left"/>
      <w:pPr>
        <w:ind w:left="720" w:hanging="360"/>
      </w:pPr>
      <w:rPr>
        <w:rFonts w:ascii="Symbol" w:hAnsi="Symbol" w:hint="default"/>
      </w:rPr>
    </w:lvl>
    <w:lvl w:ilvl="1" w:tplc="4120C472">
      <w:start w:val="1"/>
      <w:numFmt w:val="bullet"/>
      <w:lvlText w:val="o"/>
      <w:lvlJc w:val="left"/>
      <w:pPr>
        <w:ind w:left="1440" w:hanging="360"/>
      </w:pPr>
      <w:rPr>
        <w:rFonts w:ascii="Courier New" w:hAnsi="Courier New" w:hint="default"/>
      </w:rPr>
    </w:lvl>
    <w:lvl w:ilvl="2" w:tplc="EC8AFABE">
      <w:start w:val="1"/>
      <w:numFmt w:val="bullet"/>
      <w:lvlText w:val=""/>
      <w:lvlJc w:val="left"/>
      <w:pPr>
        <w:ind w:left="2160" w:hanging="360"/>
      </w:pPr>
      <w:rPr>
        <w:rFonts w:ascii="Wingdings" w:hAnsi="Wingdings" w:hint="default"/>
      </w:rPr>
    </w:lvl>
    <w:lvl w:ilvl="3" w:tplc="F8F682A4">
      <w:start w:val="1"/>
      <w:numFmt w:val="bullet"/>
      <w:lvlText w:val=""/>
      <w:lvlJc w:val="left"/>
      <w:pPr>
        <w:ind w:left="2880" w:hanging="360"/>
      </w:pPr>
      <w:rPr>
        <w:rFonts w:ascii="Symbol" w:hAnsi="Symbol" w:hint="default"/>
      </w:rPr>
    </w:lvl>
    <w:lvl w:ilvl="4" w:tplc="327AC776">
      <w:start w:val="1"/>
      <w:numFmt w:val="bullet"/>
      <w:lvlText w:val="o"/>
      <w:lvlJc w:val="left"/>
      <w:pPr>
        <w:ind w:left="3600" w:hanging="360"/>
      </w:pPr>
      <w:rPr>
        <w:rFonts w:ascii="Courier New" w:hAnsi="Courier New" w:hint="default"/>
      </w:rPr>
    </w:lvl>
    <w:lvl w:ilvl="5" w:tplc="8C3AFF3C">
      <w:start w:val="1"/>
      <w:numFmt w:val="bullet"/>
      <w:lvlText w:val=""/>
      <w:lvlJc w:val="left"/>
      <w:pPr>
        <w:ind w:left="4320" w:hanging="360"/>
      </w:pPr>
      <w:rPr>
        <w:rFonts w:ascii="Wingdings" w:hAnsi="Wingdings" w:hint="default"/>
      </w:rPr>
    </w:lvl>
    <w:lvl w:ilvl="6" w:tplc="5BD8CD64">
      <w:start w:val="1"/>
      <w:numFmt w:val="bullet"/>
      <w:lvlText w:val=""/>
      <w:lvlJc w:val="left"/>
      <w:pPr>
        <w:ind w:left="5040" w:hanging="360"/>
      </w:pPr>
      <w:rPr>
        <w:rFonts w:ascii="Symbol" w:hAnsi="Symbol" w:hint="default"/>
      </w:rPr>
    </w:lvl>
    <w:lvl w:ilvl="7" w:tplc="F13C4A30">
      <w:start w:val="1"/>
      <w:numFmt w:val="bullet"/>
      <w:lvlText w:val="o"/>
      <w:lvlJc w:val="left"/>
      <w:pPr>
        <w:ind w:left="5760" w:hanging="360"/>
      </w:pPr>
      <w:rPr>
        <w:rFonts w:ascii="Courier New" w:hAnsi="Courier New" w:hint="default"/>
      </w:rPr>
    </w:lvl>
    <w:lvl w:ilvl="8" w:tplc="66CAC60A">
      <w:start w:val="1"/>
      <w:numFmt w:val="bullet"/>
      <w:lvlText w:val=""/>
      <w:lvlJc w:val="left"/>
      <w:pPr>
        <w:ind w:left="6480" w:hanging="360"/>
      </w:pPr>
      <w:rPr>
        <w:rFonts w:ascii="Wingdings" w:hAnsi="Wingdings" w:hint="default"/>
      </w:rPr>
    </w:lvl>
  </w:abstractNum>
  <w:abstractNum w:abstractNumId="7" w15:restartNumberingAfterBreak="0">
    <w:nsid w:val="6B29310F"/>
    <w:multiLevelType w:val="hybridMultilevel"/>
    <w:tmpl w:val="A816F960"/>
    <w:lvl w:ilvl="0" w:tplc="86D28ECA">
      <w:start w:val="1"/>
      <w:numFmt w:val="decimal"/>
      <w:lvlText w:val="%1."/>
      <w:lvlJc w:val="left"/>
      <w:pPr>
        <w:ind w:left="720" w:hanging="360"/>
      </w:pPr>
    </w:lvl>
    <w:lvl w:ilvl="1" w:tplc="4D9EF872">
      <w:start w:val="1"/>
      <w:numFmt w:val="lowerLetter"/>
      <w:lvlText w:val="%2."/>
      <w:lvlJc w:val="left"/>
      <w:pPr>
        <w:ind w:left="1440" w:hanging="360"/>
      </w:pPr>
    </w:lvl>
    <w:lvl w:ilvl="2" w:tplc="B9AECE08">
      <w:start w:val="1"/>
      <w:numFmt w:val="lowerRoman"/>
      <w:lvlText w:val="%3."/>
      <w:lvlJc w:val="right"/>
      <w:pPr>
        <w:ind w:left="2160" w:hanging="180"/>
      </w:pPr>
    </w:lvl>
    <w:lvl w:ilvl="3" w:tplc="C0D09F36">
      <w:start w:val="1"/>
      <w:numFmt w:val="decimal"/>
      <w:lvlText w:val="%4."/>
      <w:lvlJc w:val="left"/>
      <w:pPr>
        <w:ind w:left="2880" w:hanging="360"/>
      </w:pPr>
    </w:lvl>
    <w:lvl w:ilvl="4" w:tplc="5D8AF180">
      <w:start w:val="1"/>
      <w:numFmt w:val="lowerLetter"/>
      <w:lvlText w:val="%5."/>
      <w:lvlJc w:val="left"/>
      <w:pPr>
        <w:ind w:left="3600" w:hanging="360"/>
      </w:pPr>
    </w:lvl>
    <w:lvl w:ilvl="5" w:tplc="7718725C">
      <w:start w:val="1"/>
      <w:numFmt w:val="lowerRoman"/>
      <w:lvlText w:val="%6."/>
      <w:lvlJc w:val="right"/>
      <w:pPr>
        <w:ind w:left="4320" w:hanging="180"/>
      </w:pPr>
    </w:lvl>
    <w:lvl w:ilvl="6" w:tplc="CD92E222">
      <w:start w:val="1"/>
      <w:numFmt w:val="decimal"/>
      <w:lvlText w:val="%7."/>
      <w:lvlJc w:val="left"/>
      <w:pPr>
        <w:ind w:left="5040" w:hanging="360"/>
      </w:pPr>
    </w:lvl>
    <w:lvl w:ilvl="7" w:tplc="DF266752">
      <w:start w:val="1"/>
      <w:numFmt w:val="lowerLetter"/>
      <w:lvlText w:val="%8."/>
      <w:lvlJc w:val="left"/>
      <w:pPr>
        <w:ind w:left="5760" w:hanging="360"/>
      </w:pPr>
    </w:lvl>
    <w:lvl w:ilvl="8" w:tplc="55B2E8FA">
      <w:start w:val="1"/>
      <w:numFmt w:val="lowerRoman"/>
      <w:lvlText w:val="%9."/>
      <w:lvlJc w:val="right"/>
      <w:pPr>
        <w:ind w:left="6480" w:hanging="180"/>
      </w:pPr>
    </w:lvl>
  </w:abstractNum>
  <w:abstractNum w:abstractNumId="8" w15:restartNumberingAfterBreak="0">
    <w:nsid w:val="718B1039"/>
    <w:multiLevelType w:val="hybridMultilevel"/>
    <w:tmpl w:val="D6FC389A"/>
    <w:lvl w:ilvl="0" w:tplc="E07452CE">
      <w:start w:val="1"/>
      <w:numFmt w:val="decimal"/>
      <w:lvlText w:val="%1."/>
      <w:lvlJc w:val="left"/>
      <w:pPr>
        <w:ind w:left="720" w:hanging="360"/>
      </w:pPr>
    </w:lvl>
    <w:lvl w:ilvl="1" w:tplc="3168B72E">
      <w:start w:val="1"/>
      <w:numFmt w:val="lowerLetter"/>
      <w:lvlText w:val="%2."/>
      <w:lvlJc w:val="left"/>
      <w:pPr>
        <w:ind w:left="1440" w:hanging="360"/>
      </w:pPr>
    </w:lvl>
    <w:lvl w:ilvl="2" w:tplc="D514DBC6">
      <w:start w:val="1"/>
      <w:numFmt w:val="lowerRoman"/>
      <w:lvlText w:val="%3."/>
      <w:lvlJc w:val="right"/>
      <w:pPr>
        <w:ind w:left="2160" w:hanging="180"/>
      </w:pPr>
    </w:lvl>
    <w:lvl w:ilvl="3" w:tplc="CC6C02F2">
      <w:start w:val="1"/>
      <w:numFmt w:val="decimal"/>
      <w:lvlText w:val="%4."/>
      <w:lvlJc w:val="left"/>
      <w:pPr>
        <w:ind w:left="2880" w:hanging="360"/>
      </w:pPr>
    </w:lvl>
    <w:lvl w:ilvl="4" w:tplc="810E81EA">
      <w:start w:val="1"/>
      <w:numFmt w:val="lowerLetter"/>
      <w:lvlText w:val="%5."/>
      <w:lvlJc w:val="left"/>
      <w:pPr>
        <w:ind w:left="3600" w:hanging="360"/>
      </w:pPr>
    </w:lvl>
    <w:lvl w:ilvl="5" w:tplc="5F247CC6">
      <w:start w:val="1"/>
      <w:numFmt w:val="lowerRoman"/>
      <w:lvlText w:val="%6."/>
      <w:lvlJc w:val="right"/>
      <w:pPr>
        <w:ind w:left="4320" w:hanging="180"/>
      </w:pPr>
    </w:lvl>
    <w:lvl w:ilvl="6" w:tplc="1D28E9DA">
      <w:start w:val="1"/>
      <w:numFmt w:val="decimal"/>
      <w:lvlText w:val="%7."/>
      <w:lvlJc w:val="left"/>
      <w:pPr>
        <w:ind w:left="5040" w:hanging="360"/>
      </w:pPr>
    </w:lvl>
    <w:lvl w:ilvl="7" w:tplc="CC706988">
      <w:start w:val="1"/>
      <w:numFmt w:val="lowerLetter"/>
      <w:lvlText w:val="%8."/>
      <w:lvlJc w:val="left"/>
      <w:pPr>
        <w:ind w:left="5760" w:hanging="360"/>
      </w:pPr>
    </w:lvl>
    <w:lvl w:ilvl="8" w:tplc="11589E64">
      <w:start w:val="1"/>
      <w:numFmt w:val="lowerRoman"/>
      <w:lvlText w:val="%9."/>
      <w:lvlJc w:val="right"/>
      <w:pPr>
        <w:ind w:left="6480" w:hanging="180"/>
      </w:pPr>
    </w:lvl>
  </w:abstractNum>
  <w:abstractNum w:abstractNumId="9" w15:restartNumberingAfterBreak="0">
    <w:nsid w:val="7530A860"/>
    <w:multiLevelType w:val="hybridMultilevel"/>
    <w:tmpl w:val="24B2379A"/>
    <w:lvl w:ilvl="0" w:tplc="A0FC7A44">
      <w:start w:val="1"/>
      <w:numFmt w:val="bullet"/>
      <w:lvlText w:val=""/>
      <w:lvlJc w:val="left"/>
      <w:pPr>
        <w:ind w:left="720" w:hanging="360"/>
      </w:pPr>
      <w:rPr>
        <w:rFonts w:ascii="Symbol" w:hAnsi="Symbol" w:hint="default"/>
      </w:rPr>
    </w:lvl>
    <w:lvl w:ilvl="1" w:tplc="1CA66770">
      <w:start w:val="1"/>
      <w:numFmt w:val="bullet"/>
      <w:lvlText w:val="o"/>
      <w:lvlJc w:val="left"/>
      <w:pPr>
        <w:ind w:left="1440" w:hanging="360"/>
      </w:pPr>
      <w:rPr>
        <w:rFonts w:ascii="Courier New" w:hAnsi="Courier New" w:hint="default"/>
      </w:rPr>
    </w:lvl>
    <w:lvl w:ilvl="2" w:tplc="9E4EBCB8">
      <w:start w:val="1"/>
      <w:numFmt w:val="bullet"/>
      <w:lvlText w:val=""/>
      <w:lvlJc w:val="left"/>
      <w:pPr>
        <w:ind w:left="2160" w:hanging="360"/>
      </w:pPr>
      <w:rPr>
        <w:rFonts w:ascii="Wingdings" w:hAnsi="Wingdings" w:hint="default"/>
      </w:rPr>
    </w:lvl>
    <w:lvl w:ilvl="3" w:tplc="53F695CC">
      <w:start w:val="1"/>
      <w:numFmt w:val="bullet"/>
      <w:lvlText w:val=""/>
      <w:lvlJc w:val="left"/>
      <w:pPr>
        <w:ind w:left="2880" w:hanging="360"/>
      </w:pPr>
      <w:rPr>
        <w:rFonts w:ascii="Symbol" w:hAnsi="Symbol" w:hint="default"/>
      </w:rPr>
    </w:lvl>
    <w:lvl w:ilvl="4" w:tplc="4D5423A0">
      <w:start w:val="1"/>
      <w:numFmt w:val="bullet"/>
      <w:lvlText w:val="o"/>
      <w:lvlJc w:val="left"/>
      <w:pPr>
        <w:ind w:left="3600" w:hanging="360"/>
      </w:pPr>
      <w:rPr>
        <w:rFonts w:ascii="Courier New" w:hAnsi="Courier New" w:hint="default"/>
      </w:rPr>
    </w:lvl>
    <w:lvl w:ilvl="5" w:tplc="F9DE7934">
      <w:start w:val="1"/>
      <w:numFmt w:val="bullet"/>
      <w:lvlText w:val=""/>
      <w:lvlJc w:val="left"/>
      <w:pPr>
        <w:ind w:left="4320" w:hanging="360"/>
      </w:pPr>
      <w:rPr>
        <w:rFonts w:ascii="Wingdings" w:hAnsi="Wingdings" w:hint="default"/>
      </w:rPr>
    </w:lvl>
    <w:lvl w:ilvl="6" w:tplc="62FE403A">
      <w:start w:val="1"/>
      <w:numFmt w:val="bullet"/>
      <w:lvlText w:val=""/>
      <w:lvlJc w:val="left"/>
      <w:pPr>
        <w:ind w:left="5040" w:hanging="360"/>
      </w:pPr>
      <w:rPr>
        <w:rFonts w:ascii="Symbol" w:hAnsi="Symbol" w:hint="default"/>
      </w:rPr>
    </w:lvl>
    <w:lvl w:ilvl="7" w:tplc="7D1629E4">
      <w:start w:val="1"/>
      <w:numFmt w:val="bullet"/>
      <w:lvlText w:val="o"/>
      <w:lvlJc w:val="left"/>
      <w:pPr>
        <w:ind w:left="5760" w:hanging="360"/>
      </w:pPr>
      <w:rPr>
        <w:rFonts w:ascii="Courier New" w:hAnsi="Courier New" w:hint="default"/>
      </w:rPr>
    </w:lvl>
    <w:lvl w:ilvl="8" w:tplc="8D403316">
      <w:start w:val="1"/>
      <w:numFmt w:val="bullet"/>
      <w:lvlText w:val=""/>
      <w:lvlJc w:val="left"/>
      <w:pPr>
        <w:ind w:left="6480" w:hanging="360"/>
      </w:pPr>
      <w:rPr>
        <w:rFonts w:ascii="Wingdings" w:hAnsi="Wingdings" w:hint="default"/>
      </w:rPr>
    </w:lvl>
  </w:abstractNum>
  <w:abstractNum w:abstractNumId="10" w15:restartNumberingAfterBreak="0">
    <w:nsid w:val="799FA924"/>
    <w:multiLevelType w:val="hybridMultilevel"/>
    <w:tmpl w:val="BA3ADC5C"/>
    <w:lvl w:ilvl="0" w:tplc="4826265C">
      <w:start w:val="1"/>
      <w:numFmt w:val="bullet"/>
      <w:lvlText w:val=""/>
      <w:lvlJc w:val="left"/>
      <w:pPr>
        <w:ind w:left="720" w:hanging="360"/>
      </w:pPr>
      <w:rPr>
        <w:rFonts w:ascii="Symbol" w:hAnsi="Symbol" w:hint="default"/>
      </w:rPr>
    </w:lvl>
    <w:lvl w:ilvl="1" w:tplc="E702CFF0">
      <w:start w:val="1"/>
      <w:numFmt w:val="bullet"/>
      <w:lvlText w:val="o"/>
      <w:lvlJc w:val="left"/>
      <w:pPr>
        <w:ind w:left="1440" w:hanging="360"/>
      </w:pPr>
      <w:rPr>
        <w:rFonts w:ascii="Courier New" w:hAnsi="Courier New" w:hint="default"/>
      </w:rPr>
    </w:lvl>
    <w:lvl w:ilvl="2" w:tplc="D9CE4FFE">
      <w:start w:val="1"/>
      <w:numFmt w:val="bullet"/>
      <w:lvlText w:val=""/>
      <w:lvlJc w:val="left"/>
      <w:pPr>
        <w:ind w:left="2160" w:hanging="360"/>
      </w:pPr>
      <w:rPr>
        <w:rFonts w:ascii="Wingdings" w:hAnsi="Wingdings" w:hint="default"/>
      </w:rPr>
    </w:lvl>
    <w:lvl w:ilvl="3" w:tplc="545A5E42">
      <w:start w:val="1"/>
      <w:numFmt w:val="bullet"/>
      <w:lvlText w:val=""/>
      <w:lvlJc w:val="left"/>
      <w:pPr>
        <w:ind w:left="2880" w:hanging="360"/>
      </w:pPr>
      <w:rPr>
        <w:rFonts w:ascii="Symbol" w:hAnsi="Symbol" w:hint="default"/>
      </w:rPr>
    </w:lvl>
    <w:lvl w:ilvl="4" w:tplc="A0B6DA7C">
      <w:start w:val="1"/>
      <w:numFmt w:val="bullet"/>
      <w:lvlText w:val="o"/>
      <w:lvlJc w:val="left"/>
      <w:pPr>
        <w:ind w:left="3600" w:hanging="360"/>
      </w:pPr>
      <w:rPr>
        <w:rFonts w:ascii="Courier New" w:hAnsi="Courier New" w:hint="default"/>
      </w:rPr>
    </w:lvl>
    <w:lvl w:ilvl="5" w:tplc="405A42D6">
      <w:start w:val="1"/>
      <w:numFmt w:val="bullet"/>
      <w:lvlText w:val=""/>
      <w:lvlJc w:val="left"/>
      <w:pPr>
        <w:ind w:left="4320" w:hanging="360"/>
      </w:pPr>
      <w:rPr>
        <w:rFonts w:ascii="Wingdings" w:hAnsi="Wingdings" w:hint="default"/>
      </w:rPr>
    </w:lvl>
    <w:lvl w:ilvl="6" w:tplc="927626C4">
      <w:start w:val="1"/>
      <w:numFmt w:val="bullet"/>
      <w:lvlText w:val=""/>
      <w:lvlJc w:val="left"/>
      <w:pPr>
        <w:ind w:left="5040" w:hanging="360"/>
      </w:pPr>
      <w:rPr>
        <w:rFonts w:ascii="Symbol" w:hAnsi="Symbol" w:hint="default"/>
      </w:rPr>
    </w:lvl>
    <w:lvl w:ilvl="7" w:tplc="71A65B88">
      <w:start w:val="1"/>
      <w:numFmt w:val="bullet"/>
      <w:lvlText w:val="o"/>
      <w:lvlJc w:val="left"/>
      <w:pPr>
        <w:ind w:left="5760" w:hanging="360"/>
      </w:pPr>
      <w:rPr>
        <w:rFonts w:ascii="Courier New" w:hAnsi="Courier New" w:hint="default"/>
      </w:rPr>
    </w:lvl>
    <w:lvl w:ilvl="8" w:tplc="D0889062">
      <w:start w:val="1"/>
      <w:numFmt w:val="bullet"/>
      <w:lvlText w:val=""/>
      <w:lvlJc w:val="left"/>
      <w:pPr>
        <w:ind w:left="6480" w:hanging="360"/>
      </w:pPr>
      <w:rPr>
        <w:rFonts w:ascii="Wingdings" w:hAnsi="Wingdings" w:hint="default"/>
      </w:rPr>
    </w:lvl>
  </w:abstractNum>
  <w:abstractNum w:abstractNumId="11" w15:restartNumberingAfterBreak="0">
    <w:nsid w:val="7A459BE6"/>
    <w:multiLevelType w:val="hybridMultilevel"/>
    <w:tmpl w:val="99525146"/>
    <w:lvl w:ilvl="0" w:tplc="6ED2FB5E">
      <w:start w:val="1"/>
      <w:numFmt w:val="decimal"/>
      <w:lvlText w:val="%1."/>
      <w:lvlJc w:val="left"/>
      <w:pPr>
        <w:ind w:left="720" w:hanging="360"/>
      </w:pPr>
    </w:lvl>
    <w:lvl w:ilvl="1" w:tplc="F49E044C">
      <w:start w:val="1"/>
      <w:numFmt w:val="lowerLetter"/>
      <w:lvlText w:val="%2."/>
      <w:lvlJc w:val="left"/>
      <w:pPr>
        <w:ind w:left="1440" w:hanging="360"/>
      </w:pPr>
    </w:lvl>
    <w:lvl w:ilvl="2" w:tplc="280A8846">
      <w:start w:val="1"/>
      <w:numFmt w:val="lowerRoman"/>
      <w:lvlText w:val="%3."/>
      <w:lvlJc w:val="right"/>
      <w:pPr>
        <w:ind w:left="2160" w:hanging="180"/>
      </w:pPr>
    </w:lvl>
    <w:lvl w:ilvl="3" w:tplc="5B58A888">
      <w:start w:val="1"/>
      <w:numFmt w:val="decimal"/>
      <w:lvlText w:val="%4."/>
      <w:lvlJc w:val="left"/>
      <w:pPr>
        <w:ind w:left="2880" w:hanging="360"/>
      </w:pPr>
    </w:lvl>
    <w:lvl w:ilvl="4" w:tplc="0AF220FE">
      <w:start w:val="1"/>
      <w:numFmt w:val="lowerLetter"/>
      <w:lvlText w:val="%5."/>
      <w:lvlJc w:val="left"/>
      <w:pPr>
        <w:ind w:left="3600" w:hanging="360"/>
      </w:pPr>
    </w:lvl>
    <w:lvl w:ilvl="5" w:tplc="F8A6A0EA">
      <w:start w:val="1"/>
      <w:numFmt w:val="lowerRoman"/>
      <w:lvlText w:val="%6."/>
      <w:lvlJc w:val="right"/>
      <w:pPr>
        <w:ind w:left="4320" w:hanging="180"/>
      </w:pPr>
    </w:lvl>
    <w:lvl w:ilvl="6" w:tplc="CB840540">
      <w:start w:val="1"/>
      <w:numFmt w:val="decimal"/>
      <w:lvlText w:val="%7."/>
      <w:lvlJc w:val="left"/>
      <w:pPr>
        <w:ind w:left="5040" w:hanging="360"/>
      </w:pPr>
    </w:lvl>
    <w:lvl w:ilvl="7" w:tplc="C478D582">
      <w:start w:val="1"/>
      <w:numFmt w:val="lowerLetter"/>
      <w:lvlText w:val="%8."/>
      <w:lvlJc w:val="left"/>
      <w:pPr>
        <w:ind w:left="5760" w:hanging="360"/>
      </w:pPr>
    </w:lvl>
    <w:lvl w:ilvl="8" w:tplc="9600E78C">
      <w:start w:val="1"/>
      <w:numFmt w:val="lowerRoman"/>
      <w:lvlText w:val="%9."/>
      <w:lvlJc w:val="right"/>
      <w:pPr>
        <w:ind w:left="6480" w:hanging="180"/>
      </w:pPr>
    </w:lvl>
  </w:abstractNum>
  <w:abstractNum w:abstractNumId="12" w15:restartNumberingAfterBreak="0">
    <w:nsid w:val="7A5DDC35"/>
    <w:multiLevelType w:val="hybridMultilevel"/>
    <w:tmpl w:val="7C0E895C"/>
    <w:lvl w:ilvl="0" w:tplc="0262A686">
      <w:start w:val="1"/>
      <w:numFmt w:val="bullet"/>
      <w:lvlText w:val=""/>
      <w:lvlJc w:val="left"/>
      <w:pPr>
        <w:ind w:left="720" w:hanging="360"/>
      </w:pPr>
      <w:rPr>
        <w:rFonts w:ascii="Symbol" w:hAnsi="Symbol" w:hint="default"/>
      </w:rPr>
    </w:lvl>
    <w:lvl w:ilvl="1" w:tplc="F1444688">
      <w:start w:val="1"/>
      <w:numFmt w:val="bullet"/>
      <w:lvlText w:val="o"/>
      <w:lvlJc w:val="left"/>
      <w:pPr>
        <w:ind w:left="1440" w:hanging="360"/>
      </w:pPr>
      <w:rPr>
        <w:rFonts w:ascii="Courier New" w:hAnsi="Courier New" w:hint="default"/>
      </w:rPr>
    </w:lvl>
    <w:lvl w:ilvl="2" w:tplc="55F4FD2E">
      <w:start w:val="1"/>
      <w:numFmt w:val="bullet"/>
      <w:lvlText w:val=""/>
      <w:lvlJc w:val="left"/>
      <w:pPr>
        <w:ind w:left="2160" w:hanging="360"/>
      </w:pPr>
      <w:rPr>
        <w:rFonts w:ascii="Wingdings" w:hAnsi="Wingdings" w:hint="default"/>
      </w:rPr>
    </w:lvl>
    <w:lvl w:ilvl="3" w:tplc="598245A4">
      <w:start w:val="1"/>
      <w:numFmt w:val="bullet"/>
      <w:lvlText w:val=""/>
      <w:lvlJc w:val="left"/>
      <w:pPr>
        <w:ind w:left="2880" w:hanging="360"/>
      </w:pPr>
      <w:rPr>
        <w:rFonts w:ascii="Symbol" w:hAnsi="Symbol" w:hint="default"/>
      </w:rPr>
    </w:lvl>
    <w:lvl w:ilvl="4" w:tplc="00C0254E">
      <w:start w:val="1"/>
      <w:numFmt w:val="bullet"/>
      <w:lvlText w:val="o"/>
      <w:lvlJc w:val="left"/>
      <w:pPr>
        <w:ind w:left="3600" w:hanging="360"/>
      </w:pPr>
      <w:rPr>
        <w:rFonts w:ascii="Courier New" w:hAnsi="Courier New" w:hint="default"/>
      </w:rPr>
    </w:lvl>
    <w:lvl w:ilvl="5" w:tplc="9348BE5C">
      <w:start w:val="1"/>
      <w:numFmt w:val="bullet"/>
      <w:lvlText w:val=""/>
      <w:lvlJc w:val="left"/>
      <w:pPr>
        <w:ind w:left="4320" w:hanging="360"/>
      </w:pPr>
      <w:rPr>
        <w:rFonts w:ascii="Wingdings" w:hAnsi="Wingdings" w:hint="default"/>
      </w:rPr>
    </w:lvl>
    <w:lvl w:ilvl="6" w:tplc="6262A0F4">
      <w:start w:val="1"/>
      <w:numFmt w:val="bullet"/>
      <w:lvlText w:val=""/>
      <w:lvlJc w:val="left"/>
      <w:pPr>
        <w:ind w:left="5040" w:hanging="360"/>
      </w:pPr>
      <w:rPr>
        <w:rFonts w:ascii="Symbol" w:hAnsi="Symbol" w:hint="default"/>
      </w:rPr>
    </w:lvl>
    <w:lvl w:ilvl="7" w:tplc="2E6EB7C6">
      <w:start w:val="1"/>
      <w:numFmt w:val="bullet"/>
      <w:lvlText w:val="o"/>
      <w:lvlJc w:val="left"/>
      <w:pPr>
        <w:ind w:left="5760" w:hanging="360"/>
      </w:pPr>
      <w:rPr>
        <w:rFonts w:ascii="Courier New" w:hAnsi="Courier New" w:hint="default"/>
      </w:rPr>
    </w:lvl>
    <w:lvl w:ilvl="8" w:tplc="B06471A0">
      <w:start w:val="1"/>
      <w:numFmt w:val="bullet"/>
      <w:lvlText w:val=""/>
      <w:lvlJc w:val="left"/>
      <w:pPr>
        <w:ind w:left="6480" w:hanging="360"/>
      </w:pPr>
      <w:rPr>
        <w:rFonts w:ascii="Wingdings" w:hAnsi="Wingdings" w:hint="default"/>
      </w:rPr>
    </w:lvl>
  </w:abstractNum>
  <w:abstractNum w:abstractNumId="13" w15:restartNumberingAfterBreak="0">
    <w:nsid w:val="7F6FC673"/>
    <w:multiLevelType w:val="hybridMultilevel"/>
    <w:tmpl w:val="6FCA0EEC"/>
    <w:lvl w:ilvl="0" w:tplc="BCA0C3A0">
      <w:start w:val="1"/>
      <w:numFmt w:val="decimal"/>
      <w:lvlText w:val="%1."/>
      <w:lvlJc w:val="left"/>
      <w:pPr>
        <w:ind w:left="720" w:hanging="360"/>
      </w:pPr>
    </w:lvl>
    <w:lvl w:ilvl="1" w:tplc="6FC8C600">
      <w:start w:val="1"/>
      <w:numFmt w:val="lowerLetter"/>
      <w:lvlText w:val="%2."/>
      <w:lvlJc w:val="left"/>
      <w:pPr>
        <w:ind w:left="1440" w:hanging="360"/>
      </w:pPr>
    </w:lvl>
    <w:lvl w:ilvl="2" w:tplc="80B8A5CA">
      <w:start w:val="1"/>
      <w:numFmt w:val="lowerRoman"/>
      <w:lvlText w:val="%3."/>
      <w:lvlJc w:val="right"/>
      <w:pPr>
        <w:ind w:left="2160" w:hanging="180"/>
      </w:pPr>
    </w:lvl>
    <w:lvl w:ilvl="3" w:tplc="A41446B4">
      <w:start w:val="1"/>
      <w:numFmt w:val="decimal"/>
      <w:lvlText w:val="%4."/>
      <w:lvlJc w:val="left"/>
      <w:pPr>
        <w:ind w:left="2880" w:hanging="360"/>
      </w:pPr>
    </w:lvl>
    <w:lvl w:ilvl="4" w:tplc="FC48DFB0">
      <w:start w:val="1"/>
      <w:numFmt w:val="lowerLetter"/>
      <w:lvlText w:val="%5."/>
      <w:lvlJc w:val="left"/>
      <w:pPr>
        <w:ind w:left="3600" w:hanging="360"/>
      </w:pPr>
    </w:lvl>
    <w:lvl w:ilvl="5" w:tplc="148A494C">
      <w:start w:val="1"/>
      <w:numFmt w:val="lowerRoman"/>
      <w:lvlText w:val="%6."/>
      <w:lvlJc w:val="right"/>
      <w:pPr>
        <w:ind w:left="4320" w:hanging="180"/>
      </w:pPr>
    </w:lvl>
    <w:lvl w:ilvl="6" w:tplc="3870ACDA">
      <w:start w:val="1"/>
      <w:numFmt w:val="decimal"/>
      <w:lvlText w:val="%7."/>
      <w:lvlJc w:val="left"/>
      <w:pPr>
        <w:ind w:left="5040" w:hanging="360"/>
      </w:pPr>
    </w:lvl>
    <w:lvl w:ilvl="7" w:tplc="B19E9C04">
      <w:start w:val="1"/>
      <w:numFmt w:val="lowerLetter"/>
      <w:lvlText w:val="%8."/>
      <w:lvlJc w:val="left"/>
      <w:pPr>
        <w:ind w:left="5760" w:hanging="360"/>
      </w:pPr>
    </w:lvl>
    <w:lvl w:ilvl="8" w:tplc="E716BD5C">
      <w:start w:val="1"/>
      <w:numFmt w:val="lowerRoman"/>
      <w:lvlText w:val="%9."/>
      <w:lvlJc w:val="right"/>
      <w:pPr>
        <w:ind w:left="6480" w:hanging="180"/>
      </w:pPr>
    </w:lvl>
  </w:abstractNum>
  <w:num w:numId="1" w16cid:durableId="316347707">
    <w:abstractNumId w:val="12"/>
  </w:num>
  <w:num w:numId="2" w16cid:durableId="756751033">
    <w:abstractNumId w:val="13"/>
  </w:num>
  <w:num w:numId="3" w16cid:durableId="993215598">
    <w:abstractNumId w:val="3"/>
  </w:num>
  <w:num w:numId="4" w16cid:durableId="1744182394">
    <w:abstractNumId w:val="10"/>
  </w:num>
  <w:num w:numId="5" w16cid:durableId="1302883306">
    <w:abstractNumId w:val="11"/>
  </w:num>
  <w:num w:numId="6" w16cid:durableId="17858150">
    <w:abstractNumId w:val="1"/>
  </w:num>
  <w:num w:numId="7" w16cid:durableId="424768295">
    <w:abstractNumId w:val="9"/>
  </w:num>
  <w:num w:numId="8" w16cid:durableId="2103841328">
    <w:abstractNumId w:val="5"/>
  </w:num>
  <w:num w:numId="9" w16cid:durableId="807089279">
    <w:abstractNumId w:val="0"/>
  </w:num>
  <w:num w:numId="10" w16cid:durableId="2094231118">
    <w:abstractNumId w:val="7"/>
  </w:num>
  <w:num w:numId="11" w16cid:durableId="476071404">
    <w:abstractNumId w:val="6"/>
  </w:num>
  <w:num w:numId="12" w16cid:durableId="828987714">
    <w:abstractNumId w:val="8"/>
  </w:num>
  <w:num w:numId="13" w16cid:durableId="522136338">
    <w:abstractNumId w:val="2"/>
  </w:num>
  <w:num w:numId="14" w16cid:durableId="2388312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C536863"/>
    <w:rsid w:val="00094B4F"/>
    <w:rsid w:val="000E74B2"/>
    <w:rsid w:val="00323BA7"/>
    <w:rsid w:val="053CA8BF"/>
    <w:rsid w:val="09E18F61"/>
    <w:rsid w:val="155CE10F"/>
    <w:rsid w:val="1B307283"/>
    <w:rsid w:val="1F4FE446"/>
    <w:rsid w:val="1FBCC277"/>
    <w:rsid w:val="347C481A"/>
    <w:rsid w:val="37250B53"/>
    <w:rsid w:val="442F894C"/>
    <w:rsid w:val="492E95D3"/>
    <w:rsid w:val="4BB5E986"/>
    <w:rsid w:val="51AC7D68"/>
    <w:rsid w:val="5838DE23"/>
    <w:rsid w:val="5882ECC3"/>
    <w:rsid w:val="5DDAD956"/>
    <w:rsid w:val="5F58944E"/>
    <w:rsid w:val="60CEF3B4"/>
    <w:rsid w:val="615E37E0"/>
    <w:rsid w:val="711E7A0F"/>
    <w:rsid w:val="75AA120E"/>
    <w:rsid w:val="7800A58D"/>
    <w:rsid w:val="7C536863"/>
    <w:rsid w:val="7D548B37"/>
  </w:rsids>
  <m:mathPr>
    <m:mathFont m:val="Cambria Math"/>
    <m:brkBin m:val="before"/>
    <m:brkBinSub m:val="--"/>
    <m:smallFrac m:val="0"/>
    <m:dispDef/>
    <m:lMargin m:val="0"/>
    <m:rMargin m:val="0"/>
    <m:defJc m:val="centerGroup"/>
    <m:wrapIndent m:val="1440"/>
    <m:intLim m:val="subSup"/>
    <m:naryLim m:val="undOvr"/>
  </m:mathPr>
  <w:themeFontLang w:val="en-US" w:eastAsia="zh-CN" w:bidi="as-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36863"/>
  <w15:chartTrackingRefBased/>
  <w15:docId w15:val="{DDCAECC7-9DA2-4D5C-B8B5-FE381876E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sid w:val="053CA8BF"/>
    <w:rPr>
      <w:color w:val="467886"/>
      <w:u w:val="single"/>
    </w:rPr>
  </w:style>
  <w:style w:type="paragraph" w:styleId="ListParagraph">
    <w:name w:val="List Paragraph"/>
    <w:basedOn w:val="Normal"/>
    <w:uiPriority w:val="34"/>
    <w:qFormat/>
    <w:rsid w:val="053CA8BF"/>
    <w:pPr>
      <w:ind w:left="720"/>
      <w:contextualSpacing/>
    </w:pPr>
  </w:style>
  <w:style w:type="paragraph" w:styleId="EndnoteText">
    <w:name w:val="endnote text"/>
    <w:basedOn w:val="Normal"/>
    <w:uiPriority w:val="99"/>
    <w:semiHidden/>
    <w:unhideWhenUsed/>
    <w:rsid w:val="053CA8BF"/>
    <w:pPr>
      <w:spacing w:after="0" w:line="240" w:lineRule="auto"/>
    </w:pPr>
    <w:rPr>
      <w:sz w:val="20"/>
      <w:szCs w:val="20"/>
    </w:rPr>
  </w:style>
  <w:style w:type="character" w:styleId="FootnoteReference">
    <w:name w:val="footnote reference"/>
    <w:basedOn w:val="DefaultParagraphFont"/>
    <w:uiPriority w:val="99"/>
    <w:semiHidden/>
    <w:unhideWhenUsed/>
    <w:rPr>
      <w:vertAlign w:val="superscript"/>
    </w:rPr>
  </w:style>
  <w:style w:type="character" w:customStyle="1" w:styleId="FootnoteTextChar">
    <w:name w:val="Footnote Text Char"/>
    <w:basedOn w:val="DefaultParagraphFont"/>
    <w:link w:val="FootnoteText"/>
    <w:uiPriority w:val="99"/>
    <w:semiHidden/>
    <w:rPr>
      <w:sz w:val="20"/>
      <w:szCs w:val="20"/>
    </w:rPr>
  </w:style>
  <w:style w:type="paragraph" w:styleId="FootnoteText">
    <w:name w:val="footnote text"/>
    <w:basedOn w:val="Normal"/>
    <w:link w:val="FootnoteTextChar"/>
    <w:uiPriority w:val="99"/>
    <w:semiHidden/>
    <w:unhideWhenUsed/>
    <w:pPr>
      <w:spacing w:after="0" w:line="240" w:lineRule="auto"/>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ibhu.arya@uts.student.edu.au" TargetMode="External"/><Relationship Id="rId3" Type="http://schemas.openxmlformats.org/officeDocument/2006/relationships/settings" Target="settings.xml"/><Relationship Id="rId7" Type="http://schemas.openxmlformats.org/officeDocument/2006/relationships/hyperlink" Target="mailto:pysubmissions@rba.gov.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reuters.com/business/finance/brazils-pix-overtake-credit-cards-e-commerce-soon-2025-study-shows-2024-09-09" TargetMode="External"/><Relationship Id="rId2" Type="http://schemas.openxmlformats.org/officeDocument/2006/relationships/hyperlink" Target="https://www.ft.com/content/e17e6de1-d863-46f8-bfab-fa8cbfc495f0" TargetMode="External"/><Relationship Id="rId1" Type="http://schemas.openxmlformats.org/officeDocument/2006/relationships/hyperlink" Target="https://www.bis.org/publ/bppdf/bispap152_c.pdf" TargetMode="External"/><Relationship Id="rId5" Type="http://schemas.openxmlformats.org/officeDocument/2006/relationships/hyperlink" Target="https://www.westpac.com.au/about-westpac/media/media-releases/2025/28-may" TargetMode="External"/><Relationship Id="rId4" Type="http://schemas.openxmlformats.org/officeDocument/2006/relationships/hyperlink" Target="https://timesofindia.indiatimes.com/business/india-business/upi-surge-india-leads-the-world-in-fast-payments-18-billion-monthly-transactions-power-growth/articleshow/122797610.c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932</Words>
  <Characters>5316</Characters>
  <Application>Microsoft Office Word</Application>
  <DocSecurity>0</DocSecurity>
  <Lines>44</Lines>
  <Paragraphs>12</Paragraphs>
  <ScaleCrop>false</ScaleCrop>
  <Company/>
  <LinksUpToDate>false</LinksUpToDate>
  <CharactersWithSpaces>6236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Vibhu Arya</dc:creator>
  <cp:keywords/>
  <dc:description/>
  <cp:lastModifiedBy>Vibhu Arya</cp:lastModifiedBy>
  <cp:revision>2</cp:revision>
  <dcterms:created xsi:type="dcterms:W3CDTF">2025-08-27T01:30:00Z</dcterms:created>
  <dcterms:modified xsi:type="dcterms:W3CDTF">2025-08-27T01:52:00Z</dcterms:modified>
</cp:coreProperties>
</file>