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2EC9B" w14:textId="77777777" w:rsidR="00F337D2" w:rsidRDefault="00F337D2" w:rsidP="00C516A0">
      <w:pPr>
        <w:jc w:val="both"/>
        <w:rPr>
          <w:b/>
          <w:bCs/>
        </w:rPr>
      </w:pPr>
    </w:p>
    <w:p w14:paraId="0CECBA2C" w14:textId="609B0B72" w:rsidR="00C516A0" w:rsidRPr="00F337D2" w:rsidRDefault="00C516A0" w:rsidP="00C516A0">
      <w:pPr>
        <w:jc w:val="both"/>
        <w:rPr>
          <w:b/>
          <w:bCs/>
        </w:rPr>
      </w:pPr>
      <w:r w:rsidRPr="00F337D2">
        <w:rPr>
          <w:b/>
          <w:bCs/>
        </w:rPr>
        <w:t>Submission to the Reserve Bank of Australia</w:t>
      </w:r>
    </w:p>
    <w:p w14:paraId="70AED777" w14:textId="77777777" w:rsidR="00C516A0" w:rsidRDefault="00C516A0" w:rsidP="00C516A0">
      <w:pPr>
        <w:jc w:val="both"/>
      </w:pPr>
    </w:p>
    <w:p w14:paraId="7E8CD3E2" w14:textId="65EF662E" w:rsidR="00C516A0" w:rsidRPr="00F337D2" w:rsidRDefault="00C516A0" w:rsidP="00C516A0">
      <w:pPr>
        <w:jc w:val="both"/>
        <w:rPr>
          <w:i/>
          <w:iCs/>
        </w:rPr>
      </w:pPr>
      <w:r w:rsidRPr="00F337D2">
        <w:rPr>
          <w:i/>
          <w:iCs/>
        </w:rPr>
        <w:t>Regarding: Review of Merchant Card Payment Costs and Surcharging – Consultation Paper (July 2025)</w:t>
      </w:r>
    </w:p>
    <w:p w14:paraId="7BA9756A" w14:textId="77777777" w:rsidR="00C516A0" w:rsidRDefault="00C516A0" w:rsidP="00C516A0">
      <w:pPr>
        <w:jc w:val="both"/>
      </w:pPr>
    </w:p>
    <w:p w14:paraId="2F0A6E80" w14:textId="4475E47A" w:rsidR="00C516A0" w:rsidRDefault="00C516A0" w:rsidP="00C516A0">
      <w:pPr>
        <w:jc w:val="both"/>
      </w:pPr>
      <w:r>
        <w:t>To: Head of Payments Policy Department, Reserve Bank of Australia</w:t>
      </w:r>
    </w:p>
    <w:p w14:paraId="3E3DFC3E" w14:textId="0F181043" w:rsidR="00C516A0" w:rsidRDefault="00C516A0" w:rsidP="00C516A0">
      <w:pPr>
        <w:jc w:val="both"/>
      </w:pPr>
      <w:r>
        <w:t xml:space="preserve">From: Francesco Vorster, CEO, Venue Smart </w:t>
      </w:r>
    </w:p>
    <w:p w14:paraId="6B02A4E5" w14:textId="77AF98ED" w:rsidR="00C516A0" w:rsidRDefault="00C516A0" w:rsidP="00C516A0">
      <w:pPr>
        <w:jc w:val="both"/>
      </w:pPr>
      <w:r>
        <w:t>Date: August 18, 2025</w:t>
      </w:r>
    </w:p>
    <w:p w14:paraId="5F7CE53E" w14:textId="77777777" w:rsidR="00C516A0" w:rsidRDefault="00C516A0" w:rsidP="00C516A0">
      <w:pPr>
        <w:jc w:val="both"/>
      </w:pPr>
    </w:p>
    <w:p w14:paraId="47114644" w14:textId="2D9371D1" w:rsidR="00C516A0" w:rsidRPr="00C516A0" w:rsidRDefault="00C516A0" w:rsidP="00C516A0">
      <w:pPr>
        <w:jc w:val="both"/>
        <w:rPr>
          <w:b/>
          <w:bCs/>
        </w:rPr>
      </w:pPr>
      <w:r w:rsidRPr="00C516A0">
        <w:rPr>
          <w:b/>
          <w:bCs/>
        </w:rPr>
        <w:t>Introduction: The Case for Retaining Surcharging</w:t>
      </w:r>
    </w:p>
    <w:p w14:paraId="22C1DA9F" w14:textId="29348BDF" w:rsidR="00C516A0" w:rsidRDefault="00C516A0" w:rsidP="00C516A0">
      <w:pPr>
        <w:jc w:val="both"/>
      </w:pPr>
      <w:r>
        <w:t>This submission is a formal response to the Reserve Bank of Australia's (RBA) *Review of Merchant Card Payment Costs and Surcharging Consultation Paper* dated 15 July 2025. We wish to express our significant concerns regarding the preliminary policy view, specifically "Option 3: Remove surcharging on designated debit, prepaid and credit card networks."</w:t>
      </w:r>
    </w:p>
    <w:p w14:paraId="75230172" w14:textId="0C82236A" w:rsidR="00C516A0" w:rsidRDefault="00C516A0" w:rsidP="00C516A0">
      <w:pPr>
        <w:jc w:val="both"/>
      </w:pPr>
      <w:r>
        <w:t>While we acknowledge the RBA's objective to enhance competition and efficiency in the payments system, we firmly believe that a blanket ban on surcharging is a counterproductive measure. Such a ban would ultimately harm Australian consumers and businesses by reducing price transparency, increasing the overall cost of goods and services, and stifling the competitive pressures that drive down payment costs.</w:t>
      </w:r>
    </w:p>
    <w:p w14:paraId="792FD9AD" w14:textId="77954DBB" w:rsidR="00C516A0" w:rsidRDefault="00C516A0" w:rsidP="00C516A0">
      <w:pPr>
        <w:jc w:val="both"/>
      </w:pPr>
      <w:r>
        <w:t>Our position is that free markets, when allowed to self-regulate, are the most effective mechanism for achieving efficiency and low costs. The ability to surcharge is a critical tool for price signalling and transparency, empowering consumers to make informed choices and encouraging competition among payment providers. This submission will detail the negative consequences of a surcharging ban, supported by international examples, and propose a more constructive path forward.</w:t>
      </w:r>
    </w:p>
    <w:p w14:paraId="2046DD20" w14:textId="1EA82DA4" w:rsidR="00C516A0" w:rsidRPr="00C516A0" w:rsidRDefault="00C516A0" w:rsidP="00C516A0">
      <w:pPr>
        <w:jc w:val="both"/>
        <w:rPr>
          <w:b/>
          <w:bCs/>
        </w:rPr>
      </w:pPr>
      <w:r w:rsidRPr="00C516A0">
        <w:rPr>
          <w:b/>
          <w:bCs/>
        </w:rPr>
        <w:t>The Inevitable Consequence of a Surcharging Ban: Higher Prices for All</w:t>
      </w:r>
    </w:p>
    <w:p w14:paraId="160C73DE" w14:textId="34EBBE8D" w:rsidR="00C516A0" w:rsidRDefault="00C516A0" w:rsidP="00C516A0">
      <w:pPr>
        <w:pStyle w:val="ListParagraph"/>
        <w:numPr>
          <w:ilvl w:val="0"/>
          <w:numId w:val="1"/>
        </w:numPr>
        <w:jc w:val="both"/>
      </w:pPr>
      <w:r>
        <w:t>The core flaw in the RBA's proposal is the assumption that removing surcharges will result in a net benefit for consumers. The reality is that the costs associated with accepting card payments do not simply vanish; they are instead absorbed by the merchant and inevitably built into the retail price of all goods and services.</w:t>
      </w:r>
    </w:p>
    <w:p w14:paraId="1EF3B5C0" w14:textId="444013C0" w:rsidR="00C516A0" w:rsidRDefault="00C516A0" w:rsidP="00C516A0">
      <w:pPr>
        <w:pStyle w:val="ListParagraph"/>
        <w:numPr>
          <w:ilvl w:val="0"/>
          <w:numId w:val="1"/>
        </w:numPr>
        <w:jc w:val="both"/>
      </w:pPr>
      <w:r>
        <w:t xml:space="preserve">Hidden Costs and Reduced Transparency: Surcharging provides a direct and transparent price signal to consumers about the cost of their chosen payment </w:t>
      </w:r>
      <w:r>
        <w:lastRenderedPageBreak/>
        <w:t>method. A consumer who sees a 1.5% surcharge for a credit card payment can make a conscious decision to use a lower-cost method, such as a debit card or cash, to avoid the fee. A ban on surcharging eliminates this transparency. The cost of acceptance becomes a hidden component of the overall price, meaning all consumers, including those who use low-cost payment methods, will subsidise the choices of those who use high-cost, premium cards.</w:t>
      </w:r>
    </w:p>
    <w:p w14:paraId="69D0E9CE" w14:textId="5A871E4C" w:rsidR="00C516A0" w:rsidRDefault="00C516A0" w:rsidP="00C516A0">
      <w:pPr>
        <w:pStyle w:val="ListParagraph"/>
        <w:numPr>
          <w:ilvl w:val="0"/>
          <w:numId w:val="1"/>
        </w:numPr>
        <w:jc w:val="both"/>
      </w:pPr>
      <w:r>
        <w:t>Inflationary Pressure on Goods and Services: Businesses, particularly small and medium-sized enterprises (SMEs) that operate on thin profit margins, cannot absorb the full cost of card acceptance fees. The RBA's own paper acknowledges that for small merchants, the cost of accepting credit cards can be significantly higher than for larger businesses. A ban on surcharging would force these businesses to raise their base prices to maintain viability. This is not a theoretical risk. A 2014 study by the Federal Reserve Bank of Kansas City on the impact of debit card interchange fee regulation found that while large retailers saw cost reductions, "nearly three-fourths of the surveyed merchants reported raising prices, or planned to do so, in response to the rule." This demonstrates that changes in payment system costs are directly passed on to consumers through general price increases.</w:t>
      </w:r>
    </w:p>
    <w:p w14:paraId="2141B20E" w14:textId="434AE38B" w:rsidR="00C516A0" w:rsidRPr="00C516A0" w:rsidRDefault="00C516A0" w:rsidP="00C516A0">
      <w:pPr>
        <w:jc w:val="both"/>
        <w:rPr>
          <w:b/>
          <w:bCs/>
        </w:rPr>
      </w:pPr>
      <w:r w:rsidRPr="00C516A0">
        <w:rPr>
          <w:b/>
          <w:bCs/>
        </w:rPr>
        <w:t>International Precedent: Lessons from Surcharging Bans Abroad</w:t>
      </w:r>
    </w:p>
    <w:p w14:paraId="0DAF39A4" w14:textId="2B082E67" w:rsidR="00C516A0" w:rsidRDefault="00C516A0" w:rsidP="00C516A0">
      <w:pPr>
        <w:jc w:val="both"/>
      </w:pPr>
      <w:r>
        <w:t>Examining the experiences of other countries provides a clear warning against implementing a ban on surcharging.</w:t>
      </w:r>
    </w:p>
    <w:p w14:paraId="2516DC61" w14:textId="193D35D1" w:rsidR="00C516A0" w:rsidRDefault="00C516A0" w:rsidP="00C516A0">
      <w:pPr>
        <w:pStyle w:val="ListParagraph"/>
        <w:numPr>
          <w:ilvl w:val="0"/>
          <w:numId w:val="1"/>
        </w:numPr>
        <w:jc w:val="both"/>
      </w:pPr>
      <w:r>
        <w:t xml:space="preserve">The United States Experience: Several U.S. states have historically banned credit card surcharging. However, a landmark 2017 Supreme Court case, </w:t>
      </w:r>
      <w:r w:rsidRPr="00C516A0">
        <w:rPr>
          <w:b/>
          <w:bCs/>
        </w:rPr>
        <w:t>Expressions Hair Design v. Schneiderman</w:t>
      </w:r>
      <w:r>
        <w:t xml:space="preserve">, affirmed that these bans could impinge on merchants' First Amendment rights to free speech by preventing them from communicating truthful price information to their customers. While the case was remanded, it triggered a wave of legal challenges that has led to the overturning of surcharge bans in states like California, Texas, and Florida. The legal trend in the U.S. is a clear move </w:t>
      </w:r>
      <w:r w:rsidRPr="00C516A0">
        <w:rPr>
          <w:b/>
          <w:bCs/>
        </w:rPr>
        <w:t>towards</w:t>
      </w:r>
      <w:r>
        <w:t xml:space="preserve"> allowing surcharging as a means of promoting price transparency.</w:t>
      </w:r>
    </w:p>
    <w:p w14:paraId="22C1013D" w14:textId="477004BE" w:rsidR="00C516A0" w:rsidRDefault="00C516A0" w:rsidP="00C516A0">
      <w:pPr>
        <w:pStyle w:val="ListParagraph"/>
        <w:numPr>
          <w:ilvl w:val="0"/>
          <w:numId w:val="1"/>
        </w:numPr>
        <w:jc w:val="both"/>
      </w:pPr>
      <w:r>
        <w:t>The "Cost of Cash" Fallacy: The RBA paper notes that the cost of accepting cash may now be higher than card payments for some merchants. While this may be true in some specific cases, it is a misleading generalisation. The costs of cash handling (storage, transport, security) are largely fixed, whereas card acceptance fees are typically a percentage of the transaction value. For many small-value transactions, cash remains a significantly cheaper option for merchants. Banning surcharges removes the incentive for consumers to use cash for these small purchases, further increasing the cost burden on small businesses.</w:t>
      </w:r>
    </w:p>
    <w:p w14:paraId="61595767" w14:textId="6D1607C2" w:rsidR="00C516A0" w:rsidRPr="00034912" w:rsidRDefault="00C516A0" w:rsidP="00C516A0">
      <w:pPr>
        <w:jc w:val="both"/>
        <w:rPr>
          <w:b/>
          <w:bCs/>
        </w:rPr>
      </w:pPr>
      <w:r w:rsidRPr="00034912">
        <w:rPr>
          <w:b/>
          <w:bCs/>
        </w:rPr>
        <w:t>The Importance of Market Self-Regulation and Competition</w:t>
      </w:r>
    </w:p>
    <w:p w14:paraId="3B7AE6E1" w14:textId="77777777" w:rsidR="00C516A0" w:rsidRDefault="00C516A0" w:rsidP="00C516A0">
      <w:pPr>
        <w:jc w:val="both"/>
      </w:pPr>
    </w:p>
    <w:p w14:paraId="6EB4F8DD" w14:textId="3BCD1113" w:rsidR="00C516A0" w:rsidRDefault="00C516A0" w:rsidP="00C516A0">
      <w:pPr>
        <w:jc w:val="both"/>
      </w:pPr>
      <w:r>
        <w:t>The RBA's proposal represents a significant intervention in the market that will have unintended negative consequences. The most effective way to exert downward pressure on merchant service fees is to foster a competitive and transparent market.</w:t>
      </w:r>
    </w:p>
    <w:p w14:paraId="62BCA892" w14:textId="29AD7B6F" w:rsidR="00C516A0" w:rsidRDefault="00C516A0" w:rsidP="00C516A0">
      <w:pPr>
        <w:pStyle w:val="ListParagraph"/>
        <w:numPr>
          <w:ilvl w:val="0"/>
          <w:numId w:val="1"/>
        </w:numPr>
        <w:jc w:val="both"/>
      </w:pPr>
      <w:r w:rsidRPr="00F337D2">
        <w:rPr>
          <w:b/>
          <w:bCs/>
        </w:rPr>
        <w:t>Surcharging as a Competitive Tool:</w:t>
      </w:r>
      <w:r>
        <w:t xml:space="preserve"> The ability to surcharge is a powerful negotiating tool for merchants, particularly larger ones. By threatening to surcharge, merchants can pressure card networks and acquirers to offer lower interchange fees and merchant service fees. Removing this tool weakens the negotiating position of merchants and reduces the competitive pressure on payment providers.</w:t>
      </w:r>
    </w:p>
    <w:p w14:paraId="7A9BC3B3" w14:textId="71D15722" w:rsidR="00C516A0" w:rsidRDefault="00C516A0" w:rsidP="00F337D2">
      <w:pPr>
        <w:pStyle w:val="ListParagraph"/>
        <w:numPr>
          <w:ilvl w:val="0"/>
          <w:numId w:val="1"/>
        </w:numPr>
        <w:jc w:val="both"/>
      </w:pPr>
      <w:r w:rsidRPr="00F337D2">
        <w:rPr>
          <w:b/>
          <w:bCs/>
        </w:rPr>
        <w:t xml:space="preserve">Stifling Innovation: </w:t>
      </w:r>
      <w:r>
        <w:t>A ban on surcharging disincentivises the adoption of new, lower-cost payment technologies. If merchants cannot offer a discount or avoid a surcharge for using a more efficient payment method (like account-to-account transfers), there is less incentive for consumers to adopt them. This can slow the pace of innovation in the payments industry.</w:t>
      </w:r>
    </w:p>
    <w:p w14:paraId="3B352419" w14:textId="05618E12" w:rsidR="00C516A0" w:rsidRPr="00F337D2" w:rsidRDefault="00C516A0" w:rsidP="00F337D2">
      <w:pPr>
        <w:tabs>
          <w:tab w:val="left" w:pos="2993"/>
        </w:tabs>
        <w:jc w:val="both"/>
        <w:rPr>
          <w:b/>
          <w:bCs/>
        </w:rPr>
      </w:pPr>
      <w:r w:rsidRPr="00F337D2">
        <w:rPr>
          <w:b/>
          <w:bCs/>
        </w:rPr>
        <w:t>Recommendations and a Call for a Measured Approach</w:t>
      </w:r>
    </w:p>
    <w:p w14:paraId="784BCB7A" w14:textId="0A93EF81" w:rsidR="00C516A0" w:rsidRDefault="00C516A0" w:rsidP="00C516A0">
      <w:pPr>
        <w:jc w:val="both"/>
      </w:pPr>
      <w:r>
        <w:t>We strongly believe that a ban on surcharging is the wrong approach. However, if the RBA remains committed to this path, we urge a measured and considered implementation to mitigate the inevitable economic disruption.</w:t>
      </w:r>
    </w:p>
    <w:p w14:paraId="756D5589" w14:textId="5A2DC373" w:rsidR="00C516A0" w:rsidRDefault="00C516A0" w:rsidP="00F337D2">
      <w:pPr>
        <w:pStyle w:val="ListParagraph"/>
        <w:numPr>
          <w:ilvl w:val="0"/>
          <w:numId w:val="5"/>
        </w:numPr>
        <w:jc w:val="both"/>
      </w:pPr>
      <w:r w:rsidRPr="00F337D2">
        <w:rPr>
          <w:b/>
          <w:bCs/>
        </w:rPr>
        <w:t xml:space="preserve">Abandon the Proposed Ban: </w:t>
      </w:r>
      <w:r>
        <w:t>We urge the RBA to reconsider its preliminary view and instead focus on policies that enhance transparency and competition within the existing framework. This could include measures to simplify the calculation of the cost of acceptance and improve the enforcement of rules against excessive surcharging.</w:t>
      </w:r>
    </w:p>
    <w:p w14:paraId="7E7757CF" w14:textId="35DC3DBA" w:rsidR="00C516A0" w:rsidRDefault="00C516A0" w:rsidP="00F337D2">
      <w:pPr>
        <w:pStyle w:val="ListParagraph"/>
        <w:numPr>
          <w:ilvl w:val="0"/>
          <w:numId w:val="5"/>
        </w:numPr>
        <w:jc w:val="both"/>
      </w:pPr>
      <w:r w:rsidRPr="00F337D2">
        <w:rPr>
          <w:b/>
          <w:bCs/>
        </w:rPr>
        <w:t xml:space="preserve">Provide an Extended Adaptation Period: </w:t>
      </w:r>
      <w:r>
        <w:t>Should the RBA proceed with the ban, a transition period of at least 18 to 24 months is essential. The proposed timeline, with a final decision by the end of 2025 and implementation by July 2026, is wholly inadequate. Businesses will need significant time to:</w:t>
      </w:r>
    </w:p>
    <w:p w14:paraId="43FA05E1" w14:textId="77777777" w:rsidR="00F337D2" w:rsidRDefault="00F337D2" w:rsidP="00F337D2">
      <w:pPr>
        <w:pStyle w:val="ListParagraph"/>
        <w:jc w:val="both"/>
      </w:pPr>
    </w:p>
    <w:p w14:paraId="4370A7E5" w14:textId="5C2920AE" w:rsidR="00C516A0" w:rsidRDefault="00C516A0" w:rsidP="00F337D2">
      <w:pPr>
        <w:pStyle w:val="ListParagraph"/>
        <w:numPr>
          <w:ilvl w:val="0"/>
          <w:numId w:val="1"/>
        </w:numPr>
        <w:ind w:left="1080"/>
        <w:jc w:val="both"/>
      </w:pPr>
      <w:r>
        <w:t>Renegotiate contracts with their payment providers.</w:t>
      </w:r>
    </w:p>
    <w:p w14:paraId="53E5D43B" w14:textId="46A26011" w:rsidR="00C516A0" w:rsidRDefault="00C516A0" w:rsidP="00F337D2">
      <w:pPr>
        <w:pStyle w:val="ListParagraph"/>
        <w:numPr>
          <w:ilvl w:val="0"/>
          <w:numId w:val="1"/>
        </w:numPr>
        <w:ind w:left="1080"/>
        <w:jc w:val="both"/>
      </w:pPr>
      <w:r>
        <w:t>Analyse and adjust their pricing structures across thousands of products and services.</w:t>
      </w:r>
    </w:p>
    <w:p w14:paraId="330BC5AF" w14:textId="750EC19F" w:rsidR="00C516A0" w:rsidRDefault="00C516A0" w:rsidP="00F337D2">
      <w:pPr>
        <w:pStyle w:val="ListParagraph"/>
        <w:numPr>
          <w:ilvl w:val="0"/>
          <w:numId w:val="1"/>
        </w:numPr>
        <w:ind w:left="1080"/>
        <w:jc w:val="both"/>
      </w:pPr>
      <w:r>
        <w:t>Update their point-of-sale systems, e-commerce platforms, and accounting software.</w:t>
      </w:r>
    </w:p>
    <w:p w14:paraId="65AB93C7" w14:textId="4CE1C8F2" w:rsidR="00C516A0" w:rsidRDefault="00C516A0" w:rsidP="00F337D2">
      <w:pPr>
        <w:pStyle w:val="ListParagraph"/>
        <w:numPr>
          <w:ilvl w:val="0"/>
          <w:numId w:val="1"/>
        </w:numPr>
        <w:ind w:left="1080"/>
        <w:jc w:val="both"/>
      </w:pPr>
      <w:r>
        <w:t>Retrain staff and manage customer communications.</w:t>
      </w:r>
    </w:p>
    <w:p w14:paraId="025124E5" w14:textId="58D6AB9F" w:rsidR="00C516A0" w:rsidRDefault="00C516A0" w:rsidP="00F337D2">
      <w:pPr>
        <w:pStyle w:val="ListParagraph"/>
        <w:numPr>
          <w:ilvl w:val="0"/>
          <w:numId w:val="6"/>
        </w:numPr>
        <w:ind w:left="1080"/>
        <w:jc w:val="both"/>
      </w:pPr>
      <w:r>
        <w:t>A rushed implementation will disproportionately harm SMEs, who lack the resources to adapt quickly, and could lead to a reduction in competition as smaller players are forced out of the market.</w:t>
      </w:r>
    </w:p>
    <w:p w14:paraId="7E01125F" w14:textId="77777777" w:rsidR="00C516A0" w:rsidRDefault="00C516A0" w:rsidP="00C516A0">
      <w:pPr>
        <w:jc w:val="both"/>
      </w:pPr>
    </w:p>
    <w:p w14:paraId="23618266" w14:textId="20C3518F" w:rsidR="00C516A0" w:rsidRDefault="00C516A0" w:rsidP="00C516A0">
      <w:pPr>
        <w:pStyle w:val="ListParagraph"/>
        <w:numPr>
          <w:ilvl w:val="0"/>
          <w:numId w:val="5"/>
        </w:numPr>
        <w:jc w:val="both"/>
      </w:pPr>
      <w:r>
        <w:t>Promote True Cost Transparency: Instead of a ban, the RBA should work with industry to develop a more transparent and standardised way of communicating payment costs to consumers at the point of sale. This would achieve the goal of empowering consumers without the negative economic consequences of a surcharge ban.</w:t>
      </w:r>
    </w:p>
    <w:p w14:paraId="62F6FAA1" w14:textId="6764C5A8" w:rsidR="00C516A0" w:rsidRPr="00F337D2" w:rsidRDefault="00C516A0" w:rsidP="00C516A0">
      <w:pPr>
        <w:jc w:val="both"/>
        <w:rPr>
          <w:b/>
          <w:bCs/>
        </w:rPr>
      </w:pPr>
      <w:r w:rsidRPr="00F337D2">
        <w:rPr>
          <w:b/>
          <w:bCs/>
        </w:rPr>
        <w:t>Conclusion</w:t>
      </w:r>
    </w:p>
    <w:p w14:paraId="0987517F" w14:textId="1FFFB672" w:rsidR="00C516A0" w:rsidRDefault="00C516A0" w:rsidP="00C516A0">
      <w:pPr>
        <w:jc w:val="both"/>
      </w:pPr>
      <w:r>
        <w:t>The proposal to ban surcharging is a regressive step that will harm both Australian consumers and businesses. It will lead to higher prices, reduced transparency, and a less competitive payments market. We urge the RBA to abandon this proposal and instead work with the industry to find solutions that promote genuine competition and efficiency. The principles of the free market, driven by transparency and consumer choice, remain the most effective path to a fair and efficient payments system for all Australians.</w:t>
      </w:r>
    </w:p>
    <w:p w14:paraId="274E23F8" w14:textId="77777777" w:rsidR="00C516A0" w:rsidRDefault="00C516A0" w:rsidP="00C516A0">
      <w:pPr>
        <w:jc w:val="both"/>
      </w:pPr>
      <w:r>
        <w:t>We welcome the opportunity to discuss this submission in further detail with the RBA.</w:t>
      </w:r>
    </w:p>
    <w:p w14:paraId="7BC6A8B9" w14:textId="77777777" w:rsidR="00C516A0" w:rsidRDefault="00C516A0" w:rsidP="00C516A0">
      <w:pPr>
        <w:jc w:val="both"/>
      </w:pPr>
    </w:p>
    <w:p w14:paraId="0F43B3ED" w14:textId="77777777" w:rsidR="00C516A0" w:rsidRDefault="00C516A0" w:rsidP="00C516A0">
      <w:pPr>
        <w:jc w:val="both"/>
      </w:pPr>
      <w:r>
        <w:t>Sincerely,</w:t>
      </w:r>
    </w:p>
    <w:p w14:paraId="335A422C" w14:textId="77777777" w:rsidR="00C516A0" w:rsidRDefault="00C516A0" w:rsidP="00C516A0">
      <w:pPr>
        <w:jc w:val="both"/>
      </w:pPr>
    </w:p>
    <w:p w14:paraId="7B1B3895" w14:textId="77777777" w:rsidR="00F337D2" w:rsidRDefault="00F337D2" w:rsidP="00C516A0">
      <w:pPr>
        <w:jc w:val="both"/>
      </w:pPr>
      <w:r>
        <w:t>Francesco Vorster</w:t>
      </w:r>
    </w:p>
    <w:p w14:paraId="18A870EE" w14:textId="77777777" w:rsidR="00F337D2" w:rsidRDefault="00F337D2" w:rsidP="00F337D2">
      <w:pPr>
        <w:pStyle w:val="NoSpacing"/>
      </w:pPr>
      <w:r>
        <w:t>Chief Executive Officer</w:t>
      </w:r>
    </w:p>
    <w:p w14:paraId="7F7F53E0" w14:textId="77777777" w:rsidR="00F337D2" w:rsidRDefault="00F337D2" w:rsidP="00F337D2">
      <w:pPr>
        <w:pStyle w:val="NoSpacing"/>
      </w:pPr>
      <w:r>
        <w:t xml:space="preserve">Venue Smart Pty Ltd </w:t>
      </w:r>
    </w:p>
    <w:p w14:paraId="0AC60A7B" w14:textId="3AE1BE6B" w:rsidR="00322730" w:rsidRDefault="00F337D2" w:rsidP="00F337D2">
      <w:pPr>
        <w:pStyle w:val="NoSpacing"/>
      </w:pPr>
      <w:r>
        <w:t>frank.vorster@venuesmart.co</w:t>
      </w:r>
    </w:p>
    <w:sectPr w:rsidR="0032273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98F74" w14:textId="77777777" w:rsidR="00034912" w:rsidRDefault="00034912" w:rsidP="00034912">
      <w:pPr>
        <w:spacing w:after="0" w:line="240" w:lineRule="auto"/>
      </w:pPr>
      <w:r>
        <w:separator/>
      </w:r>
    </w:p>
  </w:endnote>
  <w:endnote w:type="continuationSeparator" w:id="0">
    <w:p w14:paraId="1AADAF0F" w14:textId="77777777" w:rsidR="00034912" w:rsidRDefault="00034912" w:rsidP="000349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2F1C7" w14:textId="77777777" w:rsidR="00034912" w:rsidRDefault="00034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2AB8C" w14:textId="77777777" w:rsidR="00034912" w:rsidRDefault="00034912" w:rsidP="00034912">
      <w:pPr>
        <w:spacing w:after="0" w:line="240" w:lineRule="auto"/>
      </w:pPr>
      <w:r>
        <w:separator/>
      </w:r>
    </w:p>
  </w:footnote>
  <w:footnote w:type="continuationSeparator" w:id="0">
    <w:p w14:paraId="1BD5665C" w14:textId="77777777" w:rsidR="00034912" w:rsidRDefault="00034912" w:rsidP="000349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17D5"/>
    <w:multiLevelType w:val="hybridMultilevel"/>
    <w:tmpl w:val="EF7C2E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76E0110"/>
    <w:multiLevelType w:val="hybridMultilevel"/>
    <w:tmpl w:val="E21015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8B015AC"/>
    <w:multiLevelType w:val="hybridMultilevel"/>
    <w:tmpl w:val="480ED0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EE3082C"/>
    <w:multiLevelType w:val="hybridMultilevel"/>
    <w:tmpl w:val="7B7011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72B96FC0"/>
    <w:multiLevelType w:val="hybridMultilevel"/>
    <w:tmpl w:val="081C9A0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75DD7A03"/>
    <w:multiLevelType w:val="hybridMultilevel"/>
    <w:tmpl w:val="34F893D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7AA71F09"/>
    <w:multiLevelType w:val="hybridMultilevel"/>
    <w:tmpl w:val="BB94AE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61798435">
    <w:abstractNumId w:val="0"/>
  </w:num>
  <w:num w:numId="2" w16cid:durableId="1735659723">
    <w:abstractNumId w:val="6"/>
  </w:num>
  <w:num w:numId="3" w16cid:durableId="946348531">
    <w:abstractNumId w:val="2"/>
  </w:num>
  <w:num w:numId="4" w16cid:durableId="646515916">
    <w:abstractNumId w:val="1"/>
  </w:num>
  <w:num w:numId="5" w16cid:durableId="1854412954">
    <w:abstractNumId w:val="4"/>
  </w:num>
  <w:num w:numId="6" w16cid:durableId="1947541097">
    <w:abstractNumId w:val="3"/>
  </w:num>
  <w:num w:numId="7" w16cid:durableId="58661688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6A0"/>
    <w:rsid w:val="00034912"/>
    <w:rsid w:val="0004010E"/>
    <w:rsid w:val="00322730"/>
    <w:rsid w:val="00352F49"/>
    <w:rsid w:val="005F69FA"/>
    <w:rsid w:val="0083075A"/>
    <w:rsid w:val="00C516A0"/>
    <w:rsid w:val="00F337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1AB13"/>
  <w15:chartTrackingRefBased/>
  <w15:docId w15:val="{0F8A501B-2F5A-4B96-A310-950983D73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16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16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16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16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16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16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16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16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16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6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16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6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6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6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6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6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6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6A0"/>
    <w:rPr>
      <w:rFonts w:eastAsiaTheme="majorEastAsia" w:cstheme="majorBidi"/>
      <w:color w:val="272727" w:themeColor="text1" w:themeTint="D8"/>
    </w:rPr>
  </w:style>
  <w:style w:type="paragraph" w:styleId="Title">
    <w:name w:val="Title"/>
    <w:basedOn w:val="Normal"/>
    <w:next w:val="Normal"/>
    <w:link w:val="TitleChar"/>
    <w:uiPriority w:val="10"/>
    <w:qFormat/>
    <w:rsid w:val="00C516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16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6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16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6A0"/>
    <w:pPr>
      <w:spacing w:before="160"/>
      <w:jc w:val="center"/>
    </w:pPr>
    <w:rPr>
      <w:i/>
      <w:iCs/>
      <w:color w:val="404040" w:themeColor="text1" w:themeTint="BF"/>
    </w:rPr>
  </w:style>
  <w:style w:type="character" w:customStyle="1" w:styleId="QuoteChar">
    <w:name w:val="Quote Char"/>
    <w:basedOn w:val="DefaultParagraphFont"/>
    <w:link w:val="Quote"/>
    <w:uiPriority w:val="29"/>
    <w:rsid w:val="00C516A0"/>
    <w:rPr>
      <w:i/>
      <w:iCs/>
      <w:color w:val="404040" w:themeColor="text1" w:themeTint="BF"/>
    </w:rPr>
  </w:style>
  <w:style w:type="paragraph" w:styleId="ListParagraph">
    <w:name w:val="List Paragraph"/>
    <w:basedOn w:val="Normal"/>
    <w:uiPriority w:val="34"/>
    <w:qFormat/>
    <w:rsid w:val="00C516A0"/>
    <w:pPr>
      <w:ind w:left="720"/>
      <w:contextualSpacing/>
    </w:pPr>
  </w:style>
  <w:style w:type="character" w:styleId="IntenseEmphasis">
    <w:name w:val="Intense Emphasis"/>
    <w:basedOn w:val="DefaultParagraphFont"/>
    <w:uiPriority w:val="21"/>
    <w:qFormat/>
    <w:rsid w:val="00C516A0"/>
    <w:rPr>
      <w:i/>
      <w:iCs/>
      <w:color w:val="0F4761" w:themeColor="accent1" w:themeShade="BF"/>
    </w:rPr>
  </w:style>
  <w:style w:type="paragraph" w:styleId="IntenseQuote">
    <w:name w:val="Intense Quote"/>
    <w:basedOn w:val="Normal"/>
    <w:next w:val="Normal"/>
    <w:link w:val="IntenseQuoteChar"/>
    <w:uiPriority w:val="30"/>
    <w:qFormat/>
    <w:rsid w:val="00C516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16A0"/>
    <w:rPr>
      <w:i/>
      <w:iCs/>
      <w:color w:val="0F4761" w:themeColor="accent1" w:themeShade="BF"/>
    </w:rPr>
  </w:style>
  <w:style w:type="character" w:styleId="IntenseReference">
    <w:name w:val="Intense Reference"/>
    <w:basedOn w:val="DefaultParagraphFont"/>
    <w:uiPriority w:val="32"/>
    <w:qFormat/>
    <w:rsid w:val="00C516A0"/>
    <w:rPr>
      <w:b/>
      <w:bCs/>
      <w:smallCaps/>
      <w:color w:val="0F4761" w:themeColor="accent1" w:themeShade="BF"/>
      <w:spacing w:val="5"/>
    </w:rPr>
  </w:style>
  <w:style w:type="paragraph" w:styleId="Header">
    <w:name w:val="header"/>
    <w:basedOn w:val="Normal"/>
    <w:link w:val="HeaderChar"/>
    <w:uiPriority w:val="99"/>
    <w:unhideWhenUsed/>
    <w:rsid w:val="000349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4912"/>
  </w:style>
  <w:style w:type="paragraph" w:styleId="Footer">
    <w:name w:val="footer"/>
    <w:basedOn w:val="Normal"/>
    <w:link w:val="FooterChar"/>
    <w:uiPriority w:val="99"/>
    <w:unhideWhenUsed/>
    <w:rsid w:val="000349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4912"/>
  </w:style>
  <w:style w:type="paragraph" w:styleId="NoSpacing">
    <w:name w:val="No Spacing"/>
    <w:uiPriority w:val="1"/>
    <w:qFormat/>
    <w:rsid w:val="00F337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1247</Words>
  <Characters>7113</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Vorster</dc:creator>
  <cp:keywords/>
  <dc:description/>
  <cp:lastModifiedBy>WONG, Sally</cp:lastModifiedBy>
  <cp:revision>2</cp:revision>
  <dcterms:created xsi:type="dcterms:W3CDTF">2025-08-27T03:38:00Z</dcterms:created>
  <dcterms:modified xsi:type="dcterms:W3CDTF">2025-08-27T03:38:00Z</dcterms:modified>
</cp:coreProperties>
</file>