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0DB02" w14:textId="76F22427" w:rsidR="00E307A7" w:rsidRDefault="009269C5" w:rsidP="009269C5">
      <w:pPr>
        <w:jc w:val="center"/>
        <w:rPr>
          <w:rFonts w:ascii="Calibri" w:hAnsi="Calibri" w:cs="Calibri"/>
          <w:sz w:val="32"/>
          <w:szCs w:val="32"/>
        </w:rPr>
      </w:pPr>
      <w:r>
        <w:rPr>
          <w:rFonts w:ascii="Calibri" w:hAnsi="Calibri" w:cs="Calibri"/>
          <w:sz w:val="32"/>
          <w:szCs w:val="32"/>
        </w:rPr>
        <w:t xml:space="preserve">To </w:t>
      </w:r>
      <w:r w:rsidR="0094056C">
        <w:rPr>
          <w:rFonts w:ascii="Calibri" w:hAnsi="Calibri" w:cs="Calibri"/>
          <w:sz w:val="32"/>
          <w:szCs w:val="32"/>
        </w:rPr>
        <w:t>make</w:t>
      </w:r>
      <w:r>
        <w:rPr>
          <w:rFonts w:ascii="Calibri" w:hAnsi="Calibri" w:cs="Calibri"/>
          <w:sz w:val="32"/>
          <w:szCs w:val="32"/>
        </w:rPr>
        <w:t xml:space="preserve"> </w:t>
      </w:r>
      <w:r w:rsidR="00C647B6">
        <w:rPr>
          <w:rFonts w:ascii="Calibri" w:hAnsi="Calibri" w:cs="Calibri"/>
          <w:sz w:val="32"/>
          <w:szCs w:val="32"/>
        </w:rPr>
        <w:t xml:space="preserve">an Omelette, you must break </w:t>
      </w:r>
      <w:r>
        <w:rPr>
          <w:rFonts w:ascii="Calibri" w:hAnsi="Calibri" w:cs="Calibri"/>
          <w:sz w:val="32"/>
          <w:szCs w:val="32"/>
        </w:rPr>
        <w:t>some</w:t>
      </w:r>
      <w:r w:rsidR="00C647B6">
        <w:rPr>
          <w:rFonts w:ascii="Calibri" w:hAnsi="Calibri" w:cs="Calibri"/>
          <w:sz w:val="32"/>
          <w:szCs w:val="32"/>
        </w:rPr>
        <w:t xml:space="preserve"> Eggs!</w:t>
      </w:r>
    </w:p>
    <w:p w14:paraId="61CDC8FF" w14:textId="77777777" w:rsidR="00CA305D" w:rsidRPr="00C647B6" w:rsidRDefault="00CA305D">
      <w:pPr>
        <w:rPr>
          <w:rFonts w:ascii="Calibri" w:hAnsi="Calibri" w:cs="Calibri"/>
          <w:sz w:val="32"/>
          <w:szCs w:val="32"/>
        </w:rPr>
      </w:pPr>
    </w:p>
    <w:p w14:paraId="5A2209DD" w14:textId="644B25D0" w:rsidR="00E307A7" w:rsidRDefault="00E307A7">
      <w:pPr>
        <w:rPr>
          <w:rFonts w:ascii="Calibri" w:hAnsi="Calibri" w:cs="Calibri"/>
          <w:sz w:val="28"/>
          <w:szCs w:val="28"/>
        </w:rPr>
      </w:pPr>
      <w:r>
        <w:rPr>
          <w:rFonts w:ascii="Calibri" w:hAnsi="Calibri" w:cs="Calibri"/>
          <w:sz w:val="28"/>
          <w:szCs w:val="28"/>
        </w:rPr>
        <w:t xml:space="preserve">The release on 15/7/25 of the Reserve Bank of Australia’s Consultation Paper, entitled Review of Merchant Payment Costs and Surcharging, revealed that the RBA realised that any Ban on Surcharging, would have to be balanced by alterations to the Merchant Payment Costs </w:t>
      </w:r>
      <w:r w:rsidR="00C647B6">
        <w:rPr>
          <w:rFonts w:ascii="Calibri" w:hAnsi="Calibri" w:cs="Calibri"/>
          <w:sz w:val="28"/>
          <w:szCs w:val="28"/>
        </w:rPr>
        <w:t>and central to this would be the concept of Interchange</w:t>
      </w:r>
      <w:r w:rsidR="00E409E8">
        <w:rPr>
          <w:rFonts w:ascii="Calibri" w:hAnsi="Calibri" w:cs="Calibri"/>
          <w:sz w:val="28"/>
          <w:szCs w:val="28"/>
        </w:rPr>
        <w:t>.</w:t>
      </w:r>
      <w:r w:rsidR="00C647B6">
        <w:rPr>
          <w:rFonts w:ascii="Calibri" w:hAnsi="Calibri" w:cs="Calibri"/>
          <w:sz w:val="28"/>
          <w:szCs w:val="28"/>
        </w:rPr>
        <w:t xml:space="preserve"> </w:t>
      </w:r>
    </w:p>
    <w:p w14:paraId="70660AE2" w14:textId="5BF505E3" w:rsidR="00C647B6" w:rsidRDefault="00C647B6">
      <w:pPr>
        <w:rPr>
          <w:rFonts w:ascii="Calibri" w:hAnsi="Calibri" w:cs="Calibri"/>
          <w:sz w:val="28"/>
          <w:szCs w:val="28"/>
        </w:rPr>
      </w:pPr>
      <w:r>
        <w:rPr>
          <w:rFonts w:ascii="Calibri" w:hAnsi="Calibri" w:cs="Calibri"/>
          <w:sz w:val="28"/>
          <w:szCs w:val="28"/>
        </w:rPr>
        <w:t>I wrote a brief history of this concept in my previous submission to the Payment System Board Issues Paper</w:t>
      </w:r>
      <w:r w:rsidR="00E409E8">
        <w:rPr>
          <w:rFonts w:ascii="Calibri" w:hAnsi="Calibri" w:cs="Calibri"/>
          <w:sz w:val="28"/>
          <w:szCs w:val="28"/>
        </w:rPr>
        <w:t>,</w:t>
      </w:r>
      <w:r w:rsidR="00AA5EA8">
        <w:rPr>
          <w:rFonts w:ascii="Calibri" w:hAnsi="Calibri" w:cs="Calibri"/>
          <w:sz w:val="28"/>
          <w:szCs w:val="28"/>
        </w:rPr>
        <w:t xml:space="preserve"> noting that it</w:t>
      </w:r>
      <w:r w:rsidR="00CA305D">
        <w:rPr>
          <w:rFonts w:ascii="Calibri" w:hAnsi="Calibri" w:cs="Calibri"/>
          <w:sz w:val="28"/>
          <w:szCs w:val="28"/>
        </w:rPr>
        <w:t xml:space="preserve"> commenced</w:t>
      </w:r>
      <w:r>
        <w:rPr>
          <w:rFonts w:ascii="Calibri" w:hAnsi="Calibri" w:cs="Calibri"/>
          <w:sz w:val="28"/>
          <w:szCs w:val="28"/>
        </w:rPr>
        <w:t xml:space="preserve"> in 1958 when the Bank of America</w:t>
      </w:r>
      <w:r w:rsidR="00CA305D">
        <w:rPr>
          <w:rFonts w:ascii="Calibri" w:hAnsi="Calibri" w:cs="Calibri"/>
          <w:sz w:val="28"/>
          <w:szCs w:val="28"/>
        </w:rPr>
        <w:t>,</w:t>
      </w:r>
      <w:r>
        <w:rPr>
          <w:rFonts w:ascii="Calibri" w:hAnsi="Calibri" w:cs="Calibri"/>
          <w:sz w:val="28"/>
          <w:szCs w:val="28"/>
        </w:rPr>
        <w:t xml:space="preserve"> </w:t>
      </w:r>
      <w:r w:rsidR="00B8453A">
        <w:rPr>
          <w:rFonts w:ascii="Calibri" w:hAnsi="Calibri" w:cs="Calibri"/>
          <w:sz w:val="28"/>
          <w:szCs w:val="28"/>
        </w:rPr>
        <w:t xml:space="preserve">having </w:t>
      </w:r>
      <w:r>
        <w:rPr>
          <w:rFonts w:ascii="Calibri" w:hAnsi="Calibri" w:cs="Calibri"/>
          <w:sz w:val="28"/>
          <w:szCs w:val="28"/>
        </w:rPr>
        <w:t>launched a credit card program in California called the BankAmericard</w:t>
      </w:r>
      <w:r w:rsidR="00B8453A">
        <w:rPr>
          <w:rFonts w:ascii="Calibri" w:hAnsi="Calibri" w:cs="Calibri"/>
          <w:sz w:val="28"/>
          <w:szCs w:val="28"/>
        </w:rPr>
        <w:t>,</w:t>
      </w:r>
      <w:r w:rsidR="00AA5EA8">
        <w:rPr>
          <w:rFonts w:ascii="Calibri" w:hAnsi="Calibri" w:cs="Calibri"/>
          <w:sz w:val="28"/>
          <w:szCs w:val="28"/>
        </w:rPr>
        <w:t xml:space="preserve"> </w:t>
      </w:r>
      <w:r w:rsidR="00B8453A">
        <w:rPr>
          <w:rFonts w:ascii="Calibri" w:hAnsi="Calibri" w:cs="Calibri"/>
          <w:sz w:val="28"/>
          <w:szCs w:val="28"/>
        </w:rPr>
        <w:t>wanted t</w:t>
      </w:r>
      <w:r>
        <w:rPr>
          <w:rFonts w:ascii="Calibri" w:hAnsi="Calibri" w:cs="Calibri"/>
          <w:sz w:val="28"/>
          <w:szCs w:val="28"/>
        </w:rPr>
        <w:t xml:space="preserve">o encourage other banks to issue credit </w:t>
      </w:r>
      <w:r w:rsidR="00B8453A">
        <w:rPr>
          <w:rFonts w:ascii="Calibri" w:hAnsi="Calibri" w:cs="Calibri"/>
          <w:sz w:val="28"/>
          <w:szCs w:val="28"/>
        </w:rPr>
        <w:t>cards</w:t>
      </w:r>
      <w:r>
        <w:rPr>
          <w:rFonts w:ascii="Calibri" w:hAnsi="Calibri" w:cs="Calibri"/>
          <w:sz w:val="28"/>
          <w:szCs w:val="28"/>
        </w:rPr>
        <w:t xml:space="preserve"> to their </w:t>
      </w:r>
      <w:r w:rsidR="00B8453A">
        <w:rPr>
          <w:rFonts w:ascii="Calibri" w:hAnsi="Calibri" w:cs="Calibri"/>
          <w:sz w:val="28"/>
          <w:szCs w:val="28"/>
        </w:rPr>
        <w:t>customers. Th</w:t>
      </w:r>
      <w:r w:rsidR="00AA5EA8">
        <w:rPr>
          <w:rFonts w:ascii="Calibri" w:hAnsi="Calibri" w:cs="Calibri"/>
          <w:sz w:val="28"/>
          <w:szCs w:val="28"/>
        </w:rPr>
        <w:t>e concept of interchange</w:t>
      </w:r>
      <w:r w:rsidR="00B8453A">
        <w:rPr>
          <w:rFonts w:ascii="Calibri" w:hAnsi="Calibri" w:cs="Calibri"/>
          <w:sz w:val="28"/>
          <w:szCs w:val="28"/>
        </w:rPr>
        <w:t xml:space="preserve"> was designed to break the conundrum of limited merchant acceptance and limited cardholder usage, which </w:t>
      </w:r>
      <w:r w:rsidR="00E409E8">
        <w:rPr>
          <w:rFonts w:ascii="Calibri" w:hAnsi="Calibri" w:cs="Calibri"/>
          <w:sz w:val="28"/>
          <w:szCs w:val="28"/>
        </w:rPr>
        <w:t>had until then</w:t>
      </w:r>
      <w:r w:rsidR="00B8453A">
        <w:rPr>
          <w:rFonts w:ascii="Calibri" w:hAnsi="Calibri" w:cs="Calibri"/>
          <w:sz w:val="28"/>
          <w:szCs w:val="28"/>
        </w:rPr>
        <w:t xml:space="preserve"> stalled the uptake of this new type of payment card.</w:t>
      </w:r>
    </w:p>
    <w:p w14:paraId="39C318AF" w14:textId="547BFD6A" w:rsidR="00B8453A" w:rsidRDefault="00B8453A">
      <w:pPr>
        <w:rPr>
          <w:rFonts w:ascii="Calibri" w:hAnsi="Calibri" w:cs="Calibri"/>
          <w:sz w:val="28"/>
          <w:szCs w:val="28"/>
        </w:rPr>
      </w:pPr>
      <w:r>
        <w:rPr>
          <w:rFonts w:ascii="Calibri" w:hAnsi="Calibri" w:cs="Calibri"/>
          <w:sz w:val="28"/>
          <w:szCs w:val="28"/>
        </w:rPr>
        <w:t xml:space="preserve">The Bank of America was the creator of the Visa brand and by 1966 the Interbank Card Association, which used Mastercard as its brand, had also </w:t>
      </w:r>
      <w:r w:rsidR="00E409E8">
        <w:rPr>
          <w:rFonts w:ascii="Calibri" w:hAnsi="Calibri" w:cs="Calibri"/>
          <w:sz w:val="28"/>
          <w:szCs w:val="28"/>
        </w:rPr>
        <w:t>introduced</w:t>
      </w:r>
      <w:r>
        <w:rPr>
          <w:rFonts w:ascii="Calibri" w:hAnsi="Calibri" w:cs="Calibri"/>
          <w:sz w:val="28"/>
          <w:szCs w:val="28"/>
        </w:rPr>
        <w:t xml:space="preserve"> interchange to its participating banks.</w:t>
      </w:r>
      <w:r w:rsidR="009D5E88">
        <w:rPr>
          <w:rFonts w:ascii="Calibri" w:hAnsi="Calibri" w:cs="Calibri"/>
          <w:sz w:val="28"/>
          <w:szCs w:val="28"/>
        </w:rPr>
        <w:t xml:space="preserve"> With the growth of card acceptance in the 1980’s, merchants had already begun to challenge the concept of interchange. Debit cards became popular in the 1990s and th</w:t>
      </w:r>
      <w:r w:rsidR="00E409E8">
        <w:rPr>
          <w:rFonts w:ascii="Calibri" w:hAnsi="Calibri" w:cs="Calibri"/>
          <w:sz w:val="28"/>
          <w:szCs w:val="28"/>
        </w:rPr>
        <w:t>ese challenges helped to</w:t>
      </w:r>
      <w:r w:rsidR="009D5E88">
        <w:rPr>
          <w:rFonts w:ascii="Calibri" w:hAnsi="Calibri" w:cs="Calibri"/>
          <w:sz w:val="28"/>
          <w:szCs w:val="28"/>
        </w:rPr>
        <w:t xml:space="preserve"> le</w:t>
      </w:r>
      <w:r w:rsidR="00E409E8">
        <w:rPr>
          <w:rFonts w:ascii="Calibri" w:hAnsi="Calibri" w:cs="Calibri"/>
          <w:sz w:val="28"/>
          <w:szCs w:val="28"/>
        </w:rPr>
        <w:t>a</w:t>
      </w:r>
      <w:r w:rsidR="009D5E88">
        <w:rPr>
          <w:rFonts w:ascii="Calibri" w:hAnsi="Calibri" w:cs="Calibri"/>
          <w:sz w:val="28"/>
          <w:szCs w:val="28"/>
        </w:rPr>
        <w:t>d to the creation of a separated set of interchange fees</w:t>
      </w:r>
      <w:r w:rsidR="00E409E8">
        <w:rPr>
          <w:rFonts w:ascii="Calibri" w:hAnsi="Calibri" w:cs="Calibri"/>
          <w:sz w:val="28"/>
          <w:szCs w:val="28"/>
        </w:rPr>
        <w:t xml:space="preserve"> for this type of payment cards</w:t>
      </w:r>
    </w:p>
    <w:p w14:paraId="49E99996" w14:textId="3C21D857" w:rsidR="009D5E88" w:rsidRDefault="009D5E88">
      <w:pPr>
        <w:rPr>
          <w:rFonts w:ascii="Calibri" w:hAnsi="Calibri" w:cs="Calibri"/>
          <w:sz w:val="28"/>
          <w:szCs w:val="28"/>
        </w:rPr>
      </w:pPr>
      <w:r>
        <w:rPr>
          <w:rFonts w:ascii="Calibri" w:hAnsi="Calibri" w:cs="Calibri"/>
          <w:sz w:val="28"/>
          <w:szCs w:val="28"/>
        </w:rPr>
        <w:t>In 1996 American merchants sued Visa and Mastercard over the costs of interchange fees and in 2003</w:t>
      </w:r>
      <w:r w:rsidR="008A27CD">
        <w:rPr>
          <w:rFonts w:ascii="Calibri" w:hAnsi="Calibri" w:cs="Calibri"/>
          <w:sz w:val="28"/>
          <w:szCs w:val="28"/>
        </w:rPr>
        <w:t>,</w:t>
      </w:r>
      <w:r>
        <w:rPr>
          <w:rFonts w:ascii="Calibri" w:hAnsi="Calibri" w:cs="Calibri"/>
          <w:sz w:val="28"/>
          <w:szCs w:val="28"/>
        </w:rPr>
        <w:t xml:space="preserve"> the</w:t>
      </w:r>
      <w:r w:rsidR="008A27CD">
        <w:rPr>
          <w:rFonts w:ascii="Calibri" w:hAnsi="Calibri" w:cs="Calibri"/>
          <w:sz w:val="28"/>
          <w:szCs w:val="28"/>
        </w:rPr>
        <w:t>se</w:t>
      </w:r>
      <w:r>
        <w:rPr>
          <w:rFonts w:ascii="Calibri" w:hAnsi="Calibri" w:cs="Calibri"/>
          <w:sz w:val="28"/>
          <w:szCs w:val="28"/>
        </w:rPr>
        <w:t xml:space="preserve"> acceptance card</w:t>
      </w:r>
      <w:r w:rsidR="008A27CD">
        <w:rPr>
          <w:rFonts w:ascii="Calibri" w:hAnsi="Calibri" w:cs="Calibri"/>
          <w:sz w:val="28"/>
          <w:szCs w:val="28"/>
        </w:rPr>
        <w:t xml:space="preserve"> brands</w:t>
      </w:r>
      <w:r>
        <w:rPr>
          <w:rFonts w:ascii="Calibri" w:hAnsi="Calibri" w:cs="Calibri"/>
          <w:sz w:val="28"/>
          <w:szCs w:val="28"/>
        </w:rPr>
        <w:t xml:space="preserve"> settled this lawsuit at the cost of US$3 Billion</w:t>
      </w:r>
      <w:r w:rsidR="00AA5EA8">
        <w:rPr>
          <w:rFonts w:ascii="Calibri" w:hAnsi="Calibri" w:cs="Calibri"/>
          <w:sz w:val="28"/>
          <w:szCs w:val="28"/>
        </w:rPr>
        <w:t>,</w:t>
      </w:r>
      <w:r w:rsidR="00CA305D">
        <w:rPr>
          <w:rFonts w:ascii="Calibri" w:hAnsi="Calibri" w:cs="Calibri"/>
          <w:sz w:val="28"/>
          <w:szCs w:val="28"/>
        </w:rPr>
        <w:t xml:space="preserve"> with</w:t>
      </w:r>
      <w:r>
        <w:rPr>
          <w:rFonts w:ascii="Calibri" w:hAnsi="Calibri" w:cs="Calibri"/>
          <w:sz w:val="28"/>
          <w:szCs w:val="28"/>
        </w:rPr>
        <w:t xml:space="preserve"> a confirmation of </w:t>
      </w:r>
      <w:r w:rsidR="00E409E8">
        <w:rPr>
          <w:rFonts w:ascii="Calibri" w:hAnsi="Calibri" w:cs="Calibri"/>
          <w:sz w:val="28"/>
          <w:szCs w:val="28"/>
        </w:rPr>
        <w:t xml:space="preserve">the </w:t>
      </w:r>
      <w:r>
        <w:rPr>
          <w:rFonts w:ascii="Calibri" w:hAnsi="Calibri" w:cs="Calibri"/>
          <w:sz w:val="28"/>
          <w:szCs w:val="28"/>
        </w:rPr>
        <w:t>different interchange fees for credit and debit cards.</w:t>
      </w:r>
    </w:p>
    <w:p w14:paraId="6725B915" w14:textId="466AE903" w:rsidR="009D5E88" w:rsidRDefault="009D5E88">
      <w:pPr>
        <w:rPr>
          <w:rFonts w:ascii="Calibri" w:hAnsi="Calibri" w:cs="Calibri"/>
          <w:sz w:val="28"/>
          <w:szCs w:val="28"/>
        </w:rPr>
      </w:pPr>
      <w:r>
        <w:rPr>
          <w:rFonts w:ascii="Calibri" w:hAnsi="Calibri" w:cs="Calibri"/>
          <w:sz w:val="28"/>
          <w:szCs w:val="28"/>
        </w:rPr>
        <w:t xml:space="preserve">The battle over interchange fees in the USA continued in the 2000’s, with merchants still challenging the </w:t>
      </w:r>
      <w:r w:rsidR="00AA5EA8">
        <w:rPr>
          <w:rFonts w:ascii="Calibri" w:hAnsi="Calibri" w:cs="Calibri"/>
          <w:sz w:val="28"/>
          <w:szCs w:val="28"/>
        </w:rPr>
        <w:t xml:space="preserve">now entrenched </w:t>
      </w:r>
      <w:r>
        <w:rPr>
          <w:rFonts w:ascii="Calibri" w:hAnsi="Calibri" w:cs="Calibri"/>
          <w:sz w:val="28"/>
          <w:szCs w:val="28"/>
        </w:rPr>
        <w:t>payment cards duopoly</w:t>
      </w:r>
      <w:r w:rsidR="008A27CD">
        <w:rPr>
          <w:rFonts w:ascii="Calibri" w:hAnsi="Calibri" w:cs="Calibri"/>
          <w:sz w:val="28"/>
          <w:szCs w:val="28"/>
        </w:rPr>
        <w:t>, arguing that these fees raised consumer purchasing costs. This roused politicians into action and in 20</w:t>
      </w:r>
      <w:r w:rsidR="002C5BC4">
        <w:rPr>
          <w:rFonts w:ascii="Calibri" w:hAnsi="Calibri" w:cs="Calibri"/>
          <w:sz w:val="28"/>
          <w:szCs w:val="28"/>
        </w:rPr>
        <w:t>1</w:t>
      </w:r>
      <w:r w:rsidR="008A27CD">
        <w:rPr>
          <w:rFonts w:ascii="Calibri" w:hAnsi="Calibri" w:cs="Calibri"/>
          <w:sz w:val="28"/>
          <w:szCs w:val="28"/>
        </w:rPr>
        <w:t xml:space="preserve">0, the Durbin Amendment was passed which </w:t>
      </w:r>
      <w:r w:rsidR="00AA5EA8">
        <w:rPr>
          <w:rFonts w:ascii="Calibri" w:hAnsi="Calibri" w:cs="Calibri"/>
          <w:sz w:val="28"/>
          <w:szCs w:val="28"/>
        </w:rPr>
        <w:t xml:space="preserve">mandated the </w:t>
      </w:r>
      <w:r w:rsidR="008A27CD">
        <w:rPr>
          <w:rFonts w:ascii="Calibri" w:hAnsi="Calibri" w:cs="Calibri"/>
          <w:sz w:val="28"/>
          <w:szCs w:val="28"/>
        </w:rPr>
        <w:t>capp</w:t>
      </w:r>
      <w:r w:rsidR="00AA5EA8">
        <w:rPr>
          <w:rFonts w:ascii="Calibri" w:hAnsi="Calibri" w:cs="Calibri"/>
          <w:sz w:val="28"/>
          <w:szCs w:val="28"/>
        </w:rPr>
        <w:t>ing of</w:t>
      </w:r>
      <w:r w:rsidR="008A27CD">
        <w:rPr>
          <w:rFonts w:ascii="Calibri" w:hAnsi="Calibri" w:cs="Calibri"/>
          <w:sz w:val="28"/>
          <w:szCs w:val="28"/>
        </w:rPr>
        <w:t xml:space="preserve"> debit interchange fees and </w:t>
      </w:r>
      <w:r w:rsidR="00C8642F">
        <w:rPr>
          <w:rFonts w:ascii="Calibri" w:hAnsi="Calibri" w:cs="Calibri"/>
          <w:sz w:val="28"/>
          <w:szCs w:val="28"/>
        </w:rPr>
        <w:t>consequently</w:t>
      </w:r>
      <w:r w:rsidR="00AA5EA8">
        <w:rPr>
          <w:rFonts w:ascii="Calibri" w:hAnsi="Calibri" w:cs="Calibri"/>
          <w:sz w:val="28"/>
          <w:szCs w:val="28"/>
        </w:rPr>
        <w:t xml:space="preserve"> </w:t>
      </w:r>
      <w:r w:rsidR="008A27CD">
        <w:rPr>
          <w:rFonts w:ascii="Calibri" w:hAnsi="Calibri" w:cs="Calibri"/>
          <w:sz w:val="28"/>
          <w:szCs w:val="28"/>
        </w:rPr>
        <w:t>in 2011</w:t>
      </w:r>
      <w:r w:rsidR="00405C66">
        <w:rPr>
          <w:rFonts w:ascii="Calibri" w:hAnsi="Calibri" w:cs="Calibri"/>
          <w:sz w:val="28"/>
          <w:szCs w:val="28"/>
        </w:rPr>
        <w:t>,</w:t>
      </w:r>
      <w:r w:rsidR="008A27CD">
        <w:rPr>
          <w:rFonts w:ascii="Calibri" w:hAnsi="Calibri" w:cs="Calibri"/>
          <w:sz w:val="28"/>
          <w:szCs w:val="28"/>
        </w:rPr>
        <w:t xml:space="preserve"> the </w:t>
      </w:r>
      <w:r w:rsidR="00AA5EA8">
        <w:rPr>
          <w:rFonts w:ascii="Calibri" w:hAnsi="Calibri" w:cs="Calibri"/>
          <w:sz w:val="28"/>
          <w:szCs w:val="28"/>
        </w:rPr>
        <w:t xml:space="preserve">US </w:t>
      </w:r>
      <w:r w:rsidR="008A27CD">
        <w:rPr>
          <w:rFonts w:ascii="Calibri" w:hAnsi="Calibri" w:cs="Calibri"/>
          <w:sz w:val="28"/>
          <w:szCs w:val="28"/>
        </w:rPr>
        <w:t>Federal Reserve set a cap on debit card fees at 21 cents</w:t>
      </w:r>
      <w:r w:rsidR="00AA5EA8">
        <w:rPr>
          <w:rFonts w:ascii="Calibri" w:hAnsi="Calibri" w:cs="Calibri"/>
          <w:sz w:val="28"/>
          <w:szCs w:val="28"/>
        </w:rPr>
        <w:t>.</w:t>
      </w:r>
    </w:p>
    <w:p w14:paraId="4AC844FE" w14:textId="747D0913" w:rsidR="00E307A7" w:rsidRDefault="008A27CD">
      <w:pPr>
        <w:rPr>
          <w:rFonts w:ascii="Calibri" w:hAnsi="Calibri" w:cs="Calibri"/>
          <w:sz w:val="28"/>
          <w:szCs w:val="28"/>
        </w:rPr>
      </w:pPr>
      <w:r>
        <w:rPr>
          <w:rFonts w:ascii="Calibri" w:hAnsi="Calibri" w:cs="Calibri"/>
          <w:sz w:val="28"/>
          <w:szCs w:val="28"/>
        </w:rPr>
        <w:lastRenderedPageBreak/>
        <w:t xml:space="preserve">Litigation between </w:t>
      </w:r>
      <w:r w:rsidR="006B2D73">
        <w:rPr>
          <w:rFonts w:ascii="Calibri" w:hAnsi="Calibri" w:cs="Calibri"/>
          <w:sz w:val="28"/>
          <w:szCs w:val="28"/>
        </w:rPr>
        <w:t xml:space="preserve">lawmakers </w:t>
      </w:r>
      <w:r w:rsidR="00AA5EA8">
        <w:rPr>
          <w:rFonts w:ascii="Calibri" w:hAnsi="Calibri" w:cs="Calibri"/>
          <w:sz w:val="28"/>
          <w:szCs w:val="28"/>
        </w:rPr>
        <w:t xml:space="preserve">in the USA </w:t>
      </w:r>
      <w:r w:rsidR="006B2D73">
        <w:rPr>
          <w:rFonts w:ascii="Calibri" w:hAnsi="Calibri" w:cs="Calibri"/>
          <w:sz w:val="28"/>
          <w:szCs w:val="28"/>
        </w:rPr>
        <w:t>and the acceptance marques over the interchange fees continued and in 2013 Visa and Mastercard reached a US$7.25</w:t>
      </w:r>
      <w:r w:rsidR="0094056C">
        <w:rPr>
          <w:rFonts w:ascii="Calibri" w:hAnsi="Calibri" w:cs="Calibri"/>
          <w:sz w:val="28"/>
          <w:szCs w:val="28"/>
        </w:rPr>
        <w:t xml:space="preserve"> </w:t>
      </w:r>
      <w:r w:rsidR="006B2D73">
        <w:rPr>
          <w:rFonts w:ascii="Calibri" w:hAnsi="Calibri" w:cs="Calibri"/>
          <w:sz w:val="28"/>
          <w:szCs w:val="28"/>
        </w:rPr>
        <w:t xml:space="preserve">Billion antitrust settlement. The dispute continued and in 2022 the Federal Reserve proposed lowering the debit card interchange fee further, followed in 2023 by a push for caps on credit card interchange fees, building on the earlier Durbin amendment. </w:t>
      </w:r>
      <w:r w:rsidR="007C6EA2">
        <w:rPr>
          <w:rFonts w:ascii="Calibri" w:hAnsi="Calibri" w:cs="Calibri"/>
          <w:sz w:val="28"/>
          <w:szCs w:val="28"/>
        </w:rPr>
        <w:t xml:space="preserve">Indeed, </w:t>
      </w:r>
      <w:r w:rsidR="006B2D73">
        <w:rPr>
          <w:rFonts w:ascii="Calibri" w:hAnsi="Calibri" w:cs="Calibri"/>
          <w:sz w:val="28"/>
          <w:szCs w:val="28"/>
        </w:rPr>
        <w:t>Senators Durbin (Dem)</w:t>
      </w:r>
      <w:r w:rsidR="007C6EA2">
        <w:rPr>
          <w:rFonts w:ascii="Calibri" w:hAnsi="Calibri" w:cs="Calibri"/>
          <w:sz w:val="28"/>
          <w:szCs w:val="28"/>
        </w:rPr>
        <w:t xml:space="preserve"> </w:t>
      </w:r>
      <w:r w:rsidR="006B2D73">
        <w:rPr>
          <w:rFonts w:ascii="Calibri" w:hAnsi="Calibri" w:cs="Calibri"/>
          <w:sz w:val="28"/>
          <w:szCs w:val="28"/>
        </w:rPr>
        <w:t>and Marshall (</w:t>
      </w:r>
      <w:r w:rsidR="0094056C">
        <w:rPr>
          <w:rFonts w:ascii="Calibri" w:hAnsi="Calibri" w:cs="Calibri"/>
          <w:sz w:val="28"/>
          <w:szCs w:val="28"/>
        </w:rPr>
        <w:t xml:space="preserve">Rep) </w:t>
      </w:r>
      <w:r w:rsidR="002C5BC4">
        <w:rPr>
          <w:rFonts w:ascii="Calibri" w:hAnsi="Calibri" w:cs="Calibri"/>
          <w:sz w:val="28"/>
          <w:szCs w:val="28"/>
        </w:rPr>
        <w:t>tried, but were unsuccessful</w:t>
      </w:r>
      <w:r w:rsidR="00405C66">
        <w:rPr>
          <w:rFonts w:ascii="Calibri" w:hAnsi="Calibri" w:cs="Calibri"/>
          <w:sz w:val="28"/>
          <w:szCs w:val="28"/>
        </w:rPr>
        <w:t>,</w:t>
      </w:r>
      <w:r w:rsidR="007C6EA2">
        <w:rPr>
          <w:rFonts w:ascii="Calibri" w:hAnsi="Calibri" w:cs="Calibri"/>
          <w:sz w:val="28"/>
          <w:szCs w:val="28"/>
        </w:rPr>
        <w:t xml:space="preserve"> in June 2025 to attach their Credit Card Competition Act to a stablecoin bill in Congress. This</w:t>
      </w:r>
      <w:r w:rsidR="004323B7">
        <w:rPr>
          <w:rFonts w:ascii="Calibri" w:hAnsi="Calibri" w:cs="Calibri"/>
          <w:sz w:val="28"/>
          <w:szCs w:val="28"/>
        </w:rPr>
        <w:t xml:space="preserve"> battle is set to continue as</w:t>
      </w:r>
      <w:r w:rsidR="005458FF">
        <w:rPr>
          <w:rFonts w:ascii="Calibri" w:hAnsi="Calibri" w:cs="Calibri"/>
          <w:sz w:val="28"/>
          <w:szCs w:val="28"/>
        </w:rPr>
        <w:t xml:space="preserve"> merchants</w:t>
      </w:r>
      <w:r w:rsidR="004323B7">
        <w:rPr>
          <w:rFonts w:ascii="Calibri" w:hAnsi="Calibri" w:cs="Calibri"/>
          <w:sz w:val="28"/>
          <w:szCs w:val="28"/>
        </w:rPr>
        <w:t xml:space="preserve"> </w:t>
      </w:r>
      <w:r w:rsidR="005458FF">
        <w:rPr>
          <w:rFonts w:ascii="Calibri" w:hAnsi="Calibri" w:cs="Calibri"/>
          <w:sz w:val="28"/>
          <w:szCs w:val="28"/>
        </w:rPr>
        <w:t>argue</w:t>
      </w:r>
      <w:r w:rsidR="004323B7">
        <w:rPr>
          <w:rFonts w:ascii="Calibri" w:hAnsi="Calibri" w:cs="Calibri"/>
          <w:sz w:val="28"/>
          <w:szCs w:val="28"/>
        </w:rPr>
        <w:t xml:space="preserve"> </w:t>
      </w:r>
      <w:r w:rsidR="002C5BC4">
        <w:rPr>
          <w:rFonts w:ascii="Calibri" w:hAnsi="Calibri" w:cs="Calibri"/>
          <w:sz w:val="28"/>
          <w:szCs w:val="28"/>
        </w:rPr>
        <w:t xml:space="preserve">that </w:t>
      </w:r>
      <w:r w:rsidR="004323B7">
        <w:rPr>
          <w:rFonts w:ascii="Calibri" w:hAnsi="Calibri" w:cs="Calibri"/>
          <w:sz w:val="28"/>
          <w:szCs w:val="28"/>
        </w:rPr>
        <w:t>these</w:t>
      </w:r>
      <w:r w:rsidR="005458FF">
        <w:rPr>
          <w:rFonts w:ascii="Calibri" w:hAnsi="Calibri" w:cs="Calibri"/>
          <w:sz w:val="28"/>
          <w:szCs w:val="28"/>
        </w:rPr>
        <w:t xml:space="preserve"> fees are an undue and costly burden for them and the </w:t>
      </w:r>
      <w:r w:rsidR="0094056C">
        <w:rPr>
          <w:rFonts w:ascii="Calibri" w:hAnsi="Calibri" w:cs="Calibri"/>
          <w:sz w:val="28"/>
          <w:szCs w:val="28"/>
        </w:rPr>
        <w:t>S</w:t>
      </w:r>
      <w:r w:rsidR="005458FF">
        <w:rPr>
          <w:rFonts w:ascii="Calibri" w:hAnsi="Calibri" w:cs="Calibri"/>
          <w:sz w:val="28"/>
          <w:szCs w:val="28"/>
        </w:rPr>
        <w:t xml:space="preserve">enators contend that their bill would inject competition into a market dominated by Visa and Mastercard, by requiring that bank card issuers must </w:t>
      </w:r>
      <w:r w:rsidR="002C5BC4">
        <w:rPr>
          <w:rFonts w:ascii="Calibri" w:hAnsi="Calibri" w:cs="Calibri"/>
          <w:sz w:val="28"/>
          <w:szCs w:val="28"/>
        </w:rPr>
        <w:t>ensure that the card processing systems have a network other than Visa and Mastercard, as</w:t>
      </w:r>
      <w:r w:rsidR="005458FF">
        <w:rPr>
          <w:rFonts w:ascii="Calibri" w:hAnsi="Calibri" w:cs="Calibri"/>
          <w:sz w:val="28"/>
          <w:szCs w:val="28"/>
        </w:rPr>
        <w:t xml:space="preserve"> an alternative</w:t>
      </w:r>
      <w:r w:rsidR="002C5BC4">
        <w:rPr>
          <w:rFonts w:ascii="Calibri" w:hAnsi="Calibri" w:cs="Calibri"/>
          <w:sz w:val="28"/>
          <w:szCs w:val="28"/>
        </w:rPr>
        <w:t xml:space="preserve"> that is</w:t>
      </w:r>
      <w:r w:rsidR="005458FF">
        <w:rPr>
          <w:rFonts w:ascii="Calibri" w:hAnsi="Calibri" w:cs="Calibri"/>
          <w:sz w:val="28"/>
          <w:szCs w:val="28"/>
        </w:rPr>
        <w:t xml:space="preserve"> available</w:t>
      </w:r>
      <w:r w:rsidR="00AA5EA8">
        <w:rPr>
          <w:rFonts w:ascii="Calibri" w:hAnsi="Calibri" w:cs="Calibri"/>
          <w:sz w:val="28"/>
          <w:szCs w:val="28"/>
        </w:rPr>
        <w:t xml:space="preserve"> to merchants.</w:t>
      </w:r>
    </w:p>
    <w:p w14:paraId="4625BF35" w14:textId="77777777" w:rsidR="002D6B63" w:rsidRDefault="002D6B63">
      <w:pPr>
        <w:rPr>
          <w:rFonts w:ascii="Calibri" w:hAnsi="Calibri" w:cs="Calibri"/>
          <w:sz w:val="28"/>
          <w:szCs w:val="28"/>
        </w:rPr>
      </w:pPr>
    </w:p>
    <w:p w14:paraId="0ABD1F77" w14:textId="77777777" w:rsidR="002C5BC4" w:rsidRDefault="005458FF">
      <w:pPr>
        <w:rPr>
          <w:rFonts w:ascii="Calibri" w:hAnsi="Calibri" w:cs="Calibri"/>
          <w:sz w:val="28"/>
          <w:szCs w:val="28"/>
        </w:rPr>
      </w:pPr>
      <w:r>
        <w:rPr>
          <w:rFonts w:ascii="Calibri" w:hAnsi="Calibri" w:cs="Calibri"/>
          <w:sz w:val="28"/>
          <w:szCs w:val="28"/>
        </w:rPr>
        <w:t xml:space="preserve">Other </w:t>
      </w:r>
      <w:r w:rsidR="000F09E6">
        <w:rPr>
          <w:rFonts w:ascii="Calibri" w:hAnsi="Calibri" w:cs="Calibri"/>
          <w:sz w:val="28"/>
          <w:szCs w:val="28"/>
        </w:rPr>
        <w:t xml:space="preserve">jurisdictions </w:t>
      </w:r>
      <w:r>
        <w:rPr>
          <w:rFonts w:ascii="Calibri" w:hAnsi="Calibri" w:cs="Calibri"/>
          <w:sz w:val="28"/>
          <w:szCs w:val="28"/>
        </w:rPr>
        <w:t xml:space="preserve">have also seen </w:t>
      </w:r>
      <w:r w:rsidR="000F09E6">
        <w:rPr>
          <w:rFonts w:ascii="Calibri" w:hAnsi="Calibri" w:cs="Calibri"/>
          <w:sz w:val="28"/>
          <w:szCs w:val="28"/>
        </w:rPr>
        <w:t>legal actions against Visa and Mastercard; as recent as Ju</w:t>
      </w:r>
      <w:r w:rsidR="00AA5EA8">
        <w:rPr>
          <w:rFonts w:ascii="Calibri" w:hAnsi="Calibri" w:cs="Calibri"/>
          <w:sz w:val="28"/>
          <w:szCs w:val="28"/>
        </w:rPr>
        <w:t>ne</w:t>
      </w:r>
      <w:r w:rsidR="000F09E6">
        <w:rPr>
          <w:rFonts w:ascii="Calibri" w:hAnsi="Calibri" w:cs="Calibri"/>
          <w:sz w:val="28"/>
          <w:szCs w:val="28"/>
        </w:rPr>
        <w:t xml:space="preserve"> 2025, the United Kingdom’s Competition Appeal Tribunal (CAT) has ruled that Visa and Mastercard’s default multilateral interchange fees (MIF’s) breach European competition law. This judgment was the latest development in a long-running legal saga over interchange fees. The CAT’s unanimous ruling follows lawsuits brought by a large number of merchants over these MIF’s, </w:t>
      </w:r>
      <w:r w:rsidR="00720B9D">
        <w:rPr>
          <w:rFonts w:ascii="Calibri" w:hAnsi="Calibri" w:cs="Calibri"/>
          <w:sz w:val="28"/>
          <w:szCs w:val="28"/>
        </w:rPr>
        <w:t xml:space="preserve">which are </w:t>
      </w:r>
      <w:r w:rsidR="000F09E6">
        <w:rPr>
          <w:rFonts w:ascii="Calibri" w:hAnsi="Calibri" w:cs="Calibri"/>
          <w:sz w:val="28"/>
          <w:szCs w:val="28"/>
        </w:rPr>
        <w:t xml:space="preserve">set by the two dominate card networks, Visa and Mastercard. Merchants have long argued that such fees are excessive and non-negotiable, </w:t>
      </w:r>
      <w:r w:rsidR="00720B9D">
        <w:rPr>
          <w:rFonts w:ascii="Calibri" w:hAnsi="Calibri" w:cs="Calibri"/>
          <w:sz w:val="28"/>
          <w:szCs w:val="28"/>
        </w:rPr>
        <w:t>and that they</w:t>
      </w:r>
      <w:r w:rsidR="000F09E6">
        <w:rPr>
          <w:rFonts w:ascii="Calibri" w:hAnsi="Calibri" w:cs="Calibri"/>
          <w:sz w:val="28"/>
          <w:szCs w:val="28"/>
        </w:rPr>
        <w:t xml:space="preserve"> act as an imposed floor under their payment processing costs.</w:t>
      </w:r>
    </w:p>
    <w:p w14:paraId="7C62E97F" w14:textId="77777777" w:rsidR="002D6B63" w:rsidRDefault="002D6B63">
      <w:pPr>
        <w:rPr>
          <w:rFonts w:ascii="Calibri" w:hAnsi="Calibri" w:cs="Calibri"/>
          <w:sz w:val="28"/>
          <w:szCs w:val="28"/>
        </w:rPr>
      </w:pPr>
    </w:p>
    <w:p w14:paraId="0441CDC4" w14:textId="6B7F7C9E" w:rsidR="002D6B63" w:rsidRDefault="002C5BC4">
      <w:pPr>
        <w:rPr>
          <w:rFonts w:ascii="Calibri" w:hAnsi="Calibri" w:cs="Calibri"/>
          <w:sz w:val="28"/>
          <w:szCs w:val="28"/>
        </w:rPr>
      </w:pPr>
      <w:r>
        <w:rPr>
          <w:rFonts w:ascii="Calibri" w:hAnsi="Calibri" w:cs="Calibri"/>
          <w:sz w:val="28"/>
          <w:szCs w:val="28"/>
        </w:rPr>
        <w:t>T</w:t>
      </w:r>
      <w:r w:rsidR="00BC4AD0">
        <w:rPr>
          <w:rFonts w:ascii="Calibri" w:hAnsi="Calibri" w:cs="Calibri"/>
          <w:sz w:val="28"/>
          <w:szCs w:val="28"/>
        </w:rPr>
        <w:t>he CAT ruling aligns with previous legal findings, including the UK’s Supreme Court decision in 2020, that interchange fees restrict competition</w:t>
      </w:r>
      <w:r>
        <w:rPr>
          <w:rFonts w:ascii="Calibri" w:hAnsi="Calibri" w:cs="Calibri"/>
          <w:sz w:val="28"/>
          <w:szCs w:val="28"/>
        </w:rPr>
        <w:t>. Also,</w:t>
      </w:r>
      <w:r w:rsidR="00BC4AD0">
        <w:rPr>
          <w:rFonts w:ascii="Calibri" w:hAnsi="Calibri" w:cs="Calibri"/>
          <w:sz w:val="28"/>
          <w:szCs w:val="28"/>
        </w:rPr>
        <w:t xml:space="preserve"> this new ruling includes commercial cards and inter regional </w:t>
      </w:r>
      <w:r w:rsidR="0041507D">
        <w:rPr>
          <w:rFonts w:ascii="Calibri" w:hAnsi="Calibri" w:cs="Calibri"/>
          <w:sz w:val="28"/>
          <w:szCs w:val="28"/>
        </w:rPr>
        <w:t>MIF’s,</w:t>
      </w:r>
      <w:r w:rsidR="00BC4AD0">
        <w:rPr>
          <w:rFonts w:ascii="Calibri" w:hAnsi="Calibri" w:cs="Calibri"/>
          <w:sz w:val="28"/>
          <w:szCs w:val="28"/>
        </w:rPr>
        <w:t xml:space="preserve"> which have now </w:t>
      </w:r>
      <w:r w:rsidR="0041507D">
        <w:rPr>
          <w:rFonts w:ascii="Calibri" w:hAnsi="Calibri" w:cs="Calibri"/>
          <w:sz w:val="28"/>
          <w:szCs w:val="28"/>
        </w:rPr>
        <w:t xml:space="preserve">also </w:t>
      </w:r>
      <w:r w:rsidR="00BC4AD0">
        <w:rPr>
          <w:rFonts w:ascii="Calibri" w:hAnsi="Calibri" w:cs="Calibri"/>
          <w:sz w:val="28"/>
          <w:szCs w:val="28"/>
        </w:rPr>
        <w:t xml:space="preserve">been </w:t>
      </w:r>
      <w:r w:rsidR="0041507D">
        <w:rPr>
          <w:rFonts w:ascii="Calibri" w:hAnsi="Calibri" w:cs="Calibri"/>
          <w:sz w:val="28"/>
          <w:szCs w:val="28"/>
        </w:rPr>
        <w:t>ruled</w:t>
      </w:r>
      <w:r w:rsidR="00BC4AD0">
        <w:rPr>
          <w:rFonts w:ascii="Calibri" w:hAnsi="Calibri" w:cs="Calibri"/>
          <w:sz w:val="28"/>
          <w:szCs w:val="28"/>
        </w:rPr>
        <w:t xml:space="preserve"> unlawful.</w:t>
      </w:r>
      <w:r w:rsidR="00C8642F">
        <w:rPr>
          <w:rFonts w:ascii="Calibri" w:hAnsi="Calibri" w:cs="Calibri"/>
          <w:sz w:val="28"/>
          <w:szCs w:val="28"/>
        </w:rPr>
        <w:t xml:space="preserve"> Legal battles over interchange fees in the UK have a long history, but a class action lawsuit on behalf of British consumers was signed off by the CAT in May 2025, with Mastercard agreeing to a 200 </w:t>
      </w:r>
      <w:r w:rsidR="006A74D7">
        <w:rPr>
          <w:rFonts w:ascii="Calibri" w:hAnsi="Calibri" w:cs="Calibri"/>
          <w:sz w:val="28"/>
          <w:szCs w:val="28"/>
        </w:rPr>
        <w:t xml:space="preserve">million </w:t>
      </w:r>
      <w:r w:rsidR="00C8642F">
        <w:rPr>
          <w:rFonts w:ascii="Calibri" w:hAnsi="Calibri" w:cs="Calibri"/>
          <w:sz w:val="28"/>
          <w:szCs w:val="28"/>
        </w:rPr>
        <w:t xml:space="preserve">pounds </w:t>
      </w:r>
      <w:r w:rsidR="006A74D7">
        <w:rPr>
          <w:rFonts w:ascii="Calibri" w:hAnsi="Calibri" w:cs="Calibri"/>
          <w:sz w:val="28"/>
          <w:szCs w:val="28"/>
        </w:rPr>
        <w:t xml:space="preserve">settlement, from which consumers </w:t>
      </w:r>
      <w:r>
        <w:rPr>
          <w:rFonts w:ascii="Calibri" w:hAnsi="Calibri" w:cs="Calibri"/>
          <w:sz w:val="28"/>
          <w:szCs w:val="28"/>
        </w:rPr>
        <w:t xml:space="preserve">who hold Mastercard’s cards </w:t>
      </w:r>
      <w:r w:rsidR="006A74D7">
        <w:rPr>
          <w:rFonts w:ascii="Calibri" w:hAnsi="Calibri" w:cs="Calibri"/>
          <w:sz w:val="28"/>
          <w:szCs w:val="28"/>
        </w:rPr>
        <w:t xml:space="preserve">would receive around 70 pounds each. Further class actions </w:t>
      </w:r>
      <w:r w:rsidR="0085700D">
        <w:rPr>
          <w:rFonts w:ascii="Calibri" w:hAnsi="Calibri" w:cs="Calibri"/>
          <w:sz w:val="28"/>
          <w:szCs w:val="28"/>
        </w:rPr>
        <w:t xml:space="preserve">could </w:t>
      </w:r>
      <w:r w:rsidR="006A74D7">
        <w:rPr>
          <w:rFonts w:ascii="Calibri" w:hAnsi="Calibri" w:cs="Calibri"/>
          <w:sz w:val="28"/>
          <w:szCs w:val="28"/>
        </w:rPr>
        <w:t>well be merchant</w:t>
      </w:r>
      <w:r w:rsidR="00405C66">
        <w:rPr>
          <w:rFonts w:ascii="Calibri" w:hAnsi="Calibri" w:cs="Calibri"/>
          <w:sz w:val="28"/>
          <w:szCs w:val="28"/>
        </w:rPr>
        <w:t xml:space="preserve"> </w:t>
      </w:r>
      <w:r w:rsidR="006A74D7">
        <w:rPr>
          <w:rFonts w:ascii="Calibri" w:hAnsi="Calibri" w:cs="Calibri"/>
          <w:sz w:val="28"/>
          <w:szCs w:val="28"/>
        </w:rPr>
        <w:lastRenderedPageBreak/>
        <w:t xml:space="preserve">as well as consumer based and </w:t>
      </w:r>
      <w:r w:rsidR="0038628E">
        <w:rPr>
          <w:rFonts w:ascii="Calibri" w:hAnsi="Calibri" w:cs="Calibri"/>
          <w:sz w:val="28"/>
          <w:szCs w:val="28"/>
        </w:rPr>
        <w:t xml:space="preserve">may </w:t>
      </w:r>
      <w:r w:rsidR="006A74D7">
        <w:rPr>
          <w:rFonts w:ascii="Calibri" w:hAnsi="Calibri" w:cs="Calibri"/>
          <w:sz w:val="28"/>
          <w:szCs w:val="28"/>
        </w:rPr>
        <w:t>cover a period from 2019 to the date of the judgement, which then would also include interest.</w:t>
      </w:r>
    </w:p>
    <w:p w14:paraId="0B65AA7B" w14:textId="77777777" w:rsidR="002D6B63" w:rsidRDefault="002D6B63">
      <w:pPr>
        <w:rPr>
          <w:rFonts w:ascii="Calibri" w:hAnsi="Calibri" w:cs="Calibri"/>
          <w:sz w:val="28"/>
          <w:szCs w:val="28"/>
        </w:rPr>
      </w:pPr>
    </w:p>
    <w:p w14:paraId="09BDD402" w14:textId="6491A828" w:rsidR="002D6B63" w:rsidRDefault="002D6B63">
      <w:pPr>
        <w:rPr>
          <w:rFonts w:ascii="Calibri" w:hAnsi="Calibri" w:cs="Calibri"/>
          <w:sz w:val="28"/>
          <w:szCs w:val="28"/>
        </w:rPr>
      </w:pPr>
      <w:r>
        <w:rPr>
          <w:rFonts w:ascii="Calibri" w:hAnsi="Calibri" w:cs="Calibri"/>
          <w:sz w:val="28"/>
          <w:szCs w:val="28"/>
        </w:rPr>
        <w:t>What constitutes the total cost of interchange in 2025 includes for example, the costs of data security and scam awareness and exposure, which in fairness has benefits for both merchants and consumers. These and other costs that have already been incorporated into the costs of interchange, only add weight to the need for greater transparency, as to who pays for what and why?</w:t>
      </w:r>
    </w:p>
    <w:p w14:paraId="19A3F1EC" w14:textId="77777777" w:rsidR="002D6B63" w:rsidRDefault="002D6B63">
      <w:pPr>
        <w:rPr>
          <w:rFonts w:ascii="Calibri" w:hAnsi="Calibri" w:cs="Calibri"/>
          <w:sz w:val="28"/>
          <w:szCs w:val="28"/>
        </w:rPr>
      </w:pPr>
    </w:p>
    <w:p w14:paraId="7A899300" w14:textId="14D2BBC2" w:rsidR="00993D9E" w:rsidRDefault="00993D9E">
      <w:pPr>
        <w:rPr>
          <w:rFonts w:ascii="Calibri" w:hAnsi="Calibri" w:cs="Calibri"/>
          <w:sz w:val="28"/>
          <w:szCs w:val="28"/>
        </w:rPr>
      </w:pPr>
      <w:r>
        <w:rPr>
          <w:rFonts w:ascii="Calibri" w:hAnsi="Calibri" w:cs="Calibri"/>
          <w:sz w:val="28"/>
          <w:szCs w:val="28"/>
        </w:rPr>
        <w:t>Th</w:t>
      </w:r>
      <w:r w:rsidR="006A74D7">
        <w:rPr>
          <w:rFonts w:ascii="Calibri" w:hAnsi="Calibri" w:cs="Calibri"/>
          <w:sz w:val="28"/>
          <w:szCs w:val="28"/>
        </w:rPr>
        <w:t>e CAT</w:t>
      </w:r>
      <w:r>
        <w:rPr>
          <w:rFonts w:ascii="Calibri" w:hAnsi="Calibri" w:cs="Calibri"/>
          <w:sz w:val="28"/>
          <w:szCs w:val="28"/>
        </w:rPr>
        <w:t xml:space="preserve"> judgement follows similar global challenges, for example in 2025 Visa and Mastercard agreed to a US$30 Billion settlement to resolve a </w:t>
      </w:r>
      <w:r w:rsidR="0094056C">
        <w:rPr>
          <w:rFonts w:ascii="Calibri" w:hAnsi="Calibri" w:cs="Calibri"/>
          <w:sz w:val="28"/>
          <w:szCs w:val="28"/>
        </w:rPr>
        <w:t>19-year</w:t>
      </w:r>
      <w:r>
        <w:rPr>
          <w:rFonts w:ascii="Calibri" w:hAnsi="Calibri" w:cs="Calibri"/>
          <w:sz w:val="28"/>
          <w:szCs w:val="28"/>
        </w:rPr>
        <w:t xml:space="preserve"> dispute over merchant payment fees, which reduced charges for US merchants for at least five years</w:t>
      </w:r>
      <w:r w:rsidR="00330965">
        <w:rPr>
          <w:rFonts w:ascii="Calibri" w:hAnsi="Calibri" w:cs="Calibri"/>
          <w:sz w:val="28"/>
          <w:szCs w:val="28"/>
        </w:rPr>
        <w:t>.</w:t>
      </w:r>
    </w:p>
    <w:p w14:paraId="40995D5B" w14:textId="17D3E52C" w:rsidR="00330965" w:rsidRDefault="00330965">
      <w:pPr>
        <w:rPr>
          <w:rFonts w:ascii="Calibri" w:hAnsi="Calibri" w:cs="Calibri"/>
          <w:sz w:val="28"/>
          <w:szCs w:val="28"/>
        </w:rPr>
      </w:pPr>
      <w:r>
        <w:rPr>
          <w:rFonts w:ascii="Calibri" w:hAnsi="Calibri" w:cs="Calibri"/>
          <w:sz w:val="28"/>
          <w:szCs w:val="28"/>
        </w:rPr>
        <w:t>At the same time a coalition of Europe’s largest retailers are asking the European Commission to clamp down on Visa and Mastercard, over what they describe as opaque, inflation-exceeding fees. The merchant group accuses the two dominant card schemes of leveraging their market power to unilaterally raise their fees, without regulatory oversight or market discipline.</w:t>
      </w:r>
    </w:p>
    <w:p w14:paraId="4EBB2C27" w14:textId="797218AA" w:rsidR="00330965" w:rsidRDefault="00330965">
      <w:pPr>
        <w:rPr>
          <w:rFonts w:ascii="Calibri" w:hAnsi="Calibri" w:cs="Calibri"/>
          <w:sz w:val="28"/>
          <w:szCs w:val="28"/>
        </w:rPr>
      </w:pPr>
      <w:r>
        <w:rPr>
          <w:rFonts w:ascii="Calibri" w:hAnsi="Calibri" w:cs="Calibri"/>
          <w:sz w:val="28"/>
          <w:szCs w:val="28"/>
        </w:rPr>
        <w:t>Th</w:t>
      </w:r>
      <w:r w:rsidR="00CA305D">
        <w:rPr>
          <w:rFonts w:ascii="Calibri" w:hAnsi="Calibri" w:cs="Calibri"/>
          <w:sz w:val="28"/>
          <w:szCs w:val="28"/>
        </w:rPr>
        <w:t>e</w:t>
      </w:r>
      <w:r>
        <w:rPr>
          <w:rFonts w:ascii="Calibri" w:hAnsi="Calibri" w:cs="Calibri"/>
          <w:sz w:val="28"/>
          <w:szCs w:val="28"/>
        </w:rPr>
        <w:t>y are calling on the European Commission to use its antitrust power</w:t>
      </w:r>
      <w:r w:rsidR="0085700D">
        <w:rPr>
          <w:rFonts w:ascii="Calibri" w:hAnsi="Calibri" w:cs="Calibri"/>
          <w:sz w:val="28"/>
          <w:szCs w:val="28"/>
        </w:rPr>
        <w:t>s</w:t>
      </w:r>
      <w:r>
        <w:rPr>
          <w:rFonts w:ascii="Calibri" w:hAnsi="Calibri" w:cs="Calibri"/>
          <w:sz w:val="28"/>
          <w:szCs w:val="28"/>
        </w:rPr>
        <w:t xml:space="preserve"> to investigate these practices and to introduce pricing caps on interchange fees and impose transparency obligations on the two card networks. Th</w:t>
      </w:r>
      <w:r w:rsidR="00CA305D">
        <w:rPr>
          <w:rFonts w:ascii="Calibri" w:hAnsi="Calibri" w:cs="Calibri"/>
          <w:sz w:val="28"/>
          <w:szCs w:val="28"/>
        </w:rPr>
        <w:t>e</w:t>
      </w:r>
      <w:r>
        <w:rPr>
          <w:rFonts w:ascii="Calibri" w:hAnsi="Calibri" w:cs="Calibri"/>
          <w:sz w:val="28"/>
          <w:szCs w:val="28"/>
        </w:rPr>
        <w:t xml:space="preserve"> </w:t>
      </w:r>
      <w:r w:rsidR="00CA305D">
        <w:rPr>
          <w:rFonts w:ascii="Calibri" w:hAnsi="Calibri" w:cs="Calibri"/>
          <w:sz w:val="28"/>
          <w:szCs w:val="28"/>
        </w:rPr>
        <w:t>best</w:t>
      </w:r>
      <w:r>
        <w:rPr>
          <w:rFonts w:ascii="Calibri" w:hAnsi="Calibri" w:cs="Calibri"/>
          <w:sz w:val="28"/>
          <w:szCs w:val="28"/>
        </w:rPr>
        <w:t xml:space="preserve"> quote from this group about transparency</w:t>
      </w:r>
      <w:r w:rsidR="00CA305D">
        <w:rPr>
          <w:rFonts w:ascii="Calibri" w:hAnsi="Calibri" w:cs="Calibri"/>
          <w:sz w:val="28"/>
          <w:szCs w:val="28"/>
        </w:rPr>
        <w:t>,</w:t>
      </w:r>
      <w:r>
        <w:rPr>
          <w:rFonts w:ascii="Calibri" w:hAnsi="Calibri" w:cs="Calibri"/>
          <w:sz w:val="28"/>
          <w:szCs w:val="28"/>
        </w:rPr>
        <w:t xml:space="preserve"> is that the two dominant players in the euro area have</w:t>
      </w:r>
      <w:r w:rsidR="00CA305D">
        <w:rPr>
          <w:rFonts w:ascii="Calibri" w:hAnsi="Calibri" w:cs="Calibri"/>
          <w:sz w:val="28"/>
          <w:szCs w:val="28"/>
        </w:rPr>
        <w:t>, “also rendered their system of fees and rules so complex and opaque that the players are unable to understand, let alone challenge, what they are paying for and why”.</w:t>
      </w:r>
      <w:r>
        <w:rPr>
          <w:rFonts w:ascii="Calibri" w:hAnsi="Calibri" w:cs="Calibri"/>
          <w:sz w:val="28"/>
          <w:szCs w:val="28"/>
        </w:rPr>
        <w:t xml:space="preserve"> </w:t>
      </w:r>
    </w:p>
    <w:p w14:paraId="3D75561C" w14:textId="77777777" w:rsidR="002D6B63" w:rsidRDefault="002D6B63">
      <w:pPr>
        <w:rPr>
          <w:rFonts w:ascii="Calibri" w:hAnsi="Calibri" w:cs="Calibri"/>
          <w:sz w:val="28"/>
          <w:szCs w:val="28"/>
        </w:rPr>
      </w:pPr>
    </w:p>
    <w:p w14:paraId="7B19ECE9" w14:textId="3FF5F845" w:rsidR="00C8642F" w:rsidRDefault="00C8642F">
      <w:pPr>
        <w:rPr>
          <w:rFonts w:ascii="Calibri" w:hAnsi="Calibri" w:cs="Calibri"/>
          <w:sz w:val="28"/>
          <w:szCs w:val="28"/>
        </w:rPr>
      </w:pPr>
      <w:r>
        <w:rPr>
          <w:rFonts w:ascii="Calibri" w:hAnsi="Calibri" w:cs="Calibri"/>
          <w:sz w:val="28"/>
          <w:szCs w:val="28"/>
        </w:rPr>
        <w:t xml:space="preserve">If as a reader of this submission, you are </w:t>
      </w:r>
      <w:r w:rsidR="00C15F21">
        <w:rPr>
          <w:rFonts w:ascii="Calibri" w:hAnsi="Calibri" w:cs="Calibri"/>
          <w:sz w:val="28"/>
          <w:szCs w:val="28"/>
        </w:rPr>
        <w:t xml:space="preserve">probably </w:t>
      </w:r>
      <w:r>
        <w:rPr>
          <w:rFonts w:ascii="Calibri" w:hAnsi="Calibri" w:cs="Calibri"/>
          <w:sz w:val="28"/>
          <w:szCs w:val="28"/>
        </w:rPr>
        <w:t xml:space="preserve">now asking </w:t>
      </w:r>
      <w:r w:rsidR="00C15F21">
        <w:rPr>
          <w:rFonts w:ascii="Calibri" w:hAnsi="Calibri" w:cs="Calibri"/>
          <w:sz w:val="28"/>
          <w:szCs w:val="28"/>
        </w:rPr>
        <w:t xml:space="preserve">yourself, </w:t>
      </w:r>
      <w:r w:rsidR="00405C66">
        <w:rPr>
          <w:rFonts w:ascii="Calibri" w:hAnsi="Calibri" w:cs="Calibri"/>
          <w:sz w:val="28"/>
          <w:szCs w:val="28"/>
        </w:rPr>
        <w:t>‘</w:t>
      </w:r>
      <w:r w:rsidR="00C15F21">
        <w:rPr>
          <w:rFonts w:ascii="Calibri" w:hAnsi="Calibri" w:cs="Calibri"/>
          <w:sz w:val="28"/>
          <w:szCs w:val="28"/>
        </w:rPr>
        <w:t xml:space="preserve">what has </w:t>
      </w:r>
      <w:r w:rsidR="00405C66">
        <w:rPr>
          <w:rFonts w:ascii="Calibri" w:hAnsi="Calibri" w:cs="Calibri"/>
          <w:sz w:val="28"/>
          <w:szCs w:val="28"/>
        </w:rPr>
        <w:t xml:space="preserve">this </w:t>
      </w:r>
      <w:r w:rsidR="00C15F21">
        <w:rPr>
          <w:rFonts w:ascii="Calibri" w:hAnsi="Calibri" w:cs="Calibri"/>
          <w:sz w:val="28"/>
          <w:szCs w:val="28"/>
        </w:rPr>
        <w:t>got to do with making an omelette?</w:t>
      </w:r>
      <w:r w:rsidR="00405C66">
        <w:rPr>
          <w:rFonts w:ascii="Calibri" w:hAnsi="Calibri" w:cs="Calibri"/>
          <w:sz w:val="28"/>
          <w:szCs w:val="28"/>
        </w:rPr>
        <w:t>’</w:t>
      </w:r>
      <w:r w:rsidR="00C15F21">
        <w:rPr>
          <w:rFonts w:ascii="Calibri" w:hAnsi="Calibri" w:cs="Calibri"/>
          <w:sz w:val="28"/>
          <w:szCs w:val="28"/>
        </w:rPr>
        <w:t xml:space="preserve"> Well as an Australian Citizen, I am constantly disappointed with our national decision makers</w:t>
      </w:r>
      <w:r w:rsidR="00493149">
        <w:rPr>
          <w:rFonts w:ascii="Calibri" w:hAnsi="Calibri" w:cs="Calibri"/>
          <w:sz w:val="28"/>
          <w:szCs w:val="28"/>
        </w:rPr>
        <w:t>,</w:t>
      </w:r>
      <w:r w:rsidR="004340C0">
        <w:rPr>
          <w:rFonts w:ascii="Calibri" w:hAnsi="Calibri" w:cs="Calibri"/>
          <w:sz w:val="28"/>
          <w:szCs w:val="28"/>
        </w:rPr>
        <w:t xml:space="preserve"> who in my opinion never dare to fully implement the recommendations of the investigations that they have instigated, because they don’t want to </w:t>
      </w:r>
      <w:r w:rsidR="00BD70FE">
        <w:rPr>
          <w:rFonts w:ascii="Calibri" w:hAnsi="Calibri" w:cs="Calibri"/>
          <w:sz w:val="28"/>
          <w:szCs w:val="28"/>
        </w:rPr>
        <w:t>antagonise</w:t>
      </w:r>
      <w:r w:rsidR="004340C0">
        <w:rPr>
          <w:rFonts w:ascii="Calibri" w:hAnsi="Calibri" w:cs="Calibri"/>
          <w:sz w:val="28"/>
          <w:szCs w:val="28"/>
        </w:rPr>
        <w:t xml:space="preserve"> anybody. The issues of Merchant Card Payments Costs and Surcharging will require breaking  </w:t>
      </w:r>
      <w:r w:rsidR="004340C0">
        <w:rPr>
          <w:rFonts w:ascii="Calibri" w:hAnsi="Calibri" w:cs="Calibri"/>
          <w:sz w:val="28"/>
          <w:szCs w:val="28"/>
        </w:rPr>
        <w:lastRenderedPageBreak/>
        <w:t xml:space="preserve">a few eggs, but I believe that the result </w:t>
      </w:r>
      <w:r w:rsidR="00B752FA">
        <w:rPr>
          <w:rFonts w:ascii="Calibri" w:hAnsi="Calibri" w:cs="Calibri"/>
          <w:sz w:val="28"/>
          <w:szCs w:val="28"/>
        </w:rPr>
        <w:t>can</w:t>
      </w:r>
      <w:r w:rsidR="004340C0">
        <w:rPr>
          <w:rFonts w:ascii="Calibri" w:hAnsi="Calibri" w:cs="Calibri"/>
          <w:sz w:val="28"/>
          <w:szCs w:val="28"/>
        </w:rPr>
        <w:t xml:space="preserve"> be a</w:t>
      </w:r>
      <w:r w:rsidR="0085700D">
        <w:rPr>
          <w:rFonts w:ascii="Calibri" w:hAnsi="Calibri" w:cs="Calibri"/>
          <w:sz w:val="28"/>
          <w:szCs w:val="28"/>
        </w:rPr>
        <w:t xml:space="preserve"> </w:t>
      </w:r>
      <w:r w:rsidR="00721024">
        <w:rPr>
          <w:rFonts w:ascii="Calibri" w:hAnsi="Calibri" w:cs="Calibri"/>
          <w:sz w:val="28"/>
          <w:szCs w:val="28"/>
        </w:rPr>
        <w:t>payments omelette</w:t>
      </w:r>
      <w:r w:rsidR="004340C0">
        <w:rPr>
          <w:rFonts w:ascii="Calibri" w:hAnsi="Calibri" w:cs="Calibri"/>
          <w:sz w:val="28"/>
          <w:szCs w:val="28"/>
        </w:rPr>
        <w:t xml:space="preserve"> which will </w:t>
      </w:r>
      <w:r w:rsidR="00797D8E">
        <w:rPr>
          <w:rFonts w:ascii="Calibri" w:hAnsi="Calibri" w:cs="Calibri"/>
          <w:sz w:val="28"/>
          <w:szCs w:val="28"/>
        </w:rPr>
        <w:t>please both consumers and merchants.</w:t>
      </w:r>
      <w:r w:rsidR="004340C0">
        <w:rPr>
          <w:rFonts w:ascii="Calibri" w:hAnsi="Calibri" w:cs="Calibri"/>
          <w:sz w:val="28"/>
          <w:szCs w:val="28"/>
        </w:rPr>
        <w:t xml:space="preserve"> Some of the eggs will </w:t>
      </w:r>
      <w:r w:rsidR="00A53679">
        <w:rPr>
          <w:rFonts w:ascii="Calibri" w:hAnsi="Calibri" w:cs="Calibri"/>
          <w:sz w:val="28"/>
          <w:szCs w:val="28"/>
        </w:rPr>
        <w:t xml:space="preserve">be harder than others to </w:t>
      </w:r>
      <w:r w:rsidR="0085700D">
        <w:rPr>
          <w:rFonts w:ascii="Calibri" w:hAnsi="Calibri" w:cs="Calibri"/>
          <w:sz w:val="28"/>
          <w:szCs w:val="28"/>
        </w:rPr>
        <w:t>break</w:t>
      </w:r>
      <w:r w:rsidR="00FD1234">
        <w:rPr>
          <w:rFonts w:ascii="Calibri" w:hAnsi="Calibri" w:cs="Calibri"/>
          <w:sz w:val="28"/>
          <w:szCs w:val="28"/>
        </w:rPr>
        <w:t>;</w:t>
      </w:r>
      <w:r w:rsidR="004340C0">
        <w:rPr>
          <w:rFonts w:ascii="Calibri" w:hAnsi="Calibri" w:cs="Calibri"/>
          <w:sz w:val="28"/>
          <w:szCs w:val="28"/>
        </w:rPr>
        <w:t xml:space="preserve"> Visa and Mastercard </w:t>
      </w:r>
      <w:r w:rsidR="0085700D">
        <w:rPr>
          <w:rFonts w:ascii="Calibri" w:hAnsi="Calibri" w:cs="Calibri"/>
          <w:sz w:val="28"/>
          <w:szCs w:val="28"/>
        </w:rPr>
        <w:t xml:space="preserve">in particular </w:t>
      </w:r>
      <w:r w:rsidR="004340C0">
        <w:rPr>
          <w:rFonts w:ascii="Calibri" w:hAnsi="Calibri" w:cs="Calibri"/>
          <w:sz w:val="28"/>
          <w:szCs w:val="28"/>
        </w:rPr>
        <w:t xml:space="preserve">will </w:t>
      </w:r>
      <w:r w:rsidR="00AD2CD8">
        <w:rPr>
          <w:rFonts w:ascii="Calibri" w:hAnsi="Calibri" w:cs="Calibri"/>
          <w:sz w:val="28"/>
          <w:szCs w:val="28"/>
        </w:rPr>
        <w:t>be hard eggs</w:t>
      </w:r>
      <w:r w:rsidR="00FE413F">
        <w:rPr>
          <w:rFonts w:ascii="Calibri" w:hAnsi="Calibri" w:cs="Calibri"/>
          <w:sz w:val="28"/>
          <w:szCs w:val="28"/>
        </w:rPr>
        <w:t>,</w:t>
      </w:r>
      <w:r w:rsidR="004340C0">
        <w:rPr>
          <w:rFonts w:ascii="Calibri" w:hAnsi="Calibri" w:cs="Calibri"/>
          <w:sz w:val="28"/>
          <w:szCs w:val="28"/>
        </w:rPr>
        <w:t xml:space="preserve"> </w:t>
      </w:r>
      <w:r w:rsidR="007C5688">
        <w:rPr>
          <w:rFonts w:ascii="Calibri" w:hAnsi="Calibri" w:cs="Calibri"/>
          <w:sz w:val="28"/>
          <w:szCs w:val="28"/>
        </w:rPr>
        <w:t xml:space="preserve">as they will strive to </w:t>
      </w:r>
      <w:r w:rsidR="004340C0">
        <w:rPr>
          <w:rFonts w:ascii="Calibri" w:hAnsi="Calibri" w:cs="Calibri"/>
          <w:sz w:val="28"/>
          <w:szCs w:val="28"/>
        </w:rPr>
        <w:t>preserve their merchant fee structures and levels</w:t>
      </w:r>
      <w:r w:rsidR="002D6B63">
        <w:rPr>
          <w:rFonts w:ascii="Calibri" w:hAnsi="Calibri" w:cs="Calibri"/>
          <w:sz w:val="28"/>
          <w:szCs w:val="28"/>
        </w:rPr>
        <w:t>,</w:t>
      </w:r>
      <w:r w:rsidR="004340C0">
        <w:rPr>
          <w:rFonts w:ascii="Calibri" w:hAnsi="Calibri" w:cs="Calibri"/>
          <w:sz w:val="28"/>
          <w:szCs w:val="28"/>
        </w:rPr>
        <w:t xml:space="preserve"> a</w:t>
      </w:r>
      <w:r w:rsidR="00FE413F">
        <w:rPr>
          <w:rFonts w:ascii="Calibri" w:hAnsi="Calibri" w:cs="Calibri"/>
          <w:sz w:val="28"/>
          <w:szCs w:val="28"/>
        </w:rPr>
        <w:t>long with</w:t>
      </w:r>
      <w:r w:rsidR="004340C0">
        <w:rPr>
          <w:rFonts w:ascii="Calibri" w:hAnsi="Calibri" w:cs="Calibri"/>
          <w:sz w:val="28"/>
          <w:szCs w:val="28"/>
        </w:rPr>
        <w:t xml:space="preserve"> their justification of them. </w:t>
      </w:r>
    </w:p>
    <w:p w14:paraId="02353752" w14:textId="77777777" w:rsidR="002D6B63" w:rsidRDefault="002D6B63">
      <w:pPr>
        <w:rPr>
          <w:rFonts w:ascii="Calibri" w:hAnsi="Calibri" w:cs="Calibri"/>
          <w:sz w:val="28"/>
          <w:szCs w:val="28"/>
        </w:rPr>
      </w:pPr>
    </w:p>
    <w:p w14:paraId="578ADEB7" w14:textId="592DA049" w:rsidR="0038628E" w:rsidRDefault="004340C0">
      <w:pPr>
        <w:rPr>
          <w:rFonts w:ascii="Calibri" w:hAnsi="Calibri" w:cs="Calibri"/>
          <w:sz w:val="28"/>
          <w:szCs w:val="28"/>
        </w:rPr>
      </w:pPr>
      <w:r>
        <w:rPr>
          <w:rFonts w:ascii="Calibri" w:hAnsi="Calibri" w:cs="Calibri"/>
          <w:sz w:val="28"/>
          <w:szCs w:val="28"/>
        </w:rPr>
        <w:t>But</w:t>
      </w:r>
      <w:r w:rsidR="0085700D">
        <w:rPr>
          <w:rFonts w:ascii="Calibri" w:hAnsi="Calibri" w:cs="Calibri"/>
          <w:sz w:val="28"/>
          <w:szCs w:val="28"/>
        </w:rPr>
        <w:t>,</w:t>
      </w:r>
      <w:r>
        <w:rPr>
          <w:rFonts w:ascii="Calibri" w:hAnsi="Calibri" w:cs="Calibri"/>
          <w:sz w:val="28"/>
          <w:szCs w:val="28"/>
        </w:rPr>
        <w:t xml:space="preserve"> if there is the determination to break eggs, then it can be done, as evidenced by the history of the concept of interchange</w:t>
      </w:r>
      <w:r w:rsidR="0085700D">
        <w:rPr>
          <w:rFonts w:ascii="Calibri" w:hAnsi="Calibri" w:cs="Calibri"/>
          <w:sz w:val="28"/>
          <w:szCs w:val="28"/>
        </w:rPr>
        <w:t>.</w:t>
      </w:r>
    </w:p>
    <w:p w14:paraId="27E5C2C5" w14:textId="77777777" w:rsidR="002D6B63" w:rsidRDefault="002D6B63">
      <w:pPr>
        <w:rPr>
          <w:rFonts w:ascii="Calibri" w:hAnsi="Calibri" w:cs="Calibri"/>
          <w:sz w:val="28"/>
          <w:szCs w:val="28"/>
        </w:rPr>
      </w:pPr>
    </w:p>
    <w:p w14:paraId="1778652A" w14:textId="160AD012" w:rsidR="00E409E8" w:rsidRDefault="00E409E8">
      <w:pPr>
        <w:rPr>
          <w:rFonts w:ascii="Calibri" w:hAnsi="Calibri" w:cs="Calibri"/>
          <w:sz w:val="28"/>
          <w:szCs w:val="28"/>
        </w:rPr>
      </w:pPr>
      <w:r>
        <w:rPr>
          <w:rFonts w:ascii="Calibri" w:hAnsi="Calibri" w:cs="Calibri"/>
          <w:sz w:val="28"/>
          <w:szCs w:val="28"/>
        </w:rPr>
        <w:t>Professor Steve Worthington</w:t>
      </w:r>
    </w:p>
    <w:p w14:paraId="6FD57A34" w14:textId="4A2065A9" w:rsidR="00E409E8" w:rsidRDefault="00E409E8">
      <w:pPr>
        <w:rPr>
          <w:rFonts w:ascii="Calibri" w:hAnsi="Calibri" w:cs="Calibri"/>
          <w:sz w:val="28"/>
          <w:szCs w:val="28"/>
        </w:rPr>
      </w:pPr>
      <w:r>
        <w:rPr>
          <w:rFonts w:ascii="Calibri" w:hAnsi="Calibri" w:cs="Calibri"/>
          <w:sz w:val="28"/>
          <w:szCs w:val="28"/>
        </w:rPr>
        <w:t>Swinburne University</w:t>
      </w:r>
    </w:p>
    <w:p w14:paraId="1B6EB7CD" w14:textId="6506CEDF" w:rsidR="00E409E8" w:rsidRDefault="00E409E8">
      <w:pPr>
        <w:rPr>
          <w:rFonts w:ascii="Calibri" w:hAnsi="Calibri" w:cs="Calibri"/>
          <w:sz w:val="28"/>
          <w:szCs w:val="28"/>
        </w:rPr>
      </w:pPr>
      <w:r>
        <w:rPr>
          <w:rFonts w:ascii="Calibri" w:hAnsi="Calibri" w:cs="Calibri"/>
          <w:sz w:val="28"/>
          <w:szCs w:val="28"/>
        </w:rPr>
        <w:t>Victoria</w:t>
      </w:r>
    </w:p>
    <w:p w14:paraId="09AAB497" w14:textId="77777777" w:rsidR="005458FF" w:rsidRDefault="005458FF">
      <w:pPr>
        <w:rPr>
          <w:rFonts w:ascii="Calibri" w:hAnsi="Calibri" w:cs="Calibri"/>
          <w:sz w:val="28"/>
          <w:szCs w:val="28"/>
        </w:rPr>
      </w:pPr>
    </w:p>
    <w:p w14:paraId="2CEBCCAF" w14:textId="77777777" w:rsidR="00E307A7" w:rsidRPr="00E307A7" w:rsidRDefault="00E307A7">
      <w:pPr>
        <w:rPr>
          <w:rFonts w:ascii="Calibri" w:hAnsi="Calibri" w:cs="Calibri"/>
          <w:sz w:val="28"/>
          <w:szCs w:val="28"/>
        </w:rPr>
      </w:pPr>
    </w:p>
    <w:sectPr w:rsidR="00E307A7" w:rsidRPr="00E307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7A7"/>
    <w:rsid w:val="000F09E6"/>
    <w:rsid w:val="00125B70"/>
    <w:rsid w:val="002C5BC4"/>
    <w:rsid w:val="002D3598"/>
    <w:rsid w:val="002D6B63"/>
    <w:rsid w:val="00330965"/>
    <w:rsid w:val="0038628E"/>
    <w:rsid w:val="003A4DDB"/>
    <w:rsid w:val="00405C66"/>
    <w:rsid w:val="0041507D"/>
    <w:rsid w:val="004323B7"/>
    <w:rsid w:val="004340C0"/>
    <w:rsid w:val="00493149"/>
    <w:rsid w:val="004B4FAA"/>
    <w:rsid w:val="004E0E4C"/>
    <w:rsid w:val="005423E9"/>
    <w:rsid w:val="005458FF"/>
    <w:rsid w:val="006315EC"/>
    <w:rsid w:val="0064230A"/>
    <w:rsid w:val="006A74D7"/>
    <w:rsid w:val="006B2D73"/>
    <w:rsid w:val="00720B9D"/>
    <w:rsid w:val="00721024"/>
    <w:rsid w:val="007506EA"/>
    <w:rsid w:val="00784D27"/>
    <w:rsid w:val="00797D8E"/>
    <w:rsid w:val="007C5688"/>
    <w:rsid w:val="007C6EA2"/>
    <w:rsid w:val="00834E7D"/>
    <w:rsid w:val="0085700D"/>
    <w:rsid w:val="008A27CD"/>
    <w:rsid w:val="008D50E3"/>
    <w:rsid w:val="009269C5"/>
    <w:rsid w:val="00931ACD"/>
    <w:rsid w:val="0094056C"/>
    <w:rsid w:val="00993D9E"/>
    <w:rsid w:val="009A610E"/>
    <w:rsid w:val="009D5E88"/>
    <w:rsid w:val="00A36233"/>
    <w:rsid w:val="00A53679"/>
    <w:rsid w:val="00A92FFF"/>
    <w:rsid w:val="00AA5EA8"/>
    <w:rsid w:val="00AD2CD8"/>
    <w:rsid w:val="00B66DD3"/>
    <w:rsid w:val="00B752FA"/>
    <w:rsid w:val="00B8453A"/>
    <w:rsid w:val="00BC4AD0"/>
    <w:rsid w:val="00BD70FE"/>
    <w:rsid w:val="00C15F21"/>
    <w:rsid w:val="00C547BC"/>
    <w:rsid w:val="00C647B6"/>
    <w:rsid w:val="00C8642F"/>
    <w:rsid w:val="00CA305D"/>
    <w:rsid w:val="00CC6506"/>
    <w:rsid w:val="00E307A7"/>
    <w:rsid w:val="00E409E8"/>
    <w:rsid w:val="00E90238"/>
    <w:rsid w:val="00EA3AF2"/>
    <w:rsid w:val="00F90790"/>
    <w:rsid w:val="00FD1234"/>
    <w:rsid w:val="00FE413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77205"/>
  <w15:chartTrackingRefBased/>
  <w15:docId w15:val="{176C538A-B818-4859-BEB6-9FE5FAB5A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07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07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07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07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07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07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07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07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07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07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07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07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07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07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07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07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07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07A7"/>
    <w:rPr>
      <w:rFonts w:eastAsiaTheme="majorEastAsia" w:cstheme="majorBidi"/>
      <w:color w:val="272727" w:themeColor="text1" w:themeTint="D8"/>
    </w:rPr>
  </w:style>
  <w:style w:type="paragraph" w:styleId="Title">
    <w:name w:val="Title"/>
    <w:basedOn w:val="Normal"/>
    <w:next w:val="Normal"/>
    <w:link w:val="TitleChar"/>
    <w:uiPriority w:val="10"/>
    <w:qFormat/>
    <w:rsid w:val="00E307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07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07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07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07A7"/>
    <w:pPr>
      <w:spacing w:before="160"/>
      <w:jc w:val="center"/>
    </w:pPr>
    <w:rPr>
      <w:i/>
      <w:iCs/>
      <w:color w:val="404040" w:themeColor="text1" w:themeTint="BF"/>
    </w:rPr>
  </w:style>
  <w:style w:type="character" w:customStyle="1" w:styleId="QuoteChar">
    <w:name w:val="Quote Char"/>
    <w:basedOn w:val="DefaultParagraphFont"/>
    <w:link w:val="Quote"/>
    <w:uiPriority w:val="29"/>
    <w:rsid w:val="00E307A7"/>
    <w:rPr>
      <w:i/>
      <w:iCs/>
      <w:color w:val="404040" w:themeColor="text1" w:themeTint="BF"/>
    </w:rPr>
  </w:style>
  <w:style w:type="paragraph" w:styleId="ListParagraph">
    <w:name w:val="List Paragraph"/>
    <w:basedOn w:val="Normal"/>
    <w:uiPriority w:val="34"/>
    <w:qFormat/>
    <w:rsid w:val="00E307A7"/>
    <w:pPr>
      <w:ind w:left="720"/>
      <w:contextualSpacing/>
    </w:pPr>
  </w:style>
  <w:style w:type="character" w:styleId="IntenseEmphasis">
    <w:name w:val="Intense Emphasis"/>
    <w:basedOn w:val="DefaultParagraphFont"/>
    <w:uiPriority w:val="21"/>
    <w:qFormat/>
    <w:rsid w:val="00E307A7"/>
    <w:rPr>
      <w:i/>
      <w:iCs/>
      <w:color w:val="0F4761" w:themeColor="accent1" w:themeShade="BF"/>
    </w:rPr>
  </w:style>
  <w:style w:type="paragraph" w:styleId="IntenseQuote">
    <w:name w:val="Intense Quote"/>
    <w:basedOn w:val="Normal"/>
    <w:next w:val="Normal"/>
    <w:link w:val="IntenseQuoteChar"/>
    <w:uiPriority w:val="30"/>
    <w:qFormat/>
    <w:rsid w:val="00E307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07A7"/>
    <w:rPr>
      <w:i/>
      <w:iCs/>
      <w:color w:val="0F4761" w:themeColor="accent1" w:themeShade="BF"/>
    </w:rPr>
  </w:style>
  <w:style w:type="character" w:styleId="IntenseReference">
    <w:name w:val="Intense Reference"/>
    <w:basedOn w:val="DefaultParagraphFont"/>
    <w:uiPriority w:val="32"/>
    <w:qFormat/>
    <w:rsid w:val="00E307A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4C11A3-2629-41C5-8BAA-4B0CB2EC8702}">
  <ds:schemaRefs>
    <ds:schemaRef ds:uri="http://schemas.openxmlformats.org/officeDocument/2006/bibliography"/>
  </ds:schemaRefs>
</ds:datastoreItem>
</file>

<file path=docMetadata/LabelInfo.xml><?xml version="1.0" encoding="utf-8"?>
<clbl:labelList xmlns:clbl="http://schemas.microsoft.com/office/2020/mipLabelMetadata">
  <clbl:label id="{df7f7579-3e9c-4a7e-b844-420280f53859}" enabled="0" method="" siteId="{df7f7579-3e9c-4a7e-b844-420280f53859}"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4</Pages>
  <Words>1037</Words>
  <Characters>5915</Characters>
  <Application>Microsoft Office Word</Application>
  <DocSecurity>4</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Worthington</dc:creator>
  <cp:keywords/>
  <dc:description/>
  <cp:lastModifiedBy>WONG, Sally</cp:lastModifiedBy>
  <cp:revision>2</cp:revision>
  <cp:lastPrinted>2025-08-04T02:39:00Z</cp:lastPrinted>
  <dcterms:created xsi:type="dcterms:W3CDTF">2025-08-19T06:52:00Z</dcterms:created>
  <dcterms:modified xsi:type="dcterms:W3CDTF">2025-08-19T06:52:00Z</dcterms:modified>
</cp:coreProperties>
</file>