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4F7D4" w14:textId="77777777" w:rsidR="008705CA" w:rsidRDefault="008705CA">
      <w:pPr>
        <w:rPr>
          <w:rFonts w:ascii="Poppins" w:eastAsia="Poppins" w:hAnsi="Poppins" w:cs="Poppins"/>
          <w:sz w:val="22"/>
          <w:szCs w:val="22"/>
        </w:rPr>
      </w:pPr>
    </w:p>
    <w:p w14:paraId="21A46E03" w14:textId="77777777" w:rsidR="008705CA" w:rsidRDefault="008705CA">
      <w:pPr>
        <w:rPr>
          <w:rFonts w:ascii="Poppins" w:eastAsia="Poppins" w:hAnsi="Poppins" w:cs="Poppins"/>
          <w:sz w:val="22"/>
          <w:szCs w:val="22"/>
        </w:rPr>
      </w:pPr>
    </w:p>
    <w:p w14:paraId="3C1D3571" w14:textId="77777777" w:rsidR="008705CA" w:rsidRDefault="008705CA">
      <w:pPr>
        <w:rPr>
          <w:rFonts w:ascii="Poppins" w:eastAsia="Poppins" w:hAnsi="Poppins" w:cs="Poppins"/>
          <w:sz w:val="22"/>
          <w:szCs w:val="22"/>
        </w:rPr>
      </w:pPr>
    </w:p>
    <w:p w14:paraId="47980D69" w14:textId="77777777" w:rsidR="008705CA" w:rsidRDefault="008705CA">
      <w:pPr>
        <w:rPr>
          <w:rFonts w:ascii="Poppins" w:eastAsia="Poppins" w:hAnsi="Poppins" w:cs="Poppins"/>
          <w:sz w:val="22"/>
          <w:szCs w:val="22"/>
        </w:rPr>
      </w:pPr>
    </w:p>
    <w:p w14:paraId="2F475B6C" w14:textId="77777777" w:rsidR="008705CA" w:rsidRDefault="008705CA">
      <w:pPr>
        <w:rPr>
          <w:rFonts w:ascii="Poppins" w:eastAsia="Poppins" w:hAnsi="Poppins" w:cs="Poppins"/>
          <w:sz w:val="22"/>
          <w:szCs w:val="22"/>
        </w:rPr>
      </w:pPr>
    </w:p>
    <w:p w14:paraId="5F8B15C0" w14:textId="77777777" w:rsidR="008705CA" w:rsidRDefault="00132795">
      <w:pPr>
        <w:rPr>
          <w:rFonts w:ascii="Poppins" w:eastAsia="Poppins" w:hAnsi="Poppins" w:cs="Poppins"/>
          <w:sz w:val="22"/>
          <w:szCs w:val="22"/>
        </w:rPr>
      </w:pPr>
      <w:proofErr w:type="spellStart"/>
      <w:r>
        <w:rPr>
          <w:rFonts w:ascii="Poppins" w:eastAsia="Poppins" w:hAnsi="Poppins" w:cs="Poppins"/>
          <w:sz w:val="22"/>
          <w:szCs w:val="22"/>
        </w:rPr>
        <w:t>Smartpay</w:t>
      </w:r>
      <w:proofErr w:type="spellEnd"/>
      <w:r>
        <w:rPr>
          <w:rFonts w:ascii="Poppins" w:eastAsia="Poppins" w:hAnsi="Poppins" w:cs="Poppins"/>
          <w:sz w:val="22"/>
          <w:szCs w:val="22"/>
        </w:rPr>
        <w:t xml:space="preserve"> Submission</w:t>
      </w:r>
    </w:p>
    <w:p w14:paraId="75CE4695" w14:textId="77777777" w:rsidR="008705CA" w:rsidRDefault="00132795">
      <w:pPr>
        <w:rPr>
          <w:rFonts w:ascii="Poppins" w:eastAsia="Poppins" w:hAnsi="Poppins" w:cs="Poppins"/>
          <w:b/>
          <w:sz w:val="22"/>
          <w:szCs w:val="22"/>
        </w:rPr>
      </w:pPr>
      <w:r>
        <w:rPr>
          <w:rFonts w:ascii="Poppins" w:eastAsia="Poppins" w:hAnsi="Poppins" w:cs="Poppins"/>
          <w:b/>
          <w:sz w:val="22"/>
          <w:szCs w:val="22"/>
        </w:rPr>
        <w:t>Review of Merchant Card Payment Costs and Surcharging</w:t>
      </w:r>
    </w:p>
    <w:p w14:paraId="0576A82F" w14:textId="77777777" w:rsidR="008705CA" w:rsidRDefault="00132795">
      <w:pPr>
        <w:rPr>
          <w:rFonts w:ascii="Poppins" w:eastAsia="Poppins" w:hAnsi="Poppins" w:cs="Poppins"/>
          <w:b/>
          <w:sz w:val="22"/>
          <w:szCs w:val="22"/>
        </w:rPr>
      </w:pPr>
      <w:r>
        <w:rPr>
          <w:rFonts w:ascii="Poppins" w:eastAsia="Poppins" w:hAnsi="Poppins" w:cs="Poppins"/>
          <w:b/>
          <w:sz w:val="22"/>
          <w:szCs w:val="22"/>
        </w:rPr>
        <w:t>August 2025</w:t>
      </w:r>
    </w:p>
    <w:p w14:paraId="341ED5D6" w14:textId="77777777" w:rsidR="008705CA" w:rsidRDefault="00132795">
      <w:pPr>
        <w:rPr>
          <w:rFonts w:ascii="Poppins" w:eastAsia="Poppins" w:hAnsi="Poppins" w:cs="Poppins"/>
          <w:b/>
          <w:color w:val="FF0000"/>
          <w:sz w:val="22"/>
          <w:szCs w:val="22"/>
        </w:rPr>
      </w:pPr>
      <w:r>
        <w:rPr>
          <w:rFonts w:ascii="Poppins" w:eastAsia="Poppins" w:hAnsi="Poppins" w:cs="Poppins"/>
          <w:b/>
          <w:i/>
          <w:color w:val="FF0000"/>
          <w:sz w:val="22"/>
          <w:szCs w:val="22"/>
        </w:rPr>
        <w:t>PUBLIC SUBMISSION</w:t>
      </w:r>
    </w:p>
    <w:p w14:paraId="1DFE4684" w14:textId="77777777" w:rsidR="008705CA" w:rsidRDefault="008705CA">
      <w:pPr>
        <w:rPr>
          <w:rFonts w:ascii="Poppins" w:eastAsia="Poppins" w:hAnsi="Poppins" w:cs="Poppins"/>
          <w:sz w:val="22"/>
          <w:szCs w:val="22"/>
        </w:rPr>
      </w:pPr>
    </w:p>
    <w:p w14:paraId="3EE3EC47" w14:textId="77777777" w:rsidR="008705CA" w:rsidRDefault="008705CA">
      <w:pPr>
        <w:rPr>
          <w:rFonts w:ascii="Poppins" w:eastAsia="Poppins" w:hAnsi="Poppins" w:cs="Poppins"/>
          <w:sz w:val="22"/>
          <w:szCs w:val="22"/>
        </w:rPr>
      </w:pPr>
    </w:p>
    <w:p w14:paraId="48EC2DB8" w14:textId="77777777" w:rsidR="008705CA" w:rsidRDefault="008705CA">
      <w:pPr>
        <w:rPr>
          <w:rFonts w:ascii="Poppins" w:eastAsia="Poppins" w:hAnsi="Poppins" w:cs="Poppins"/>
          <w:sz w:val="16"/>
          <w:szCs w:val="16"/>
        </w:rPr>
      </w:pPr>
    </w:p>
    <w:p w14:paraId="27A2C217" w14:textId="77777777" w:rsidR="008705CA" w:rsidRDefault="00132795">
      <w:pPr>
        <w:rPr>
          <w:rFonts w:ascii="Poppins" w:eastAsia="Poppins" w:hAnsi="Poppins" w:cs="Poppins"/>
          <w:sz w:val="19"/>
          <w:szCs w:val="19"/>
        </w:rPr>
      </w:pPr>
      <w:r>
        <w:rPr>
          <w:rFonts w:ascii="Poppins" w:eastAsia="Poppins" w:hAnsi="Poppins" w:cs="Poppins"/>
          <w:sz w:val="19"/>
          <w:szCs w:val="19"/>
        </w:rPr>
        <w:t xml:space="preserve">Head of Payments Policy Department Reserve Bank of Australia GPO Box 3947 Sydney NSW 2001.  The RBA asks that, where it is practicable to do so, submissions are provided by email.  </w:t>
      </w:r>
      <w:hyperlink r:id="rId7">
        <w:r>
          <w:rPr>
            <w:rFonts w:ascii="Poppins" w:eastAsia="Poppins" w:hAnsi="Poppins" w:cs="Poppins"/>
            <w:color w:val="0000FF"/>
            <w:sz w:val="19"/>
            <w:szCs w:val="19"/>
            <w:u w:val="single"/>
          </w:rPr>
          <w:t>pysubmissions@rba.gov.au</w:t>
        </w:r>
      </w:hyperlink>
    </w:p>
    <w:p w14:paraId="29FCA275" w14:textId="77777777" w:rsidR="008705CA" w:rsidRDefault="008705CA">
      <w:pPr>
        <w:rPr>
          <w:rFonts w:ascii="Poppins" w:eastAsia="Poppins" w:hAnsi="Poppins" w:cs="Poppins"/>
          <w:i/>
          <w:sz w:val="19"/>
          <w:szCs w:val="19"/>
        </w:rPr>
      </w:pPr>
    </w:p>
    <w:p w14:paraId="5BF11B86" w14:textId="77777777" w:rsidR="008705CA" w:rsidRDefault="008705CA">
      <w:pPr>
        <w:rPr>
          <w:rFonts w:ascii="Poppins" w:eastAsia="Poppins" w:hAnsi="Poppins" w:cs="Poppins"/>
          <w:i/>
          <w:sz w:val="19"/>
          <w:szCs w:val="19"/>
        </w:rPr>
      </w:pPr>
    </w:p>
    <w:p w14:paraId="4BB9C649" w14:textId="77777777" w:rsidR="008705CA" w:rsidRDefault="008705CA">
      <w:pPr>
        <w:rPr>
          <w:rFonts w:ascii="Poppins" w:eastAsia="Poppins" w:hAnsi="Poppins" w:cs="Poppins"/>
          <w:i/>
          <w:sz w:val="19"/>
          <w:szCs w:val="19"/>
        </w:rPr>
      </w:pPr>
    </w:p>
    <w:p w14:paraId="30F8B9DC" w14:textId="77777777" w:rsidR="008705CA" w:rsidRDefault="008705CA">
      <w:pPr>
        <w:rPr>
          <w:rFonts w:ascii="Poppins" w:eastAsia="Poppins" w:hAnsi="Poppins" w:cs="Poppins"/>
          <w:i/>
          <w:sz w:val="19"/>
          <w:szCs w:val="19"/>
        </w:rPr>
      </w:pPr>
    </w:p>
    <w:p w14:paraId="50FEF082" w14:textId="77777777" w:rsidR="008705CA" w:rsidRDefault="008705CA">
      <w:pPr>
        <w:rPr>
          <w:rFonts w:ascii="Poppins" w:eastAsia="Poppins" w:hAnsi="Poppins" w:cs="Poppins"/>
          <w:i/>
          <w:sz w:val="19"/>
          <w:szCs w:val="19"/>
        </w:rPr>
      </w:pPr>
    </w:p>
    <w:p w14:paraId="5F5D7EEB" w14:textId="77777777" w:rsidR="008705CA" w:rsidRDefault="008705CA">
      <w:pPr>
        <w:rPr>
          <w:rFonts w:ascii="Poppins" w:eastAsia="Poppins" w:hAnsi="Poppins" w:cs="Poppins"/>
          <w:i/>
          <w:sz w:val="19"/>
          <w:szCs w:val="19"/>
        </w:rPr>
      </w:pPr>
    </w:p>
    <w:p w14:paraId="20DAF974" w14:textId="77777777" w:rsidR="008705CA" w:rsidRDefault="008705CA">
      <w:pPr>
        <w:rPr>
          <w:rFonts w:ascii="Poppins" w:eastAsia="Poppins" w:hAnsi="Poppins" w:cs="Poppins"/>
          <w:i/>
          <w:sz w:val="19"/>
          <w:szCs w:val="19"/>
        </w:rPr>
      </w:pPr>
    </w:p>
    <w:p w14:paraId="0BA0A931" w14:textId="77777777" w:rsidR="008705CA" w:rsidRDefault="00132795">
      <w:pPr>
        <w:rPr>
          <w:rFonts w:ascii="Poppins" w:eastAsia="Poppins" w:hAnsi="Poppins" w:cs="Poppins"/>
          <w:i/>
          <w:sz w:val="19"/>
          <w:szCs w:val="19"/>
        </w:rPr>
      </w:pPr>
      <w:r>
        <w:rPr>
          <w:rFonts w:ascii="Poppins" w:eastAsia="Poppins" w:hAnsi="Poppins" w:cs="Poppins"/>
          <w:i/>
          <w:sz w:val="19"/>
          <w:szCs w:val="19"/>
        </w:rPr>
        <w:t>Submissions provided by email should be in a separate document, in Word or equivalent format. A version in an accessible format, such as .rtf or .doc must accompany submissions in PDF format.</w:t>
      </w:r>
    </w:p>
    <w:p w14:paraId="2D876C4F" w14:textId="77777777" w:rsidR="008705CA" w:rsidRDefault="008705CA">
      <w:pPr>
        <w:rPr>
          <w:rFonts w:ascii="Poppins" w:eastAsia="Poppins" w:hAnsi="Poppins" w:cs="Poppins"/>
          <w:i/>
          <w:sz w:val="22"/>
          <w:szCs w:val="22"/>
        </w:rPr>
      </w:pPr>
    </w:p>
    <w:p w14:paraId="3F52CC52" w14:textId="77777777" w:rsidR="008705CA" w:rsidRDefault="00132795">
      <w:pPr>
        <w:rPr>
          <w:rFonts w:ascii="Poppins" w:eastAsia="Poppins" w:hAnsi="Poppins" w:cs="Poppins"/>
          <w:sz w:val="22"/>
          <w:szCs w:val="22"/>
        </w:rPr>
      </w:pPr>
      <w:r>
        <w:br w:type="page"/>
      </w:r>
    </w:p>
    <w:p w14:paraId="6675336A" w14:textId="77777777" w:rsidR="008705CA" w:rsidRDefault="00132795">
      <w:pPr>
        <w:rPr>
          <w:rFonts w:ascii="Poppins" w:eastAsia="Poppins" w:hAnsi="Poppins" w:cs="Poppins"/>
          <w:sz w:val="19"/>
          <w:szCs w:val="19"/>
        </w:rPr>
      </w:pPr>
      <w:r>
        <w:rPr>
          <w:rFonts w:ascii="Poppins" w:eastAsia="Poppins" w:hAnsi="Poppins" w:cs="Poppins"/>
          <w:sz w:val="19"/>
          <w:szCs w:val="19"/>
        </w:rPr>
        <w:lastRenderedPageBreak/>
        <w:t>Dear Mr. Connolly</w:t>
      </w:r>
    </w:p>
    <w:p w14:paraId="39424A3E" w14:textId="77777777" w:rsidR="008705CA" w:rsidRDefault="00132795">
      <w:pPr>
        <w:spacing w:after="0" w:line="276" w:lineRule="auto"/>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a publicly listed company (ASX: SMP, NZX: SPY), thanks the Reserve Bank of Australia (RBA) for the opportunity to respond to this critical consultation on merchant card payment costs and surcharging. </w:t>
      </w:r>
    </w:p>
    <w:p w14:paraId="3F26F31B" w14:textId="77777777" w:rsidR="008705CA" w:rsidRDefault="008705CA">
      <w:pPr>
        <w:spacing w:after="0" w:line="276" w:lineRule="auto"/>
        <w:rPr>
          <w:rFonts w:ascii="Poppins" w:eastAsia="Poppins" w:hAnsi="Poppins" w:cs="Poppins"/>
          <w:sz w:val="19"/>
          <w:szCs w:val="19"/>
        </w:rPr>
      </w:pPr>
    </w:p>
    <w:p w14:paraId="544930B1" w14:textId="77777777" w:rsidR="008705CA" w:rsidRDefault="00132795">
      <w:pPr>
        <w:spacing w:after="0" w:line="276" w:lineRule="auto"/>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employs over 230 people and is a leading payment facilitator. It empowers over 40,000 businesses across Australia and New Zealand with innovative, transparent payment solutions and annually processes approximately $7.2 billion in payment volume. Our significant contribution to fostering a competitive and efficient payments ecosystem in Australia underscores the importance of our submission.</w:t>
      </w:r>
    </w:p>
    <w:p w14:paraId="16DDE6FF" w14:textId="77777777" w:rsidR="008705CA" w:rsidRDefault="008705CA">
      <w:pPr>
        <w:spacing w:after="0" w:line="276" w:lineRule="auto"/>
        <w:rPr>
          <w:rFonts w:ascii="Poppins" w:eastAsia="Poppins" w:hAnsi="Poppins" w:cs="Poppins"/>
          <w:sz w:val="19"/>
          <w:szCs w:val="19"/>
        </w:rPr>
      </w:pPr>
    </w:p>
    <w:p w14:paraId="59F37F4E" w14:textId="77777777" w:rsidR="008705CA" w:rsidRDefault="00132795">
      <w:pPr>
        <w:spacing w:after="0" w:line="276" w:lineRule="auto"/>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supports measures promoting competition, efficiency, and innovation in the payments landscape, ensuring transparency for merchants and consumers.  We strongly oppose removing surcharging protections, which fundamentally disadvantage small merchants and reduce transparency. </w:t>
      </w:r>
    </w:p>
    <w:p w14:paraId="6D67B5CA" w14:textId="77777777" w:rsidR="008705CA" w:rsidRDefault="008705CA">
      <w:pPr>
        <w:spacing w:after="0" w:line="276" w:lineRule="auto"/>
        <w:rPr>
          <w:rFonts w:ascii="Poppins" w:eastAsia="Poppins" w:hAnsi="Poppins" w:cs="Poppins"/>
          <w:sz w:val="19"/>
          <w:szCs w:val="19"/>
        </w:rPr>
      </w:pPr>
    </w:p>
    <w:p w14:paraId="3EB5FA26" w14:textId="77777777" w:rsidR="008705CA" w:rsidRDefault="00132795">
      <w:pPr>
        <w:spacing w:after="0" w:line="276" w:lineRule="auto"/>
        <w:rPr>
          <w:rFonts w:ascii="Poppins" w:eastAsia="Poppins" w:hAnsi="Poppins" w:cs="Poppins"/>
          <w:sz w:val="19"/>
          <w:szCs w:val="19"/>
        </w:rPr>
      </w:pPr>
      <w:r>
        <w:rPr>
          <w:rFonts w:ascii="Poppins" w:eastAsia="Poppins" w:hAnsi="Poppins" w:cs="Poppins"/>
          <w:sz w:val="19"/>
          <w:szCs w:val="19"/>
        </w:rPr>
        <w:t>Our key points for your consideration include the following:</w:t>
      </w:r>
    </w:p>
    <w:p w14:paraId="664A4FB4" w14:textId="77777777" w:rsidR="008705CA" w:rsidRDefault="008705CA">
      <w:pPr>
        <w:spacing w:after="0" w:line="276" w:lineRule="auto"/>
        <w:rPr>
          <w:rFonts w:ascii="Poppins" w:eastAsia="Poppins" w:hAnsi="Poppins" w:cs="Poppins"/>
          <w:sz w:val="19"/>
          <w:szCs w:val="19"/>
        </w:rPr>
      </w:pPr>
    </w:p>
    <w:p w14:paraId="4BE0ACAB" w14:textId="77777777" w:rsidR="008705CA" w:rsidRDefault="00132795">
      <w:pPr>
        <w:numPr>
          <w:ilvl w:val="0"/>
          <w:numId w:val="3"/>
        </w:numPr>
        <w:spacing w:after="0" w:line="276" w:lineRule="auto"/>
        <w:rPr>
          <w:rFonts w:ascii="Poppins" w:eastAsia="Poppins" w:hAnsi="Poppins" w:cs="Poppins"/>
          <w:sz w:val="19"/>
          <w:szCs w:val="19"/>
        </w:rPr>
      </w:pPr>
      <w:r>
        <w:rPr>
          <w:rFonts w:ascii="Poppins" w:eastAsia="Poppins" w:hAnsi="Poppins" w:cs="Poppins"/>
          <w:sz w:val="19"/>
          <w:szCs w:val="19"/>
        </w:rPr>
        <w:t>If the RBA is compelled to take action to address perceived excessive surcharging</w:t>
      </w:r>
      <w:r>
        <w:rPr>
          <w:rFonts w:ascii="Poppins" w:eastAsia="Poppins" w:hAnsi="Poppins" w:cs="Poppins"/>
          <w:b/>
          <w:sz w:val="19"/>
          <w:szCs w:val="19"/>
        </w:rPr>
        <w:t>,</w:t>
      </w:r>
      <w:r>
        <w:rPr>
          <w:rFonts w:ascii="Poppins" w:eastAsia="Poppins" w:hAnsi="Poppins" w:cs="Poppins"/>
          <w:sz w:val="19"/>
          <w:szCs w:val="19"/>
        </w:rPr>
        <w:t xml:space="preserve"> we advocate for a</w:t>
      </w:r>
      <w:r>
        <w:rPr>
          <w:rFonts w:ascii="Poppins" w:eastAsia="Poppins" w:hAnsi="Poppins" w:cs="Poppins"/>
          <w:b/>
          <w:sz w:val="19"/>
          <w:szCs w:val="19"/>
        </w:rPr>
        <w:t xml:space="preserve"> 1.5% surcharge cap </w:t>
      </w:r>
      <w:r>
        <w:rPr>
          <w:rFonts w:ascii="Poppins" w:eastAsia="Poppins" w:hAnsi="Poppins" w:cs="Poppins"/>
          <w:sz w:val="19"/>
          <w:szCs w:val="19"/>
        </w:rPr>
        <w:t>or a</w:t>
      </w:r>
      <w:r>
        <w:rPr>
          <w:rFonts w:ascii="Poppins" w:eastAsia="Poppins" w:hAnsi="Poppins" w:cs="Poppins"/>
          <w:b/>
          <w:sz w:val="19"/>
          <w:szCs w:val="19"/>
        </w:rPr>
        <w:t xml:space="preserve"> regulated industry surcharge framework </w:t>
      </w:r>
      <w:r>
        <w:rPr>
          <w:rFonts w:ascii="Poppins" w:eastAsia="Poppins" w:hAnsi="Poppins" w:cs="Poppins"/>
          <w:sz w:val="19"/>
          <w:szCs w:val="19"/>
        </w:rPr>
        <w:t xml:space="preserve">to ensure small businesses are not unduly disadvantaged. </w:t>
      </w:r>
      <w:r>
        <w:rPr>
          <w:rFonts w:ascii="Poppins" w:eastAsia="Poppins" w:hAnsi="Poppins" w:cs="Poppins"/>
          <w:sz w:val="19"/>
          <w:szCs w:val="19"/>
        </w:rPr>
        <w:br/>
      </w:r>
    </w:p>
    <w:p w14:paraId="054CF4C4" w14:textId="77777777" w:rsidR="008705CA" w:rsidRDefault="00132795">
      <w:pPr>
        <w:numPr>
          <w:ilvl w:val="0"/>
          <w:numId w:val="3"/>
        </w:numPr>
        <w:spacing w:after="0" w:line="276" w:lineRule="auto"/>
        <w:rPr>
          <w:rFonts w:ascii="Poppins" w:eastAsia="Poppins" w:hAnsi="Poppins" w:cs="Poppins"/>
          <w:sz w:val="19"/>
          <w:szCs w:val="19"/>
        </w:rPr>
      </w:pPr>
      <w:r>
        <w:rPr>
          <w:rFonts w:ascii="Poppins" w:eastAsia="Poppins" w:hAnsi="Poppins" w:cs="Poppins"/>
          <w:sz w:val="19"/>
          <w:szCs w:val="19"/>
        </w:rPr>
        <w:t xml:space="preserve">If the RBA determines that the Schemes are no longer prohibited from banning surcharging, the </w:t>
      </w:r>
      <w:r>
        <w:rPr>
          <w:rFonts w:ascii="Poppins" w:eastAsia="Poppins" w:hAnsi="Poppins" w:cs="Poppins"/>
          <w:b/>
          <w:sz w:val="19"/>
          <w:szCs w:val="19"/>
        </w:rPr>
        <w:t>timeframe for</w:t>
      </w:r>
      <w:r>
        <w:rPr>
          <w:rFonts w:ascii="Poppins" w:eastAsia="Poppins" w:hAnsi="Poppins" w:cs="Poppins"/>
          <w:sz w:val="19"/>
          <w:szCs w:val="19"/>
        </w:rPr>
        <w:t xml:space="preserve"> </w:t>
      </w:r>
      <w:r>
        <w:rPr>
          <w:rFonts w:ascii="Poppins" w:eastAsia="Poppins" w:hAnsi="Poppins" w:cs="Poppins"/>
          <w:b/>
          <w:sz w:val="19"/>
          <w:szCs w:val="19"/>
        </w:rPr>
        <w:t>any surcharge ban</w:t>
      </w:r>
      <w:r>
        <w:rPr>
          <w:rFonts w:ascii="Poppins" w:eastAsia="Poppins" w:hAnsi="Poppins" w:cs="Poppins"/>
          <w:sz w:val="19"/>
          <w:szCs w:val="19"/>
        </w:rPr>
        <w:t xml:space="preserve"> should not be set arbitrarily or by the Schemes, but with more detailed industry engagement and planning.</w:t>
      </w:r>
    </w:p>
    <w:p w14:paraId="7456B21B" w14:textId="77777777" w:rsidR="008705CA" w:rsidRDefault="008705CA">
      <w:pPr>
        <w:spacing w:after="0" w:line="276" w:lineRule="auto"/>
        <w:rPr>
          <w:rFonts w:ascii="Poppins" w:eastAsia="Poppins" w:hAnsi="Poppins" w:cs="Poppins"/>
          <w:sz w:val="19"/>
          <w:szCs w:val="19"/>
        </w:rPr>
      </w:pPr>
    </w:p>
    <w:p w14:paraId="3CFBAAC6" w14:textId="77777777" w:rsidR="008705CA" w:rsidRDefault="00132795">
      <w:pPr>
        <w:numPr>
          <w:ilvl w:val="0"/>
          <w:numId w:val="3"/>
        </w:numPr>
        <w:spacing w:after="0" w:line="276" w:lineRule="auto"/>
        <w:rPr>
          <w:rFonts w:ascii="Poppins" w:eastAsia="Poppins" w:hAnsi="Poppins" w:cs="Poppins"/>
          <w:sz w:val="19"/>
          <w:szCs w:val="19"/>
        </w:rPr>
      </w:pPr>
      <w:r>
        <w:rPr>
          <w:rFonts w:ascii="Poppins" w:eastAsia="Poppins" w:hAnsi="Poppins" w:cs="Poppins"/>
          <w:sz w:val="19"/>
          <w:szCs w:val="19"/>
        </w:rPr>
        <w:t>We strongly support</w:t>
      </w:r>
      <w:r>
        <w:rPr>
          <w:rFonts w:ascii="Poppins" w:eastAsia="Poppins" w:hAnsi="Poppins" w:cs="Poppins"/>
          <w:b/>
          <w:sz w:val="19"/>
          <w:szCs w:val="19"/>
        </w:rPr>
        <w:t xml:space="preserve"> lower interchange fee </w:t>
      </w:r>
      <w:r>
        <w:rPr>
          <w:rFonts w:ascii="Poppins" w:eastAsia="Poppins" w:hAnsi="Poppins" w:cs="Poppins"/>
          <w:sz w:val="19"/>
          <w:szCs w:val="19"/>
        </w:rPr>
        <w:t>caps, creating a more level playing field for small businesses.</w:t>
      </w:r>
    </w:p>
    <w:p w14:paraId="1DD3363D" w14:textId="77777777" w:rsidR="008705CA" w:rsidRDefault="008705CA">
      <w:pPr>
        <w:spacing w:after="0" w:line="276" w:lineRule="auto"/>
        <w:ind w:left="720"/>
        <w:rPr>
          <w:rFonts w:ascii="Poppins" w:eastAsia="Poppins" w:hAnsi="Poppins" w:cs="Poppins"/>
          <w:sz w:val="19"/>
          <w:szCs w:val="19"/>
        </w:rPr>
      </w:pPr>
    </w:p>
    <w:p w14:paraId="4AD48080" w14:textId="77777777" w:rsidR="008705CA" w:rsidRDefault="00132795">
      <w:pPr>
        <w:numPr>
          <w:ilvl w:val="0"/>
          <w:numId w:val="3"/>
        </w:numPr>
        <w:spacing w:after="0" w:line="276" w:lineRule="auto"/>
        <w:rPr>
          <w:rFonts w:ascii="Poppins" w:eastAsia="Poppins" w:hAnsi="Poppins" w:cs="Poppins"/>
          <w:sz w:val="19"/>
          <w:szCs w:val="19"/>
        </w:rPr>
      </w:pPr>
      <w:r>
        <w:rPr>
          <w:rFonts w:ascii="Poppins" w:eastAsia="Poppins" w:hAnsi="Poppins" w:cs="Poppins"/>
          <w:sz w:val="19"/>
          <w:szCs w:val="19"/>
        </w:rPr>
        <w:t xml:space="preserve">We support an </w:t>
      </w:r>
      <w:r>
        <w:rPr>
          <w:rFonts w:ascii="Poppins" w:eastAsia="Poppins" w:hAnsi="Poppins" w:cs="Poppins"/>
          <w:b/>
          <w:sz w:val="19"/>
          <w:szCs w:val="19"/>
        </w:rPr>
        <w:t>enhanced scheme fee regulation</w:t>
      </w:r>
      <w:r>
        <w:rPr>
          <w:rFonts w:ascii="Poppins" w:eastAsia="Poppins" w:hAnsi="Poppins" w:cs="Poppins"/>
          <w:sz w:val="19"/>
          <w:szCs w:val="19"/>
        </w:rPr>
        <w:t xml:space="preserve"> to prevent cost-shifting by card networks and improved transparency measures -  assuming these genuinely assist the merchant decision-making process.</w:t>
      </w:r>
    </w:p>
    <w:p w14:paraId="55528D22" w14:textId="77777777" w:rsidR="008705CA" w:rsidRDefault="008705CA">
      <w:pPr>
        <w:spacing w:after="0" w:line="276" w:lineRule="auto"/>
        <w:ind w:left="720"/>
        <w:rPr>
          <w:rFonts w:ascii="Poppins" w:eastAsia="Poppins" w:hAnsi="Poppins" w:cs="Poppins"/>
          <w:sz w:val="19"/>
          <w:szCs w:val="19"/>
        </w:rPr>
      </w:pPr>
    </w:p>
    <w:p w14:paraId="5AFD3B00" w14:textId="77777777" w:rsidR="008705CA" w:rsidRDefault="00132795">
      <w:pPr>
        <w:spacing w:after="0" w:line="276" w:lineRule="auto"/>
        <w:rPr>
          <w:rFonts w:ascii="Poppins" w:eastAsia="Poppins" w:hAnsi="Poppins" w:cs="Poppins"/>
          <w:sz w:val="19"/>
          <w:szCs w:val="19"/>
        </w:rPr>
      </w:pPr>
      <w:r>
        <w:rPr>
          <w:rFonts w:ascii="Poppins" w:eastAsia="Poppins" w:hAnsi="Poppins" w:cs="Poppins"/>
          <w:sz w:val="19"/>
          <w:szCs w:val="19"/>
        </w:rPr>
        <w:t>As the independent Mandela Report</w:t>
      </w:r>
      <w:r>
        <w:rPr>
          <w:rFonts w:ascii="Poppins" w:eastAsia="Poppins" w:hAnsi="Poppins" w:cs="Poppins"/>
          <w:sz w:val="19"/>
          <w:szCs w:val="19"/>
          <w:vertAlign w:val="superscript"/>
        </w:rPr>
        <w:footnoteReference w:id="1"/>
      </w:r>
      <w:r>
        <w:rPr>
          <w:rFonts w:ascii="Poppins" w:eastAsia="Poppins" w:hAnsi="Poppins" w:cs="Poppins"/>
          <w:sz w:val="19"/>
          <w:szCs w:val="19"/>
        </w:rPr>
        <w:t xml:space="preserve"> commissioned for this consultation by Fintech Australia demonstrates, small businesses with card transaction turnovers between $100,000 and $1 million would be disproportionately impacted by removing surcharging protections. These businesses currently recoup $222 million in costs through debit card surcharging and $375 million through total surcharging across Australia. </w:t>
      </w:r>
    </w:p>
    <w:p w14:paraId="3FCD4D2F" w14:textId="77777777" w:rsidR="008705CA" w:rsidRDefault="008705CA">
      <w:pPr>
        <w:spacing w:after="0" w:line="276" w:lineRule="auto"/>
        <w:rPr>
          <w:rFonts w:ascii="Poppins" w:eastAsia="Poppins" w:hAnsi="Poppins" w:cs="Poppins"/>
          <w:sz w:val="19"/>
          <w:szCs w:val="19"/>
        </w:rPr>
      </w:pPr>
    </w:p>
    <w:p w14:paraId="4216EA47" w14:textId="77777777" w:rsidR="008705CA" w:rsidRDefault="00132795">
      <w:pPr>
        <w:spacing w:after="0" w:line="276" w:lineRule="auto"/>
        <w:rPr>
          <w:rFonts w:ascii="Poppins" w:eastAsia="Poppins" w:hAnsi="Poppins" w:cs="Poppins"/>
          <w:sz w:val="19"/>
          <w:szCs w:val="19"/>
        </w:rPr>
      </w:pPr>
      <w:r>
        <w:rPr>
          <w:rFonts w:ascii="Poppins" w:eastAsia="Poppins" w:hAnsi="Poppins" w:cs="Poppins"/>
          <w:sz w:val="19"/>
          <w:szCs w:val="19"/>
        </w:rPr>
        <w:lastRenderedPageBreak/>
        <w:t xml:space="preserve">If surcharging were prohibited, merchants in this critical turnover range would need to absorb an average of $1,900 per year in debit card fees and $3,100 per year in total card fees, representing a substantial burden for businesses already facing significant economic pressures. </w:t>
      </w:r>
    </w:p>
    <w:p w14:paraId="04267658" w14:textId="77777777" w:rsidR="008705CA" w:rsidRDefault="008705CA">
      <w:pPr>
        <w:spacing w:after="0" w:line="276" w:lineRule="auto"/>
        <w:rPr>
          <w:rFonts w:ascii="Poppins" w:eastAsia="Poppins" w:hAnsi="Poppins" w:cs="Poppins"/>
          <w:sz w:val="19"/>
          <w:szCs w:val="19"/>
        </w:rPr>
      </w:pPr>
    </w:p>
    <w:p w14:paraId="5296CB8F" w14:textId="77777777" w:rsidR="008705CA" w:rsidRDefault="00132795">
      <w:pPr>
        <w:spacing w:after="0" w:line="276" w:lineRule="auto"/>
        <w:rPr>
          <w:rFonts w:ascii="Poppins" w:eastAsia="Poppins" w:hAnsi="Poppins" w:cs="Poppins"/>
          <w:sz w:val="19"/>
          <w:szCs w:val="19"/>
        </w:rPr>
      </w:pPr>
      <w:r>
        <w:rPr>
          <w:rFonts w:ascii="Poppins" w:eastAsia="Poppins" w:hAnsi="Poppins" w:cs="Poppins"/>
          <w:sz w:val="19"/>
          <w:szCs w:val="19"/>
        </w:rPr>
        <w:t xml:space="preserve">Numerous indications suggest that the 10% of merchants surcharging in Australia (as indicated in the RBA paper) is not a fair representation of the actual number of merchants.  Upwards of 30% seems more reasonable, as any surcharge ban could result in greater impacts from the proposed changes than initially thought. </w:t>
      </w:r>
    </w:p>
    <w:p w14:paraId="7E0C12A0" w14:textId="77777777" w:rsidR="008705CA" w:rsidRDefault="008705CA">
      <w:pPr>
        <w:spacing w:after="0" w:line="276" w:lineRule="auto"/>
        <w:rPr>
          <w:rFonts w:ascii="Poppins" w:eastAsia="Poppins" w:hAnsi="Poppins" w:cs="Poppins"/>
          <w:sz w:val="19"/>
          <w:szCs w:val="19"/>
        </w:rPr>
      </w:pPr>
    </w:p>
    <w:p w14:paraId="3033709F" w14:textId="77777777" w:rsidR="008705CA" w:rsidRDefault="00132795">
      <w:pPr>
        <w:spacing w:after="0" w:line="276" w:lineRule="auto"/>
        <w:rPr>
          <w:rFonts w:ascii="Poppins" w:eastAsia="Poppins" w:hAnsi="Poppins" w:cs="Poppins"/>
          <w:sz w:val="19"/>
          <w:szCs w:val="19"/>
        </w:rPr>
      </w:pPr>
      <w:r>
        <w:rPr>
          <w:rFonts w:ascii="Poppins" w:eastAsia="Poppins" w:hAnsi="Poppins" w:cs="Poppins"/>
          <w:sz w:val="19"/>
          <w:szCs w:val="19"/>
        </w:rPr>
        <w:t>We highly recommend that any regulatory framework include comprehensive industry-wide governance that provides meaningful representation from merchant advocates, payment facilitators, industry associations and advocates and independent regulators.</w:t>
      </w:r>
    </w:p>
    <w:p w14:paraId="40745E33" w14:textId="77777777" w:rsidR="008705CA" w:rsidRDefault="008705CA">
      <w:pPr>
        <w:spacing w:after="0" w:line="276" w:lineRule="auto"/>
        <w:rPr>
          <w:rFonts w:ascii="Poppins" w:eastAsia="Poppins" w:hAnsi="Poppins" w:cs="Poppins"/>
          <w:sz w:val="19"/>
          <w:szCs w:val="19"/>
        </w:rPr>
      </w:pPr>
    </w:p>
    <w:p w14:paraId="4B4EAD95" w14:textId="77777777" w:rsidR="008705CA" w:rsidRDefault="00132795">
      <w:pPr>
        <w:spacing w:after="0" w:line="276" w:lineRule="auto"/>
        <w:rPr>
          <w:rFonts w:ascii="Poppins" w:eastAsia="Poppins" w:hAnsi="Poppins" w:cs="Poppins"/>
          <w:sz w:val="19"/>
          <w:szCs w:val="19"/>
        </w:rPr>
      </w:pPr>
      <w:r>
        <w:rPr>
          <w:rFonts w:ascii="Poppins" w:eastAsia="Poppins" w:hAnsi="Poppins" w:cs="Poppins"/>
          <w:sz w:val="19"/>
          <w:szCs w:val="19"/>
        </w:rPr>
        <w:t>The Mandela Report findings show that small merchants have generated approximately $8 billion in additional revenue and saved $1 billion in costs by adopting fintech payment solutions. Nearly 30% of small businesses have grown since adopting fintech solutions, demonstrating the positive impact of competition and innovation in the payments sector.</w:t>
      </w:r>
    </w:p>
    <w:p w14:paraId="24660BEA" w14:textId="77777777" w:rsidR="008705CA" w:rsidRDefault="008705CA">
      <w:pPr>
        <w:spacing w:after="0" w:line="276" w:lineRule="auto"/>
        <w:rPr>
          <w:rFonts w:ascii="Poppins" w:eastAsia="Poppins" w:hAnsi="Poppins" w:cs="Poppins"/>
          <w:sz w:val="19"/>
          <w:szCs w:val="19"/>
        </w:rPr>
      </w:pPr>
    </w:p>
    <w:p w14:paraId="79E3E13A" w14:textId="77777777" w:rsidR="008705CA" w:rsidRDefault="00132795">
      <w:pPr>
        <w:spacing w:after="0" w:line="276" w:lineRule="auto"/>
        <w:rPr>
          <w:rFonts w:ascii="Poppins" w:eastAsia="Poppins" w:hAnsi="Poppins" w:cs="Poppins"/>
          <w:sz w:val="19"/>
          <w:szCs w:val="19"/>
        </w:rPr>
      </w:pPr>
      <w:r>
        <w:rPr>
          <w:rFonts w:ascii="Poppins" w:eastAsia="Poppins" w:hAnsi="Poppins" w:cs="Poppins"/>
          <w:sz w:val="19"/>
          <w:szCs w:val="19"/>
        </w:rPr>
        <w:t>We believe the RBA's approach should focus on creating genuine cost reductions for merchants, particularly SMEs, while maintaining the transparency surcharging provides merchants and consumers.</w:t>
      </w:r>
    </w:p>
    <w:p w14:paraId="36446A61" w14:textId="77777777" w:rsidR="008705CA" w:rsidRDefault="008705CA">
      <w:pPr>
        <w:rPr>
          <w:rFonts w:ascii="Poppins" w:eastAsia="Poppins" w:hAnsi="Poppins" w:cs="Poppins"/>
          <w:sz w:val="19"/>
          <w:szCs w:val="19"/>
        </w:rPr>
      </w:pPr>
    </w:p>
    <w:p w14:paraId="79B1CBE6" w14:textId="77777777" w:rsidR="008705CA" w:rsidRDefault="00132795">
      <w:pPr>
        <w:rPr>
          <w:rFonts w:ascii="Poppins" w:eastAsia="Poppins" w:hAnsi="Poppins" w:cs="Poppins"/>
          <w:sz w:val="19"/>
          <w:szCs w:val="19"/>
        </w:rPr>
      </w:pPr>
      <w:r>
        <w:rPr>
          <w:rFonts w:ascii="Poppins" w:eastAsia="Poppins" w:hAnsi="Poppins" w:cs="Poppins"/>
          <w:sz w:val="19"/>
          <w:szCs w:val="19"/>
        </w:rPr>
        <w:t>Regards</w:t>
      </w:r>
    </w:p>
    <w:p w14:paraId="34E82D64" w14:textId="77777777" w:rsidR="008705CA" w:rsidRDefault="00132795">
      <w:pPr>
        <w:spacing w:line="240" w:lineRule="auto"/>
        <w:rPr>
          <w:rFonts w:ascii="Poppins" w:eastAsia="Poppins" w:hAnsi="Poppins" w:cs="Poppins"/>
          <w:sz w:val="19"/>
          <w:szCs w:val="19"/>
        </w:rPr>
      </w:pPr>
      <w:r>
        <w:rPr>
          <w:rFonts w:ascii="Poppins" w:eastAsia="Poppins" w:hAnsi="Poppins" w:cs="Poppins"/>
          <w:sz w:val="19"/>
          <w:szCs w:val="19"/>
        </w:rPr>
        <w:t>Marty Pomeroy</w:t>
      </w:r>
    </w:p>
    <w:p w14:paraId="4A223277" w14:textId="77777777" w:rsidR="008705CA" w:rsidRDefault="00132795">
      <w:pPr>
        <w:spacing w:line="240" w:lineRule="auto"/>
        <w:rPr>
          <w:rFonts w:ascii="Poppins" w:eastAsia="Poppins" w:hAnsi="Poppins" w:cs="Poppins"/>
          <w:sz w:val="19"/>
          <w:szCs w:val="19"/>
        </w:rPr>
      </w:pPr>
      <w:r>
        <w:rPr>
          <w:rFonts w:ascii="Poppins" w:eastAsia="Poppins" w:hAnsi="Poppins" w:cs="Poppins"/>
          <w:sz w:val="19"/>
          <w:szCs w:val="19"/>
        </w:rPr>
        <w:t xml:space="preserve">CEO &amp; Managing Director, </w:t>
      </w: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w:t>
      </w:r>
      <w:r>
        <w:br w:type="page"/>
      </w:r>
    </w:p>
    <w:p w14:paraId="1CF6D09B"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Q1: Surcharging Framework</w:t>
      </w:r>
    </w:p>
    <w:p w14:paraId="43AD87D3"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Would removing surcharging on designated card networks best support the RBA's objectives to promote public interest by improving competition, efficiency, and safety in the payment system?</w:t>
      </w:r>
    </w:p>
    <w:p w14:paraId="7340885C"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0DBC220B"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No, but a change to the surcharging framework is recommended.</w:t>
      </w:r>
    </w:p>
    <w:p w14:paraId="0572B3C7"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There is compelling evidence that removing surcharging protections would fundamentally undermine the RBA's objectives. A surcharge ban would hit small businesses with card transaction turnovers between $100,000 and $1 million hardest.</w:t>
      </w:r>
    </w:p>
    <w:p w14:paraId="1C677A1D"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This impact is particularly concerning given current economic conditions. For example, 49% of small businesses operate at a loss and must contend with increased purchase and labour costs. </w:t>
      </w:r>
    </w:p>
    <w:p w14:paraId="48C47371"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Service-based industries (hospitality, hair and beauty, automotive, food services) face the highest impact due to typically operating with higher employee costs and lower margins, combined with current cost pressures.</w:t>
      </w:r>
    </w:p>
    <w:p w14:paraId="338D85C7"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Mandela Report and Mastercard's recent survey analysis show that if surcharging were removed, many merchants would stop taking card payments, assuming the fee structures they were moving to were prohibitive. Micro and Small merchants will now return to being underserved in the Australian market, with many Acquirers focusing their efforts on mid- to larger-sized businesses. Many of these smaller businesses would most likely return to cash, increasing the shadow economy, reducing tax revenue and providing con</w:t>
      </w:r>
      <w:r>
        <w:rPr>
          <w:rFonts w:ascii="Poppins" w:eastAsia="Poppins" w:hAnsi="Poppins" w:cs="Poppins"/>
          <w:sz w:val="19"/>
          <w:szCs w:val="19"/>
        </w:rPr>
        <w:t>sumers with fewer payment choices.</w:t>
      </w:r>
    </w:p>
    <w:p w14:paraId="5751E0F5"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The loss of price transparency would be significant, as surcharging provides essential price transparency about the cost of different payment methods. When consumers see the cost of acceptance at the point of transaction, they can make informed choices about their payment method. Removing this transparency would hide costs from consumers and reduce their ability to drive efficient payment choices. In </w:t>
      </w:r>
      <w:proofErr w:type="spellStart"/>
      <w:r>
        <w:rPr>
          <w:rFonts w:ascii="Poppins" w:eastAsia="Poppins" w:hAnsi="Poppins" w:cs="Poppins"/>
          <w:sz w:val="19"/>
          <w:szCs w:val="19"/>
        </w:rPr>
        <w:t>Smartpay's</w:t>
      </w:r>
      <w:proofErr w:type="spellEnd"/>
      <w:r>
        <w:rPr>
          <w:rFonts w:ascii="Poppins" w:eastAsia="Poppins" w:hAnsi="Poppins" w:cs="Poppins"/>
          <w:sz w:val="19"/>
          <w:szCs w:val="19"/>
        </w:rPr>
        <w:t xml:space="preserve"> experience, presenting alternative costs to cardholders initiates lower-cost transactions in most instances, thus driving least-cost routing outcomes for both cardholders and merchants.</w:t>
      </w:r>
    </w:p>
    <w:p w14:paraId="7B3003A6"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Any regulatory framework must include comprehensive industry-wide governance with meaningful representation from merchant advocates, payment facilitators, industry associations, and independent regulators. It must also include transparent and consistent enforcement mechanisms, appropriate appeals processes, and protection against arbitrary or discriminatory enforcement by commercial entities with conflicting interests.</w:t>
      </w:r>
    </w:p>
    <w:p w14:paraId="7C08DFAD"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lastRenderedPageBreak/>
        <w:t xml:space="preserve">We believe the industry had an opportunity to come together to develop a responsible surcharge framework with more precise monitoring and compliance, addressing community and government concerns </w:t>
      </w:r>
      <w:proofErr w:type="spellStart"/>
      <w:r>
        <w:rPr>
          <w:rFonts w:ascii="Poppins" w:eastAsia="Poppins" w:hAnsi="Poppins" w:cs="Poppins"/>
          <w:sz w:val="19"/>
          <w:szCs w:val="19"/>
        </w:rPr>
        <w:t>bout</w:t>
      </w:r>
      <w:proofErr w:type="spellEnd"/>
      <w:r>
        <w:rPr>
          <w:rFonts w:ascii="Poppins" w:eastAsia="Poppins" w:hAnsi="Poppins" w:cs="Poppins"/>
          <w:sz w:val="19"/>
          <w:szCs w:val="19"/>
        </w:rPr>
        <w:t xml:space="preserve"> excessive surcharging.  It is disappointing that this wasn’t a recommendation in the latest review.</w:t>
      </w:r>
    </w:p>
    <w:p w14:paraId="7B79F118"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By removing the prohibition, the RBA is effectively banning surcharging. From our perspective, there seems to be a lack of accountability for the impact this will have on the economy and acquiring competition; however, we agree that a ban on all surcharging, not just on Debit, is preferable to a partial ban.</w:t>
      </w:r>
    </w:p>
    <w:p w14:paraId="102332AA"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Since the RBA opened competition by prohibiting the banning of surcharging by the Schemes, Australia has experienced significant positive competition trends in the acquiring space over the past two decades, including:</w:t>
      </w:r>
    </w:p>
    <w:p w14:paraId="315B4A7F" w14:textId="77777777" w:rsidR="008705CA" w:rsidRDefault="00132795">
      <w:pPr>
        <w:numPr>
          <w:ilvl w:val="0"/>
          <w:numId w:val="2"/>
        </w:numPr>
        <w:spacing w:before="240" w:after="0"/>
        <w:rPr>
          <w:rFonts w:ascii="Poppins" w:eastAsia="Poppins" w:hAnsi="Poppins" w:cs="Poppins"/>
          <w:sz w:val="19"/>
          <w:szCs w:val="19"/>
        </w:rPr>
      </w:pPr>
      <w:r>
        <w:rPr>
          <w:rFonts w:ascii="Poppins" w:eastAsia="Poppins" w:hAnsi="Poppins" w:cs="Poppins"/>
          <w:sz w:val="19"/>
          <w:szCs w:val="19"/>
        </w:rPr>
        <w:t xml:space="preserve">New market entrants. Numerous fintech PSPs have entered the market since 2003, including Tyro (2003), Stripe (2014), Square (2016), Zeller (2021), and </w:t>
      </w:r>
      <w:proofErr w:type="gramStart"/>
      <w:r>
        <w:rPr>
          <w:rFonts w:ascii="Poppins" w:eastAsia="Poppins" w:hAnsi="Poppins" w:cs="Poppins"/>
          <w:sz w:val="19"/>
          <w:szCs w:val="19"/>
        </w:rPr>
        <w:t>ourselves</w:t>
      </w:r>
      <w:proofErr w:type="gramEnd"/>
      <w:r>
        <w:rPr>
          <w:rFonts w:ascii="Poppins" w:eastAsia="Poppins" w:hAnsi="Poppins" w:cs="Poppins"/>
          <w:sz w:val="19"/>
          <w:szCs w:val="19"/>
        </w:rPr>
        <w:t>.</w:t>
      </w:r>
    </w:p>
    <w:p w14:paraId="1645C075" w14:textId="77777777" w:rsidR="008705CA" w:rsidRDefault="00132795">
      <w:pPr>
        <w:numPr>
          <w:ilvl w:val="0"/>
          <w:numId w:val="2"/>
        </w:numPr>
        <w:spacing w:after="240"/>
        <w:rPr>
          <w:rFonts w:ascii="Poppins" w:eastAsia="Poppins" w:hAnsi="Poppins" w:cs="Poppins"/>
          <w:sz w:val="19"/>
          <w:szCs w:val="19"/>
        </w:rPr>
      </w:pPr>
      <w:r>
        <w:rPr>
          <w:rFonts w:ascii="Poppins" w:eastAsia="Poppins" w:hAnsi="Poppins" w:cs="Poppins"/>
          <w:sz w:val="19"/>
          <w:szCs w:val="19"/>
        </w:rPr>
        <w:t>Fee reductions.  As competition intensified, average merchant service fees decreased from 0.74% to 0.65% between 2018 and 2024.</w:t>
      </w:r>
    </w:p>
    <w:p w14:paraId="0CF50593"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A complete surcharge ban risks reversing two decades of successful competition development in Australia's payments market, potentially recreating the concentrated market structure that initially justified regulatory intervention and having the desired effect on the major banks of:</w:t>
      </w:r>
    </w:p>
    <w:p w14:paraId="2EE38D4E" w14:textId="77777777" w:rsidR="008705CA" w:rsidRDefault="00132795">
      <w:pPr>
        <w:numPr>
          <w:ilvl w:val="0"/>
          <w:numId w:val="1"/>
        </w:numPr>
        <w:spacing w:before="240" w:after="0"/>
        <w:rPr>
          <w:rFonts w:ascii="Poppins" w:eastAsia="Poppins" w:hAnsi="Poppins" w:cs="Poppins"/>
          <w:sz w:val="19"/>
          <w:szCs w:val="19"/>
        </w:rPr>
      </w:pPr>
      <w:r>
        <w:rPr>
          <w:rFonts w:ascii="Poppins" w:eastAsia="Poppins" w:hAnsi="Poppins" w:cs="Poppins"/>
          <w:sz w:val="19"/>
          <w:szCs w:val="19"/>
        </w:rPr>
        <w:t>44% drop in market share (online) from 95%</w:t>
      </w:r>
    </w:p>
    <w:p w14:paraId="6AB0A5F3" w14:textId="77777777" w:rsidR="008705CA" w:rsidRDefault="00132795">
      <w:pPr>
        <w:numPr>
          <w:ilvl w:val="0"/>
          <w:numId w:val="1"/>
        </w:numPr>
        <w:spacing w:after="240"/>
        <w:rPr>
          <w:rFonts w:ascii="Poppins" w:eastAsia="Poppins" w:hAnsi="Poppins" w:cs="Poppins"/>
          <w:sz w:val="19"/>
          <w:szCs w:val="19"/>
        </w:rPr>
      </w:pPr>
      <w:r>
        <w:rPr>
          <w:rFonts w:ascii="Poppins" w:eastAsia="Poppins" w:hAnsi="Poppins" w:cs="Poppins"/>
          <w:sz w:val="19"/>
          <w:szCs w:val="19"/>
        </w:rPr>
        <w:t>13% drop in market share (in-store) from 77%</w:t>
      </w:r>
    </w:p>
    <w:p w14:paraId="15DB5976"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This substantial market share erosion has been driven by the entry of PSPs such as </w:t>
      </w:r>
      <w:proofErr w:type="spellStart"/>
      <w:r>
        <w:rPr>
          <w:rFonts w:ascii="Poppins" w:eastAsia="Poppins" w:hAnsi="Poppins" w:cs="Poppins"/>
          <w:sz w:val="19"/>
          <w:szCs w:val="19"/>
        </w:rPr>
        <w:t>Smartpay</w:t>
      </w:r>
      <w:proofErr w:type="spellEnd"/>
      <w:r>
        <w:rPr>
          <w:rFonts w:ascii="Poppins" w:eastAsia="Poppins" w:hAnsi="Poppins" w:cs="Poppins"/>
          <w:sz w:val="19"/>
          <w:szCs w:val="19"/>
        </w:rPr>
        <w:t>, which has shifted market share and driven down average merchant service fees.</w:t>
      </w:r>
    </w:p>
    <w:p w14:paraId="1B03B2DA"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Non-bank payment solutions now account for ~ 50% of merchants nationwide for in-person payments. A dramatic change in RBA policy can only threaten these positive trends.</w:t>
      </w:r>
    </w:p>
    <w:p w14:paraId="77F10466"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You only need to look at the UK market to understand the impact on competition:</w:t>
      </w:r>
    </w:p>
    <w:p w14:paraId="7442A786" w14:textId="77777777" w:rsidR="008705CA" w:rsidRDefault="00132795">
      <w:pPr>
        <w:numPr>
          <w:ilvl w:val="0"/>
          <w:numId w:val="4"/>
        </w:numPr>
        <w:spacing w:before="240" w:after="0"/>
        <w:rPr>
          <w:rFonts w:ascii="Poppins" w:eastAsia="Poppins" w:hAnsi="Poppins" w:cs="Poppins"/>
          <w:sz w:val="19"/>
          <w:szCs w:val="19"/>
        </w:rPr>
      </w:pPr>
      <w:r>
        <w:rPr>
          <w:rFonts w:ascii="Poppins" w:eastAsia="Poppins" w:hAnsi="Poppins" w:cs="Poppins"/>
          <w:sz w:val="19"/>
          <w:szCs w:val="19"/>
        </w:rPr>
        <w:t>Surcharging is banned → Merchant service fees initially fall</w:t>
      </w:r>
    </w:p>
    <w:p w14:paraId="3C21C43A" w14:textId="77777777" w:rsidR="008705CA" w:rsidRDefault="00132795">
      <w:pPr>
        <w:numPr>
          <w:ilvl w:val="0"/>
          <w:numId w:val="4"/>
        </w:numPr>
        <w:spacing w:after="0"/>
        <w:rPr>
          <w:rFonts w:ascii="Poppins" w:eastAsia="Poppins" w:hAnsi="Poppins" w:cs="Poppins"/>
          <w:sz w:val="19"/>
          <w:szCs w:val="19"/>
        </w:rPr>
      </w:pPr>
      <w:r>
        <w:rPr>
          <w:rFonts w:ascii="Poppins" w:eastAsia="Poppins" w:hAnsi="Poppins" w:cs="Poppins"/>
          <w:sz w:val="19"/>
          <w:szCs w:val="19"/>
        </w:rPr>
        <w:t>Competition pressure reduces → Innovative fintech PSPs exit market</w:t>
      </w:r>
    </w:p>
    <w:p w14:paraId="7671CB58" w14:textId="77777777" w:rsidR="008705CA" w:rsidRDefault="00132795">
      <w:pPr>
        <w:numPr>
          <w:ilvl w:val="0"/>
          <w:numId w:val="4"/>
        </w:numPr>
        <w:spacing w:after="0"/>
        <w:rPr>
          <w:rFonts w:ascii="Poppins" w:eastAsia="Poppins" w:hAnsi="Poppins" w:cs="Poppins"/>
          <w:sz w:val="19"/>
          <w:szCs w:val="19"/>
        </w:rPr>
      </w:pPr>
      <w:r>
        <w:rPr>
          <w:rFonts w:ascii="Poppins" w:eastAsia="Poppins" w:hAnsi="Poppins" w:cs="Poppins"/>
          <w:sz w:val="19"/>
          <w:szCs w:val="19"/>
        </w:rPr>
        <w:t>Only large players survive → Those who can cross-subsidise or operate at a loss</w:t>
      </w:r>
    </w:p>
    <w:p w14:paraId="0692ECDA" w14:textId="77777777" w:rsidR="008705CA" w:rsidRDefault="00132795">
      <w:pPr>
        <w:numPr>
          <w:ilvl w:val="0"/>
          <w:numId w:val="4"/>
        </w:numPr>
        <w:spacing w:after="240"/>
        <w:rPr>
          <w:rFonts w:ascii="Poppins" w:eastAsia="Poppins" w:hAnsi="Poppins" w:cs="Poppins"/>
          <w:sz w:val="19"/>
          <w:szCs w:val="19"/>
        </w:rPr>
      </w:pPr>
      <w:r>
        <w:rPr>
          <w:rFonts w:ascii="Poppins" w:eastAsia="Poppins" w:hAnsi="Poppins" w:cs="Poppins"/>
          <w:sz w:val="19"/>
          <w:szCs w:val="19"/>
        </w:rPr>
        <w:t>Market concentration increases → New equilibrium with higher prices</w:t>
      </w:r>
    </w:p>
    <w:p w14:paraId="4D9520AA"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We hope the RBA will recognise that competition from </w:t>
      </w:r>
      <w:proofErr w:type="spellStart"/>
      <w:r>
        <w:rPr>
          <w:rFonts w:ascii="Poppins" w:eastAsia="Poppins" w:hAnsi="Poppins" w:cs="Poppins"/>
          <w:sz w:val="19"/>
          <w:szCs w:val="19"/>
        </w:rPr>
        <w:t>PayFacs</w:t>
      </w:r>
      <w:proofErr w:type="spellEnd"/>
      <w:r>
        <w:rPr>
          <w:rFonts w:ascii="Poppins" w:eastAsia="Poppins" w:hAnsi="Poppins" w:cs="Poppins"/>
          <w:sz w:val="19"/>
          <w:szCs w:val="19"/>
        </w:rPr>
        <w:t xml:space="preserve"> creates better merchant outcomes as innovation drives down costs, improves service, and creates value. From </w:t>
      </w:r>
      <w:proofErr w:type="spellStart"/>
      <w:r>
        <w:rPr>
          <w:rFonts w:ascii="Poppins" w:eastAsia="Poppins" w:hAnsi="Poppins" w:cs="Poppins"/>
          <w:sz w:val="19"/>
          <w:szCs w:val="19"/>
        </w:rPr>
        <w:t>Smartpay’s</w:t>
      </w:r>
      <w:proofErr w:type="spellEnd"/>
      <w:r>
        <w:rPr>
          <w:rFonts w:ascii="Poppins" w:eastAsia="Poppins" w:hAnsi="Poppins" w:cs="Poppins"/>
          <w:sz w:val="19"/>
          <w:szCs w:val="19"/>
        </w:rPr>
        <w:t xml:space="preserve"> perspective, this proof point is a 70+ Net Promoter Score.</w:t>
      </w:r>
    </w:p>
    <w:p w14:paraId="6D12FFCF"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lastRenderedPageBreak/>
        <w:t>With 77% satisfaction rates for fintech payment providers compared to 44% for big banks, removing competitive pressure can only reduce service quality across the industry.</w:t>
      </w:r>
    </w:p>
    <w:p w14:paraId="0CEC912D"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Banning surcharging will most likely create a race to the bottom for pricing as larger players outcompete smaller PSPs, slowly eroding the value-added provided to merchants. With no surcharge on Scheme cards, lower-cost payment methods (such as NPP) will not be as transparent to the consumer. They will struggle to gain traction because consumers will not be motivated to pay in a lower-cost alternative way.</w:t>
      </w:r>
    </w:p>
    <w:p w14:paraId="6A8A3141"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Most fintech PSPs rely on blended pricing models that include surcharging capabilities. They have higher operational costs than major banks and need scale to compete. They also have limited opportunities for cross-subsidisation (such as Big-4 banks, which subsidise with mortgages, overdrafts, or other revenue streams), operate on thinner margins, and cannot absorb the competitive pressure of a surcharge ban.</w:t>
      </w:r>
    </w:p>
    <w:p w14:paraId="52907682"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Although the RBA paper references 100,000 merchants surcharging, our data and insights suggest this could be upward of 300,000 merchants, resulting in a greater impact of a mass removal of surcharging when this decision is made.</w:t>
      </w:r>
    </w:p>
    <w:p w14:paraId="0B1F48A6"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Mandela Report shows 44% of small merchants would increase prices in response to a surcharge ban, and these increases would likely exceed the original surcharge amount due to pricing psychology (e.g., $5 coffee becoming $5.25 rather than $5.06).  This could contribute to inflationary pressures at a time when government policy is focused on reducing inflation.</w:t>
      </w:r>
    </w:p>
    <w:p w14:paraId="4A32BF9A"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We firmly believed that a cap would allow a level playing field for all acquirers and an easy way for merchants and consumers to monitor pricing and compliance, with benefits.</w:t>
      </w:r>
    </w:p>
    <w:p w14:paraId="17ED52BC"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A 1.5% surcharge cap for small businesses (under $10M turnover) would:</w:t>
      </w:r>
    </w:p>
    <w:p w14:paraId="068BBD55" w14:textId="77777777" w:rsidR="008705CA" w:rsidRDefault="00132795">
      <w:pPr>
        <w:numPr>
          <w:ilvl w:val="0"/>
          <w:numId w:val="5"/>
        </w:numPr>
        <w:spacing w:before="240" w:after="0"/>
        <w:rPr>
          <w:rFonts w:ascii="Poppins" w:eastAsia="Poppins" w:hAnsi="Poppins" w:cs="Poppins"/>
          <w:sz w:val="19"/>
          <w:szCs w:val="19"/>
        </w:rPr>
      </w:pPr>
      <w:r>
        <w:rPr>
          <w:rFonts w:ascii="Poppins" w:eastAsia="Poppins" w:hAnsi="Poppins" w:cs="Poppins"/>
          <w:sz w:val="19"/>
          <w:szCs w:val="19"/>
        </w:rPr>
        <w:t>Allow full or near-full cost recovery for 85-90% of small businesses paying ≤1.5% fees</w:t>
      </w:r>
    </w:p>
    <w:p w14:paraId="39EB20D9" w14:textId="77777777" w:rsidR="008705CA" w:rsidRDefault="00132795">
      <w:pPr>
        <w:numPr>
          <w:ilvl w:val="0"/>
          <w:numId w:val="5"/>
        </w:numPr>
        <w:spacing w:after="0"/>
        <w:rPr>
          <w:rFonts w:ascii="Poppins" w:eastAsia="Poppins" w:hAnsi="Poppins" w:cs="Poppins"/>
          <w:sz w:val="19"/>
          <w:szCs w:val="19"/>
        </w:rPr>
      </w:pPr>
      <w:r>
        <w:rPr>
          <w:rFonts w:ascii="Poppins" w:eastAsia="Poppins" w:hAnsi="Poppins" w:cs="Poppins"/>
          <w:sz w:val="19"/>
          <w:szCs w:val="19"/>
        </w:rPr>
        <w:t>Reduce excessive surcharging while maintaining transparency</w:t>
      </w:r>
    </w:p>
    <w:p w14:paraId="0C57FCCD" w14:textId="77777777" w:rsidR="008705CA" w:rsidRDefault="00132795">
      <w:pPr>
        <w:numPr>
          <w:ilvl w:val="0"/>
          <w:numId w:val="5"/>
        </w:numPr>
        <w:spacing w:after="0"/>
        <w:rPr>
          <w:rFonts w:ascii="Poppins" w:eastAsia="Poppins" w:hAnsi="Poppins" w:cs="Poppins"/>
          <w:sz w:val="19"/>
          <w:szCs w:val="19"/>
        </w:rPr>
      </w:pPr>
      <w:r>
        <w:rPr>
          <w:rFonts w:ascii="Poppins" w:eastAsia="Poppins" w:hAnsi="Poppins" w:cs="Poppins"/>
          <w:sz w:val="19"/>
          <w:szCs w:val="19"/>
        </w:rPr>
        <w:t>Provide substantial relief from the potential $4,500 annual burden under a total ban</w:t>
      </w:r>
    </w:p>
    <w:p w14:paraId="268A0164" w14:textId="77777777" w:rsidR="008705CA" w:rsidRDefault="00132795">
      <w:pPr>
        <w:numPr>
          <w:ilvl w:val="0"/>
          <w:numId w:val="5"/>
        </w:numPr>
        <w:spacing w:after="240"/>
        <w:rPr>
          <w:rFonts w:ascii="Poppins" w:eastAsia="Poppins" w:hAnsi="Poppins" w:cs="Poppins"/>
          <w:sz w:val="19"/>
          <w:szCs w:val="19"/>
        </w:rPr>
      </w:pPr>
      <w:r>
        <w:rPr>
          <w:rFonts w:ascii="Poppins" w:eastAsia="Poppins" w:hAnsi="Poppins" w:cs="Poppins"/>
          <w:sz w:val="19"/>
          <w:szCs w:val="19"/>
        </w:rPr>
        <w:t>Enable continued competition among payment providers</w:t>
      </w:r>
    </w:p>
    <w:p w14:paraId="176426A8"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We firmly believe that implementing a regulated industry framework or advocating for a 1.5% cap are effective alternatives to address the RBA’s concerns about excessive surcharging instead of allowing the Schemes to impose a ban.</w:t>
      </w:r>
    </w:p>
    <w:p w14:paraId="782BBFE3"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RBA should also consider bringing Buy Now Pay Later, AMEX, Union Pay, and other participants under regulatory oversight regarding surcharging. Allowing card Schemes to ban surcharging while not restricting other payment providers would be inconsistent.</w:t>
      </w:r>
    </w:p>
    <w:p w14:paraId="416D64E5" w14:textId="77777777" w:rsidR="008705CA" w:rsidRDefault="00132795">
      <w:pPr>
        <w:spacing w:before="240" w:after="240"/>
        <w:rPr>
          <w:rFonts w:ascii="Poppins" w:eastAsia="Poppins" w:hAnsi="Poppins" w:cs="Poppins"/>
          <w:b/>
          <w:sz w:val="19"/>
          <w:szCs w:val="19"/>
        </w:rPr>
      </w:pPr>
      <w:r>
        <w:br w:type="page"/>
      </w:r>
    </w:p>
    <w:p w14:paraId="1CC481BB"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Q2: Interchange Regulation Changes</w:t>
      </w:r>
    </w:p>
    <w:p w14:paraId="39B1A2EC"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Do the proposed changes to interchange regulation promote the public interest by improving competition and efficiency in the payments system?</w:t>
      </w:r>
    </w:p>
    <w:p w14:paraId="6EC41637"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73953E0E"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Yes, with strong support.</w:t>
      </w:r>
    </w:p>
    <w:p w14:paraId="3F7A8583"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The proposed interchange reductions are vital for creating a more competitive and efficient payment system, particularly for small businesses facing significant disadvantages. As a payment facilitator operating with volume-based cost structures, </w:t>
      </w: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experiences firsthand how interchange fees are often linked to transaction volume rather than actual processing costs, disadvantaging smaller businesses.</w:t>
      </w:r>
    </w:p>
    <w:p w14:paraId="5A60D81E"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The debit card improvements will significantly benefit small merchants by reducing the benchmark to a 6-cent weighted-average benchmark with 6 cents or 0.12% caps. Small merchants face disproportionately high debit costs compared to larger merchants with strategic rates. Strategic merchants for Visa and Mastercard debit can access much lower interchange rates than smaller acquirers like </w:t>
      </w:r>
      <w:proofErr w:type="spellStart"/>
      <w:r>
        <w:rPr>
          <w:rFonts w:ascii="Poppins" w:eastAsia="Poppins" w:hAnsi="Poppins" w:cs="Poppins"/>
          <w:sz w:val="19"/>
          <w:szCs w:val="19"/>
        </w:rPr>
        <w:t>Smartpay</w:t>
      </w:r>
      <w:proofErr w:type="spellEnd"/>
      <w:r>
        <w:rPr>
          <w:rFonts w:ascii="Poppins" w:eastAsia="Poppins" w:hAnsi="Poppins" w:cs="Poppins"/>
          <w:sz w:val="19"/>
          <w:szCs w:val="19"/>
        </w:rPr>
        <w:t>, creating an even playing field.</w:t>
      </w:r>
    </w:p>
    <w:p w14:paraId="504FD575"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benefits of reducing the cap to 0.3% and removing the weighted-average benchmark would provide immediate cost relief while maintaining appropriate flexibility for different transaction types. Since interchange is often the most significant cost component in card acceptance for debit and credit transactions, these reductions will flow through to reduced retail Merchant Service Fees, as evidenced by the decrease in retail MSFs since the RBA introduced interchange caps in July 2017.</w:t>
      </w:r>
    </w:p>
    <w:p w14:paraId="21BCCC30"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introduction of caps on foreign-issued cards at 0.2% and 0.4% for card-present transactions and 1.15% and 1.5% for card-not-present transactions addresses a significant cost burden for merchants, particularly those in tourism and international commerce. This represents a critical gap in current regulation that has disadvantaged Australian merchants.</w:t>
      </w:r>
    </w:p>
    <w:p w14:paraId="62F20961"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Over the past four years, retail MSFs have plateaued, likely due to the entry of new participants with different cost models. We expect that further interchange reductions, as the fundamental underlying cost of acceptance, would have the same positive effect on retail MSFs as the 2017 changes when applied to current market conditions.</w:t>
      </w:r>
    </w:p>
    <w:p w14:paraId="7A5EB410" w14:textId="77777777" w:rsidR="008705CA" w:rsidRDefault="00132795">
      <w:pPr>
        <w:spacing w:before="240" w:after="240"/>
        <w:rPr>
          <w:rFonts w:ascii="Poppins" w:eastAsia="Poppins" w:hAnsi="Poppins" w:cs="Poppins"/>
          <w:b/>
          <w:sz w:val="19"/>
          <w:szCs w:val="19"/>
        </w:rPr>
      </w:pPr>
      <w:r>
        <w:br w:type="page"/>
      </w:r>
    </w:p>
    <w:p w14:paraId="1E2EC43F"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Q3: Smaller Issuers</w:t>
      </w:r>
    </w:p>
    <w:p w14:paraId="032B773D"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Are there further considerations for smaller issuers that the RBA should </w:t>
      </w:r>
      <w:proofErr w:type="gramStart"/>
      <w:r>
        <w:rPr>
          <w:rFonts w:ascii="Poppins" w:eastAsia="Poppins" w:hAnsi="Poppins" w:cs="Poppins"/>
          <w:sz w:val="19"/>
          <w:szCs w:val="19"/>
        </w:rPr>
        <w:t>take into account</w:t>
      </w:r>
      <w:proofErr w:type="gramEnd"/>
      <w:r>
        <w:rPr>
          <w:rFonts w:ascii="Poppins" w:eastAsia="Poppins" w:hAnsi="Poppins" w:cs="Poppins"/>
          <w:sz w:val="19"/>
          <w:szCs w:val="19"/>
        </w:rPr>
        <w:t xml:space="preserve"> to enhance competition and efficiency in the payments system?</w:t>
      </w:r>
    </w:p>
    <w:p w14:paraId="358A042D"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0ACF01DA"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Yes, but why not smaller Acquirers?</w:t>
      </w:r>
    </w:p>
    <w:p w14:paraId="4286C7F6"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RBA should ensure that smaller issuers maintain competitive offerings while contributing to overall system efficiency, as should smaller Acquirers.</w:t>
      </w:r>
    </w:p>
    <w:p w14:paraId="47B1F1F2"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As smaller payment facilitators, we understand that scale disadvantages affect all participants in the ecosystem. Smaller issuers may require additional implementation time or support to adjust to new interchange structures.</w:t>
      </w:r>
    </w:p>
    <w:p w14:paraId="109BB8FE"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There is an opportunity to apply the same considerations to smaller Acquirers as proposed for smaller Issuers, and we would be open to discussing this further with the RBA. </w:t>
      </w:r>
    </w:p>
    <w:p w14:paraId="4114A737" w14:textId="77777777" w:rsidR="008705CA" w:rsidRDefault="008705CA">
      <w:pPr>
        <w:spacing w:before="240" w:after="240"/>
        <w:rPr>
          <w:rFonts w:ascii="Poppins" w:eastAsia="Poppins" w:hAnsi="Poppins" w:cs="Poppins"/>
          <w:sz w:val="19"/>
          <w:szCs w:val="19"/>
        </w:rPr>
      </w:pPr>
    </w:p>
    <w:p w14:paraId="505FB2A2" w14:textId="77777777" w:rsidR="008705CA" w:rsidRDefault="00132795">
      <w:pPr>
        <w:spacing w:before="240" w:after="240"/>
        <w:rPr>
          <w:rFonts w:ascii="Poppins" w:eastAsia="Poppins" w:hAnsi="Poppins" w:cs="Poppins"/>
          <w:b/>
          <w:sz w:val="19"/>
          <w:szCs w:val="19"/>
        </w:rPr>
      </w:pPr>
      <w:r>
        <w:br w:type="page"/>
      </w:r>
    </w:p>
    <w:p w14:paraId="0254DFE6"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 xml:space="preserve">Q4. </w:t>
      </w:r>
      <w:proofErr w:type="gramStart"/>
      <w:r>
        <w:rPr>
          <w:rFonts w:ascii="Poppins" w:eastAsia="Poppins" w:hAnsi="Poppins" w:cs="Poppins"/>
          <w:b/>
          <w:sz w:val="19"/>
          <w:szCs w:val="19"/>
        </w:rPr>
        <w:t>Should the RBA could</w:t>
      </w:r>
      <w:proofErr w:type="gramEnd"/>
      <w:r>
        <w:rPr>
          <w:rFonts w:ascii="Poppins" w:eastAsia="Poppins" w:hAnsi="Poppins" w:cs="Poppins"/>
          <w:b/>
          <w:sz w:val="19"/>
          <w:szCs w:val="19"/>
        </w:rPr>
        <w:t xml:space="preserve"> consider phased implementation for smaller issuers, industry forums to share best practices?</w:t>
      </w:r>
    </w:p>
    <w:p w14:paraId="0D1E3560"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5AF26DE8"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Yes, these changes close critical regulatory gaps; however, we believe the issuers should provide timeframes and an approach as part of broader industry engagement.</w:t>
      </w:r>
    </w:p>
    <w:p w14:paraId="216F3970" w14:textId="77777777" w:rsidR="008705CA" w:rsidRDefault="008705CA">
      <w:pPr>
        <w:spacing w:before="240" w:after="240"/>
        <w:rPr>
          <w:rFonts w:ascii="Poppins" w:eastAsia="Poppins" w:hAnsi="Poppins" w:cs="Poppins"/>
          <w:sz w:val="19"/>
          <w:szCs w:val="19"/>
        </w:rPr>
      </w:pPr>
    </w:p>
    <w:p w14:paraId="42FB31EA" w14:textId="77777777" w:rsidR="008705CA" w:rsidRDefault="00132795">
      <w:pPr>
        <w:spacing w:before="240" w:after="240"/>
        <w:rPr>
          <w:rFonts w:ascii="Poppins" w:eastAsia="Poppins" w:hAnsi="Poppins" w:cs="Poppins"/>
          <w:sz w:val="19"/>
          <w:szCs w:val="19"/>
        </w:rPr>
      </w:pPr>
      <w:r>
        <w:br w:type="page"/>
      </w:r>
    </w:p>
    <w:p w14:paraId="39B6A8A3"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Q5: Scheme Fee Data Publication</w:t>
      </w:r>
    </w:p>
    <w:p w14:paraId="2F704BC2"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Does the proposal for card networks to publish aggregate wholesale fee data achieve the RBA's objectives of improving competition and efficiency among the card networks?</w:t>
      </w:r>
    </w:p>
    <w:p w14:paraId="02172374"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4CB7C1AD"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Yes.</w:t>
      </w:r>
    </w:p>
    <w:p w14:paraId="408DEDF4"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As a payment facilitator that pays scheme fees to both Visa and Mastercard based on complex structures that are either flat, variable, or tiered, we experience firsthand the opacity in scheme fee arrangements. These fees are more complicated than interchange and significantly impact our ability to accurately assess the underlying cost incurred by </w:t>
      </w: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for any merchant. </w:t>
      </w:r>
    </w:p>
    <w:p w14:paraId="1FEE8DE6"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Publishing aggregate data will provide much-needed visibility into scheme fee structures and trends, enabling better pricing decisions by acquirers, industry analysis of cost trends, and competitive pressure on card networks. The proposal appropriately balances transparency needs with legitimate commercial confidentiality concerns.</w:t>
      </w:r>
    </w:p>
    <w:p w14:paraId="1DC66562"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To be effective, data should be consistently categorised across Schemes, published in easily comparable formats and accompanied by clear methodology explanations. This transparency is crucial, given that scheme fees benefit larger volume acquirers through tiered pricing structures that disadvantage smaller participants. </w:t>
      </w:r>
    </w:p>
    <w:p w14:paraId="5F2C1640" w14:textId="77777777" w:rsidR="008705CA" w:rsidRDefault="008705CA">
      <w:pPr>
        <w:spacing w:before="240" w:after="240"/>
        <w:rPr>
          <w:rFonts w:ascii="Poppins" w:eastAsia="Poppins" w:hAnsi="Poppins" w:cs="Poppins"/>
          <w:sz w:val="19"/>
          <w:szCs w:val="19"/>
        </w:rPr>
      </w:pPr>
    </w:p>
    <w:p w14:paraId="395E7130" w14:textId="77777777" w:rsidR="008705CA" w:rsidRDefault="00132795">
      <w:pPr>
        <w:spacing w:before="240" w:after="240"/>
        <w:rPr>
          <w:rFonts w:ascii="Poppins" w:eastAsia="Poppins" w:hAnsi="Poppins" w:cs="Poppins"/>
          <w:sz w:val="19"/>
          <w:szCs w:val="19"/>
        </w:rPr>
      </w:pPr>
      <w:r>
        <w:br w:type="page"/>
      </w:r>
    </w:p>
    <w:p w14:paraId="77291367"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Q6: Scheme Fee Complexity Reduction</w:t>
      </w:r>
    </w:p>
    <w:p w14:paraId="7DDA55DE"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Does the proposal for card networks to work with industry to reduce the complexity and improve the transparency of their scheme fee schedules enhance the competitiveness and efficiency of the card payments system?</w:t>
      </w:r>
    </w:p>
    <w:p w14:paraId="3C1D24CD"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4519AFC1"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Yes, this is essential for market efficiency.</w:t>
      </w:r>
    </w:p>
    <w:p w14:paraId="05784C71"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Scheme fee schedules have become extraordinarily complex, with the number of scheme fee categories nearly doubling since 2020. This complexity makes it difficult for acquirers to provide accurate pricing to merchants, reduces transparency for all market participants, and increases operational costs across the system.</w:t>
      </w:r>
    </w:p>
    <w:p w14:paraId="73194FE8"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Working with the industry to develop clearer, more logical fee structures will benefit all participants. These structures should include clear rationales for different fee categories, simplified categorisation systems, and standardised terminology across schemes.</w:t>
      </w:r>
    </w:p>
    <w:p w14:paraId="2D1B74B6"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We believe that the RBA should monitor Scheme Fees regularly and provide reporting around changes that could impact the benefits of offsetting lower Interchange rates. </w:t>
      </w:r>
    </w:p>
    <w:p w14:paraId="115946A8" w14:textId="77777777" w:rsidR="008705CA" w:rsidRDefault="008705CA">
      <w:pPr>
        <w:spacing w:before="240" w:after="240"/>
        <w:rPr>
          <w:rFonts w:ascii="Poppins" w:eastAsia="Poppins" w:hAnsi="Poppins" w:cs="Poppins"/>
          <w:sz w:val="19"/>
          <w:szCs w:val="19"/>
        </w:rPr>
      </w:pPr>
    </w:p>
    <w:p w14:paraId="28F85B06" w14:textId="77777777" w:rsidR="008705CA" w:rsidRDefault="00132795">
      <w:pPr>
        <w:spacing w:before="240" w:after="240"/>
        <w:rPr>
          <w:rFonts w:ascii="Poppins" w:eastAsia="Poppins" w:hAnsi="Poppins" w:cs="Poppins"/>
          <w:sz w:val="19"/>
          <w:szCs w:val="19"/>
        </w:rPr>
      </w:pPr>
      <w:r>
        <w:br w:type="page"/>
      </w:r>
    </w:p>
    <w:p w14:paraId="5AC8AD4D"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Q7: Scheme Fee Expectations</w:t>
      </w:r>
    </w:p>
    <w:p w14:paraId="5FAD3EAF"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Does the proposed expectation on scheme fees achieve the RBA's objectives of competition and efficiency in the payments system?</w:t>
      </w:r>
    </w:p>
    <w:p w14:paraId="144AA601"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0ECF3375"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Yes, but regulatory enforcement may be necessary.</w:t>
      </w:r>
    </w:p>
    <w:p w14:paraId="3DF5C0BB"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expectations-based approach is appropriate as a first step. Still, the RBA should be prepared to implement formal regulation if Schemes do not demonstrate a genuine commitment to cost control and transparency.</w:t>
      </w:r>
    </w:p>
    <w:p w14:paraId="17EFACBD" w14:textId="77777777" w:rsidR="008705CA" w:rsidRDefault="00132795">
      <w:pPr>
        <w:spacing w:before="240" w:after="240"/>
        <w:rPr>
          <w:rFonts w:ascii="Poppins" w:eastAsia="Poppins" w:hAnsi="Poppins" w:cs="Poppins"/>
          <w:sz w:val="19"/>
          <w:szCs w:val="19"/>
        </w:rPr>
      </w:pPr>
      <w:r>
        <w:br w:type="page"/>
      </w:r>
    </w:p>
    <w:p w14:paraId="60C28A3A"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Q8: Further Scheme Fee Regulation</w:t>
      </w:r>
    </w:p>
    <w:p w14:paraId="223DBC6C"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Should the PSB consider further regulatory measures regarding the level of scheme fees to promote competition and efficiency in the payments system?</w:t>
      </w:r>
    </w:p>
    <w:p w14:paraId="35723D8C"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7AAFF42E"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Yes, capping scheme fees should be strongly considered.</w:t>
      </w:r>
    </w:p>
    <w:p w14:paraId="4B377E20"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The UK experience demonstrates that schemes may increase Scheme fees to offset interchange reductions. Visa and Mastercard increased their scheme and processing fees by over 30% over five years following UK interchange capping. </w:t>
      </w:r>
    </w:p>
    <w:p w14:paraId="2AEE5D61"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Regulatory caps on Scheme fees would provide certainty for acquirers in pricing their services, protection against scheme cost-shifting, and genuine cost reductions flowing through to merchants.</w:t>
      </w:r>
    </w:p>
    <w:p w14:paraId="15811E38"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RBA should work with the industry to establish appropriate cap levels based on actual processing costs, clearly categorise what constitutes Scheme fees, and establish regular review mechanisms.</w:t>
      </w:r>
    </w:p>
    <w:p w14:paraId="157104DE" w14:textId="77777777" w:rsidR="008705CA" w:rsidRDefault="00132795">
      <w:pPr>
        <w:spacing w:before="240" w:after="240"/>
        <w:rPr>
          <w:rFonts w:ascii="Poppins" w:eastAsia="Poppins" w:hAnsi="Poppins" w:cs="Poppins"/>
          <w:sz w:val="19"/>
          <w:szCs w:val="19"/>
        </w:rPr>
      </w:pPr>
      <w:r>
        <w:br w:type="page"/>
      </w:r>
    </w:p>
    <w:p w14:paraId="2BD466CE"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Q9: Acquirer Cost Disclosure</w:t>
      </w:r>
    </w:p>
    <w:p w14:paraId="0E78C27B"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Does the proposed requirement for acquirers to publish their merchants' cost of acceptance enhance competition and efficiency by helping merchants search for a better plan?</w:t>
      </w:r>
    </w:p>
    <w:p w14:paraId="49C9B3C3"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5A0219D4"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Qualified support with implementation considerations.</w:t>
      </w:r>
    </w:p>
    <w:p w14:paraId="1DA5B9A0"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$10 billion threshold is reasonable and captures major market participants while avoiding an excessive regulatory burden on smaller acquirers. The proposed breakdowns by merchant size and card type are useful. Still, they should be sufficiently granular to provide meaningful comparisons, standardised across acquirers for easy comparison, and protected from revealing commercially sensitive individual merchant information.</w:t>
      </w:r>
    </w:p>
    <w:p w14:paraId="79CF0045"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Quarterly publication provides a reasonable balance between timeliness and administrative burden. The proposed timeline is appropriate given the system changes required.</w:t>
      </w:r>
    </w:p>
    <w:p w14:paraId="154A4C68" w14:textId="77777777" w:rsidR="008705CA" w:rsidRDefault="008705CA">
      <w:pPr>
        <w:spacing w:before="240" w:after="240"/>
        <w:rPr>
          <w:rFonts w:ascii="Poppins" w:eastAsia="Poppins" w:hAnsi="Poppins" w:cs="Poppins"/>
          <w:sz w:val="19"/>
          <w:szCs w:val="19"/>
        </w:rPr>
      </w:pPr>
    </w:p>
    <w:p w14:paraId="5E61F6A4" w14:textId="77777777" w:rsidR="008705CA" w:rsidRDefault="008705CA">
      <w:pPr>
        <w:spacing w:before="240" w:after="240"/>
        <w:rPr>
          <w:rFonts w:ascii="Poppins" w:eastAsia="Poppins" w:hAnsi="Poppins" w:cs="Poppins"/>
          <w:sz w:val="19"/>
          <w:szCs w:val="19"/>
        </w:rPr>
      </w:pPr>
    </w:p>
    <w:p w14:paraId="6F3FC8A4" w14:textId="77777777" w:rsidR="008705CA" w:rsidRDefault="00132795">
      <w:pPr>
        <w:spacing w:before="240" w:after="240"/>
        <w:rPr>
          <w:rFonts w:ascii="Poppins" w:eastAsia="Poppins" w:hAnsi="Poppins" w:cs="Poppins"/>
          <w:sz w:val="19"/>
          <w:szCs w:val="19"/>
        </w:rPr>
      </w:pPr>
      <w:r>
        <w:br w:type="page"/>
      </w:r>
    </w:p>
    <w:p w14:paraId="7D013E53"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Q10: Domestic/International Card Breakdown</w:t>
      </w:r>
    </w:p>
    <w:p w14:paraId="33C0F502"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Does the proposal to amend the cost of acceptance reporting on merchant statements to include a breakdown for domestic and international cards promote competition by helping merchants receive more information about the fees they pay?</w:t>
      </w:r>
    </w:p>
    <w:p w14:paraId="0C841523"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422B9729"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Yes, this enhances transparency.</w:t>
      </w:r>
    </w:p>
    <w:p w14:paraId="1D52E99F"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This breakdown will help merchants understand the different cost components of their card acceptance and make informed decisions. No compelling public interest case exists for exempting taxi fares from this requirement, as transparency benefits apply equally across merchant categories.</w:t>
      </w:r>
    </w:p>
    <w:p w14:paraId="10D9378E" w14:textId="77777777" w:rsidR="008705CA" w:rsidRDefault="00132795">
      <w:pPr>
        <w:spacing w:before="240" w:after="240"/>
        <w:rPr>
          <w:rFonts w:ascii="Poppins" w:eastAsia="Poppins" w:hAnsi="Poppins" w:cs="Poppins"/>
          <w:sz w:val="19"/>
          <w:szCs w:val="19"/>
        </w:rPr>
      </w:pPr>
      <w:r>
        <w:br w:type="page"/>
      </w:r>
    </w:p>
    <w:p w14:paraId="7834FE4D"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Q11: Least-Cost Routing Changes</w:t>
      </w:r>
    </w:p>
    <w:p w14:paraId="240CC743"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Are there any changes that should be made to the RBA's existing industry expectation on LCR implementation to improve competition and efficiency in the debit card market?</w:t>
      </w:r>
    </w:p>
    <w:p w14:paraId="19450F69"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096D0038"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current approach is appropriate with enhanced industry coordination.</w:t>
      </w:r>
    </w:p>
    <w:p w14:paraId="35AE2C5A"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LCR has been effective in reducing merchant costs. The main improvement needed is better coordination of industry-wide standards and protocols. </w:t>
      </w:r>
    </w:p>
    <w:p w14:paraId="75E84186"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Each acquirer's approach to LCR implementation is different, as each has different cost bases, scheme arrangements, rate leverage, etc.  We support the RBA's ongoing work to ensure mobile wallets present routing options to merchants.</w:t>
      </w:r>
    </w:p>
    <w:p w14:paraId="6A26A0CC" w14:textId="77777777" w:rsidR="008705CA" w:rsidRDefault="008705CA">
      <w:pPr>
        <w:spacing w:before="240" w:after="240"/>
        <w:rPr>
          <w:rFonts w:ascii="Poppins" w:eastAsia="Poppins" w:hAnsi="Poppins" w:cs="Poppins"/>
          <w:sz w:val="19"/>
          <w:szCs w:val="19"/>
        </w:rPr>
      </w:pPr>
    </w:p>
    <w:p w14:paraId="66F39A55" w14:textId="77777777" w:rsidR="008705CA" w:rsidRDefault="00132795">
      <w:pPr>
        <w:spacing w:before="240" w:after="240"/>
        <w:rPr>
          <w:rFonts w:ascii="Poppins" w:eastAsia="Poppins" w:hAnsi="Poppins" w:cs="Poppins"/>
          <w:sz w:val="19"/>
          <w:szCs w:val="19"/>
        </w:rPr>
      </w:pPr>
      <w:r>
        <w:br w:type="page"/>
      </w:r>
    </w:p>
    <w:p w14:paraId="2A74A21F"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 xml:space="preserve">Q12: </w:t>
      </w:r>
      <w:proofErr w:type="gramStart"/>
      <w:r>
        <w:rPr>
          <w:rFonts w:ascii="Poppins" w:eastAsia="Poppins" w:hAnsi="Poppins" w:cs="Poppins"/>
          <w:b/>
          <w:sz w:val="19"/>
          <w:szCs w:val="19"/>
        </w:rPr>
        <w:t>Overall</w:t>
      </w:r>
      <w:proofErr w:type="gramEnd"/>
      <w:r>
        <w:rPr>
          <w:rFonts w:ascii="Poppins" w:eastAsia="Poppins" w:hAnsi="Poppins" w:cs="Poppins"/>
          <w:b/>
          <w:sz w:val="19"/>
          <w:szCs w:val="19"/>
        </w:rPr>
        <w:t xml:space="preserve"> Policy Package Assessment</w:t>
      </w:r>
    </w:p>
    <w:p w14:paraId="577C40AC"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Does the PSB's preferred package meet its objectives of competition, efficiency and safety in the payments system? Are there any variations that would yield higher net public benefits?</w:t>
      </w:r>
    </w:p>
    <w:p w14:paraId="54C9F647"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62F9DBEE"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The package is sound </w:t>
      </w:r>
      <w:proofErr w:type="gramStart"/>
      <w:r>
        <w:rPr>
          <w:rFonts w:ascii="Poppins" w:eastAsia="Poppins" w:hAnsi="Poppins" w:cs="Poppins"/>
          <w:sz w:val="19"/>
          <w:szCs w:val="19"/>
        </w:rPr>
        <w:t>mainly, but</w:t>
      </w:r>
      <w:proofErr w:type="gramEnd"/>
      <w:r>
        <w:rPr>
          <w:rFonts w:ascii="Poppins" w:eastAsia="Poppins" w:hAnsi="Poppins" w:cs="Poppins"/>
          <w:sz w:val="19"/>
          <w:szCs w:val="19"/>
        </w:rPr>
        <w:t xml:space="preserve"> requires modification for surcharging and stronger compliance concerning Scheme Fees. </w:t>
      </w:r>
    </w:p>
    <w:p w14:paraId="26772702"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The strong elements include interchange reductions that benefit SMEs, enhanced transparency requirements, Scheme fee oversight and data publication, and foreign card regulation. </w:t>
      </w:r>
    </w:p>
    <w:p w14:paraId="442040A2"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However, the proposal for no-surcharge rules fundamentally undermines the package's benefits.</w:t>
      </w:r>
    </w:p>
    <w:p w14:paraId="245C5694"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Instead, we recommend maintaining surcharging protections but introducing more specific guidance on acceptable surcharge levels. Shifting enforcement from individual merchants to acquirers would reduce the compliance burden on small businesses while enabling more effective monitoring and enforcement of reasonable surcharge levels, which an industry forum could consider as part of a review. </w:t>
      </w:r>
    </w:p>
    <w:p w14:paraId="0572296F"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RBA should consider surcharge caps rather than bans as an alternative approach and implement more straightforward guidelines on what can and cannot be included in cost of acceptance calculations.</w:t>
      </w:r>
    </w:p>
    <w:p w14:paraId="07AC4D9C" w14:textId="77777777" w:rsidR="008705CA" w:rsidRDefault="008705CA">
      <w:pPr>
        <w:spacing w:before="240" w:after="240"/>
        <w:rPr>
          <w:rFonts w:ascii="Poppins" w:eastAsia="Poppins" w:hAnsi="Poppins" w:cs="Poppins"/>
          <w:sz w:val="19"/>
          <w:szCs w:val="19"/>
        </w:rPr>
      </w:pPr>
    </w:p>
    <w:p w14:paraId="782A1BAE" w14:textId="77777777" w:rsidR="008705CA" w:rsidRDefault="00132795">
      <w:pPr>
        <w:spacing w:before="240" w:after="240"/>
        <w:rPr>
          <w:rFonts w:ascii="Poppins" w:eastAsia="Poppins" w:hAnsi="Poppins" w:cs="Poppins"/>
          <w:sz w:val="19"/>
          <w:szCs w:val="19"/>
        </w:rPr>
      </w:pPr>
      <w:r>
        <w:br w:type="page"/>
      </w:r>
    </w:p>
    <w:p w14:paraId="0274E364"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Q13: Implementation Timeline</w:t>
      </w:r>
    </w:p>
    <w:p w14:paraId="59442C7F"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What is your feedback on the proposed implementation timeline for these reforms?</w:t>
      </w:r>
    </w:p>
    <w:p w14:paraId="276BF4AF"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7396A14E"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Needs amending. </w:t>
      </w:r>
    </w:p>
    <w:p w14:paraId="74B73554"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We recommend the timeline of</w:t>
      </w:r>
      <w:r>
        <w:rPr>
          <w:rFonts w:ascii="Poppins" w:eastAsia="Poppins" w:hAnsi="Poppins" w:cs="Poppins"/>
          <w:b/>
          <w:sz w:val="19"/>
          <w:szCs w:val="19"/>
        </w:rPr>
        <w:t xml:space="preserve"> 1 April 2026</w:t>
      </w:r>
      <w:r>
        <w:rPr>
          <w:rFonts w:ascii="Poppins" w:eastAsia="Poppins" w:hAnsi="Poppins" w:cs="Poppins"/>
          <w:sz w:val="19"/>
          <w:szCs w:val="19"/>
        </w:rPr>
        <w:t xml:space="preserve"> for interchange and transparency changes, which provides adequate implementation time. Data publication timelines are reasonable, and the three-month notice period from final decisions is appropriate and achievable.</w:t>
      </w:r>
    </w:p>
    <w:p w14:paraId="3385CB6E"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We recommend extending surcharging changes to</w:t>
      </w:r>
      <w:r>
        <w:rPr>
          <w:rFonts w:ascii="Poppins" w:eastAsia="Poppins" w:hAnsi="Poppins" w:cs="Poppins"/>
          <w:b/>
          <w:sz w:val="19"/>
          <w:szCs w:val="19"/>
        </w:rPr>
        <w:t xml:space="preserve"> 1 April 2027</w:t>
      </w:r>
      <w:r>
        <w:rPr>
          <w:rFonts w:ascii="Poppins" w:eastAsia="Poppins" w:hAnsi="Poppins" w:cs="Poppins"/>
          <w:sz w:val="19"/>
          <w:szCs w:val="19"/>
        </w:rPr>
        <w:t>. This would demonstrate the positive effects of interchange reductions, confirm whether lower costs naturally reduce merchant surcharging behaviour, and provide evidence-based policy development.</w:t>
      </w:r>
    </w:p>
    <w:p w14:paraId="2EDA14CD"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This would also provide additional time for Merchants struggling to adapt to the new payment environment and for merchant education to ensure they continue to offer card payments and are supported throughout the process. </w:t>
      </w:r>
    </w:p>
    <w:p w14:paraId="7F5CCE24"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RBA should provide precise technical specifications for data publication requirements, industry forums for implementation coordination, and regular progress monitoring and feedback mechanisms.</w:t>
      </w:r>
    </w:p>
    <w:p w14:paraId="265D3AD5" w14:textId="77777777" w:rsidR="008705CA" w:rsidRDefault="008705CA">
      <w:pPr>
        <w:spacing w:before="240" w:after="240"/>
        <w:rPr>
          <w:rFonts w:ascii="Poppins" w:eastAsia="Poppins" w:hAnsi="Poppins" w:cs="Poppins"/>
          <w:sz w:val="19"/>
          <w:szCs w:val="19"/>
        </w:rPr>
      </w:pPr>
    </w:p>
    <w:p w14:paraId="61A6CBAD" w14:textId="77777777" w:rsidR="008705CA" w:rsidRDefault="008705CA">
      <w:pPr>
        <w:spacing w:before="240" w:after="240"/>
        <w:rPr>
          <w:rFonts w:ascii="Poppins" w:eastAsia="Poppins" w:hAnsi="Poppins" w:cs="Poppins"/>
          <w:sz w:val="19"/>
          <w:szCs w:val="19"/>
        </w:rPr>
      </w:pPr>
    </w:p>
    <w:p w14:paraId="56E0A4EE" w14:textId="77777777" w:rsidR="008705CA" w:rsidRDefault="00132795">
      <w:pPr>
        <w:spacing w:before="240" w:after="240"/>
        <w:rPr>
          <w:rFonts w:ascii="Poppins" w:eastAsia="Poppins" w:hAnsi="Poppins" w:cs="Poppins"/>
          <w:sz w:val="19"/>
          <w:szCs w:val="19"/>
        </w:rPr>
      </w:pPr>
      <w:r>
        <w:br w:type="page"/>
      </w:r>
    </w:p>
    <w:p w14:paraId="03242CAF"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Q14: Draft Standards Assessment</w:t>
      </w:r>
    </w:p>
    <w:p w14:paraId="1DD2F078"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Do the draft standards in Appendix D achieve the intended policy objectives?</w:t>
      </w:r>
    </w:p>
    <w:p w14:paraId="405FFC98" w14:textId="77777777" w:rsidR="008705CA" w:rsidRDefault="00132795">
      <w:pPr>
        <w:spacing w:before="240" w:after="240"/>
        <w:rPr>
          <w:rFonts w:ascii="Poppins" w:eastAsia="Poppins" w:hAnsi="Poppins" w:cs="Poppins"/>
          <w:b/>
          <w:sz w:val="19"/>
          <w:szCs w:val="19"/>
        </w:rPr>
      </w:pPr>
      <w:proofErr w:type="spellStart"/>
      <w:r>
        <w:rPr>
          <w:rFonts w:ascii="Poppins" w:eastAsia="Poppins" w:hAnsi="Poppins" w:cs="Poppins"/>
          <w:b/>
          <w:sz w:val="19"/>
          <w:szCs w:val="19"/>
        </w:rPr>
        <w:t>Smartpay's</w:t>
      </w:r>
      <w:proofErr w:type="spellEnd"/>
      <w:r>
        <w:rPr>
          <w:rFonts w:ascii="Poppins" w:eastAsia="Poppins" w:hAnsi="Poppins" w:cs="Poppins"/>
          <w:b/>
          <w:sz w:val="19"/>
          <w:szCs w:val="19"/>
        </w:rPr>
        <w:t xml:space="preserve"> Response</w:t>
      </w:r>
    </w:p>
    <w:p w14:paraId="3D6A2B43"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 xml:space="preserve">The draft standards are technically </w:t>
      </w:r>
      <w:proofErr w:type="gramStart"/>
      <w:r>
        <w:rPr>
          <w:rFonts w:ascii="Poppins" w:eastAsia="Poppins" w:hAnsi="Poppins" w:cs="Poppins"/>
          <w:sz w:val="19"/>
          <w:szCs w:val="19"/>
        </w:rPr>
        <w:t>sound, but</w:t>
      </w:r>
      <w:proofErr w:type="gramEnd"/>
      <w:r>
        <w:rPr>
          <w:rFonts w:ascii="Poppins" w:eastAsia="Poppins" w:hAnsi="Poppins" w:cs="Poppins"/>
          <w:sz w:val="19"/>
          <w:szCs w:val="19"/>
        </w:rPr>
        <w:t xml:space="preserve"> should exclude surcharging prohibitions.</w:t>
      </w:r>
    </w:p>
    <w:p w14:paraId="2D0A6D3A"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The well-structured elements include precise compliance requirements for interchange caps, appropriate data publication specifications, and reasonable transition arrangements. Areas for improvement include removing provisions allowing no-surcharge rules, ensuring data publication formats are standardised across all participants, including precise dispute resolution mechanisms for compliance issues, and providing adequate technical guidance for smaller participants.</w:t>
      </w:r>
    </w:p>
    <w:p w14:paraId="040D1347" w14:textId="77777777" w:rsidR="008705CA" w:rsidRDefault="00132795">
      <w:pPr>
        <w:spacing w:before="240" w:after="240"/>
        <w:rPr>
          <w:rFonts w:ascii="Poppins" w:eastAsia="Poppins" w:hAnsi="Poppins" w:cs="Poppins"/>
          <w:sz w:val="19"/>
          <w:szCs w:val="19"/>
        </w:rPr>
      </w:pPr>
      <w:r>
        <w:br w:type="page"/>
      </w:r>
    </w:p>
    <w:p w14:paraId="04A95008" w14:textId="77777777" w:rsidR="008705CA" w:rsidRDefault="00132795">
      <w:pPr>
        <w:spacing w:before="240" w:after="240"/>
        <w:rPr>
          <w:rFonts w:ascii="Poppins" w:eastAsia="Poppins" w:hAnsi="Poppins" w:cs="Poppins"/>
          <w:b/>
          <w:sz w:val="19"/>
          <w:szCs w:val="19"/>
        </w:rPr>
      </w:pPr>
      <w:r>
        <w:rPr>
          <w:rFonts w:ascii="Poppins" w:eastAsia="Poppins" w:hAnsi="Poppins" w:cs="Poppins"/>
          <w:b/>
          <w:sz w:val="19"/>
          <w:szCs w:val="19"/>
        </w:rPr>
        <w:lastRenderedPageBreak/>
        <w:t>Conclusion</w:t>
      </w:r>
    </w:p>
    <w:p w14:paraId="6E6FF016" w14:textId="77777777" w:rsidR="008705CA" w:rsidRDefault="00132795">
      <w:pPr>
        <w:spacing w:before="240" w:after="240"/>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strongly supports the RBA's efforts to create a more competitive and efficient payments system. The proposed interchange reductions, transparency measures, and scheme fee oversight will deliver meaningful benefits to merchants, particularly SMEs, whose current system structure has disadvantaged them.</w:t>
      </w:r>
    </w:p>
    <w:p w14:paraId="575A6A23"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However, we urge the RBA to reconsider the package's surcharging elements. Maintaining surcharging protections is essential for preserving price transparency for consumers, protecting small merchants from excessive cost burdens, preventing inappropriate market power concentration, and keeping the competitive dynamics that have benefited the Australian payments system.</w:t>
      </w:r>
    </w:p>
    <w:p w14:paraId="42A69B27"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Through the other proposed measures, we believe the RBA can achieve its objectives of reducing merchant costs and improving system efficiency while maintaining the transparency and competitive benefits of surcharging.</w:t>
      </w:r>
    </w:p>
    <w:p w14:paraId="0C9B0A3A" w14:textId="77777777" w:rsidR="008705CA" w:rsidRDefault="00132795">
      <w:pPr>
        <w:spacing w:before="240" w:after="240"/>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commits to working constructively with the RBA, industry participants, and merchants to implement these changes to deliver maximum benefit to Australian businesses and consumers.</w:t>
      </w:r>
    </w:p>
    <w:p w14:paraId="32E40B7E" w14:textId="77777777" w:rsidR="008705CA" w:rsidRDefault="00132795">
      <w:pPr>
        <w:spacing w:before="240" w:after="240"/>
        <w:rPr>
          <w:rFonts w:ascii="Poppins" w:eastAsia="Poppins" w:hAnsi="Poppins" w:cs="Poppins"/>
          <w:sz w:val="19"/>
          <w:szCs w:val="19"/>
        </w:rPr>
      </w:pPr>
      <w:r>
        <w:rPr>
          <w:rFonts w:ascii="Poppins" w:eastAsia="Poppins" w:hAnsi="Poppins" w:cs="Poppins"/>
          <w:sz w:val="19"/>
          <w:szCs w:val="19"/>
        </w:rPr>
        <w:t>We welcome the opportunity to discuss our submission further and provide additional information as required.</w:t>
      </w:r>
    </w:p>
    <w:p w14:paraId="7199B1FE" w14:textId="77777777" w:rsidR="008705CA" w:rsidRDefault="00132795">
      <w:pPr>
        <w:spacing w:before="240" w:after="240"/>
        <w:rPr>
          <w:rFonts w:ascii="Poppins" w:eastAsia="Poppins" w:hAnsi="Poppins" w:cs="Poppins"/>
          <w:sz w:val="22"/>
          <w:szCs w:val="22"/>
        </w:rPr>
      </w:pPr>
      <w:r>
        <w:br w:type="page"/>
      </w:r>
    </w:p>
    <w:p w14:paraId="304E5995" w14:textId="77777777" w:rsidR="008705CA" w:rsidRDefault="00132795">
      <w:pPr>
        <w:rPr>
          <w:rFonts w:ascii="Poppins" w:eastAsia="Poppins" w:hAnsi="Poppins" w:cs="Poppins"/>
          <w:b/>
          <w:sz w:val="19"/>
          <w:szCs w:val="19"/>
        </w:rPr>
      </w:pPr>
      <w:r>
        <w:rPr>
          <w:rFonts w:ascii="Poppins" w:eastAsia="Poppins" w:hAnsi="Poppins" w:cs="Poppins"/>
          <w:b/>
          <w:sz w:val="19"/>
          <w:szCs w:val="19"/>
        </w:rPr>
        <w:lastRenderedPageBreak/>
        <w:t xml:space="preserve">The </w:t>
      </w:r>
      <w:proofErr w:type="spellStart"/>
      <w:r>
        <w:rPr>
          <w:rFonts w:ascii="Poppins" w:eastAsia="Poppins" w:hAnsi="Poppins" w:cs="Poppins"/>
          <w:b/>
          <w:sz w:val="19"/>
          <w:szCs w:val="19"/>
        </w:rPr>
        <w:t>Smartpay</w:t>
      </w:r>
      <w:proofErr w:type="spellEnd"/>
      <w:r>
        <w:rPr>
          <w:rFonts w:ascii="Poppins" w:eastAsia="Poppins" w:hAnsi="Poppins" w:cs="Poppins"/>
          <w:b/>
          <w:sz w:val="19"/>
          <w:szCs w:val="19"/>
        </w:rPr>
        <w:t xml:space="preserve"> Solution</w:t>
      </w:r>
    </w:p>
    <w:p w14:paraId="48CF69CB" w14:textId="77777777" w:rsidR="008705CA" w:rsidRDefault="00132795">
      <w:pPr>
        <w:rPr>
          <w:rFonts w:ascii="Poppins" w:eastAsia="Poppins" w:hAnsi="Poppins" w:cs="Poppins"/>
          <w:sz w:val="19"/>
          <w:szCs w:val="19"/>
        </w:rPr>
      </w:pPr>
      <w:r>
        <w:rPr>
          <w:rFonts w:ascii="Poppins" w:eastAsia="Poppins" w:hAnsi="Poppins" w:cs="Poppins"/>
          <w:sz w:val="19"/>
          <w:szCs w:val="19"/>
        </w:rPr>
        <w:t xml:space="preserve">As a payment facilitator, </w:t>
      </w: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provides two products to primarily SMB merchants across Australia. </w:t>
      </w:r>
    </w:p>
    <w:p w14:paraId="581A6138" w14:textId="77777777" w:rsidR="008705CA" w:rsidRDefault="00132795">
      <w:pPr>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partners with Cuscal (Acquirer) to provide these services. </w:t>
      </w: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has supported merchants with these solutions since 2017 and employs approximately 250 employees across Australia and New Zealand. </w:t>
      </w:r>
    </w:p>
    <w:p w14:paraId="07107E55" w14:textId="77777777" w:rsidR="008705CA" w:rsidRDefault="00132795">
      <w:pPr>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provides a blended solution that offers a variable price for contactless transactions and a fixed price for insert debit transactions, called the “</w:t>
      </w:r>
      <w:hyperlink r:id="rId8">
        <w:r>
          <w:rPr>
            <w:rFonts w:ascii="Poppins" w:eastAsia="Poppins" w:hAnsi="Poppins" w:cs="Poppins"/>
            <w:color w:val="1155CC"/>
            <w:sz w:val="19"/>
            <w:szCs w:val="19"/>
            <w:u w:val="single"/>
          </w:rPr>
          <w:t>Simple Flat Rate</w:t>
        </w:r>
      </w:hyperlink>
      <w:r>
        <w:rPr>
          <w:rFonts w:ascii="Poppins" w:eastAsia="Poppins" w:hAnsi="Poppins" w:cs="Poppins"/>
          <w:sz w:val="19"/>
          <w:szCs w:val="19"/>
        </w:rPr>
        <w:t xml:space="preserve">.” </w:t>
      </w:r>
    </w:p>
    <w:p w14:paraId="1ECB4651" w14:textId="77777777" w:rsidR="008705CA" w:rsidRDefault="00132795">
      <w:pPr>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also provides a blended solution that offers a variable price for contactless transactions and a fixed price for insert debit transactions. The merchant can surcharge this cost to their customers on an individual transaction basis, which is called “</w:t>
      </w:r>
      <w:hyperlink r:id="rId9">
        <w:r>
          <w:rPr>
            <w:rFonts w:ascii="Poppins" w:eastAsia="Poppins" w:hAnsi="Poppins" w:cs="Poppins"/>
            <w:color w:val="1155CC"/>
            <w:sz w:val="19"/>
            <w:szCs w:val="19"/>
            <w:u w:val="single"/>
          </w:rPr>
          <w:t>Zero Cost EFTPOS</w:t>
        </w:r>
      </w:hyperlink>
      <w:r>
        <w:rPr>
          <w:rFonts w:ascii="Poppins" w:eastAsia="Poppins" w:hAnsi="Poppins" w:cs="Poppins"/>
          <w:sz w:val="19"/>
          <w:szCs w:val="19"/>
        </w:rPr>
        <w:t>.”</w:t>
      </w:r>
    </w:p>
    <w:p w14:paraId="7755572E" w14:textId="77777777" w:rsidR="008705CA" w:rsidRDefault="00132795">
      <w:pPr>
        <w:rPr>
          <w:rFonts w:ascii="Poppins" w:eastAsia="Poppins" w:hAnsi="Poppins" w:cs="Poppins"/>
          <w:sz w:val="19"/>
          <w:szCs w:val="19"/>
        </w:rPr>
      </w:pPr>
      <w:r>
        <w:rPr>
          <w:rFonts w:ascii="Poppins" w:eastAsia="Poppins" w:hAnsi="Poppins" w:cs="Poppins"/>
          <w:sz w:val="19"/>
          <w:szCs w:val="19"/>
        </w:rPr>
        <w:t xml:space="preserve">The blended pricing allows the merchant to easily forecast their merchant services fees as a percentage of their expected turnover. It also means that there would be no variable cost consideration to </w:t>
      </w:r>
      <w:proofErr w:type="gramStart"/>
      <w:r>
        <w:rPr>
          <w:rFonts w:ascii="Poppins" w:eastAsia="Poppins" w:hAnsi="Poppins" w:cs="Poppins"/>
          <w:sz w:val="19"/>
          <w:szCs w:val="19"/>
        </w:rPr>
        <w:t>take into account</w:t>
      </w:r>
      <w:proofErr w:type="gramEnd"/>
      <w:r>
        <w:rPr>
          <w:rFonts w:ascii="Poppins" w:eastAsia="Poppins" w:hAnsi="Poppins" w:cs="Poppins"/>
          <w:sz w:val="19"/>
          <w:szCs w:val="19"/>
        </w:rPr>
        <w:t xml:space="preserve"> the various cards that their customers may choose to pay with within their stores.</w:t>
      </w:r>
    </w:p>
    <w:p w14:paraId="1FFE8409" w14:textId="77777777" w:rsidR="008705CA" w:rsidRDefault="00132795">
      <w:pPr>
        <w:rPr>
          <w:rFonts w:ascii="Poppins" w:eastAsia="Poppins" w:hAnsi="Poppins" w:cs="Poppins"/>
          <w:sz w:val="19"/>
          <w:szCs w:val="19"/>
        </w:rPr>
      </w:pPr>
      <w:r>
        <w:rPr>
          <w:rFonts w:ascii="Poppins" w:eastAsia="Poppins" w:hAnsi="Poppins" w:cs="Poppins"/>
          <w:sz w:val="19"/>
          <w:szCs w:val="19"/>
        </w:rPr>
        <w:t>The surcharging option allows the merchant to offset their monthly cost by charging a fee on each transaction to their customers, which helps with their overall business costs. In difficult economic times when costs are rising and spending is low, this is an option that SMB merchants like to use to help with their overall business cost management.</w:t>
      </w:r>
    </w:p>
    <w:p w14:paraId="021C1EB8" w14:textId="77777777" w:rsidR="008705CA" w:rsidRDefault="00132795">
      <w:pPr>
        <w:rPr>
          <w:rFonts w:ascii="Poppins" w:eastAsia="Poppins" w:hAnsi="Poppins" w:cs="Poppins"/>
          <w:sz w:val="19"/>
          <w:szCs w:val="19"/>
        </w:rPr>
      </w:pPr>
      <w:r>
        <w:rPr>
          <w:rFonts w:ascii="Poppins" w:eastAsia="Poppins" w:hAnsi="Poppins" w:cs="Poppins"/>
          <w:sz w:val="19"/>
          <w:szCs w:val="19"/>
        </w:rPr>
        <w:t>Variable and fixed pricing offer the cardholder an option to determine before paying, based on the size of the transaction, whether the surcharge is acceptable on a variable basis or whether a fixed amount would be more acceptable.</w:t>
      </w:r>
    </w:p>
    <w:p w14:paraId="0BD33D55" w14:textId="77777777" w:rsidR="008705CA" w:rsidRDefault="00132795">
      <w:pPr>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services and supports approximately 18,000 merchants and approximately 20,000 terminals across Australia with these products.</w:t>
      </w:r>
    </w:p>
    <w:p w14:paraId="41E49A1B" w14:textId="77777777" w:rsidR="008705CA" w:rsidRDefault="00132795">
      <w:pPr>
        <w:rPr>
          <w:rFonts w:ascii="Poppins" w:eastAsia="Poppins" w:hAnsi="Poppins" w:cs="Poppins"/>
          <w:sz w:val="19"/>
          <w:szCs w:val="19"/>
        </w:rPr>
      </w:pPr>
      <w:r>
        <w:rPr>
          <w:rFonts w:ascii="Poppins" w:eastAsia="Poppins" w:hAnsi="Poppins" w:cs="Poppins"/>
          <w:sz w:val="19"/>
          <w:szCs w:val="19"/>
        </w:rPr>
        <w:t>Based on research and insights with merchants, we understood that SMB merchants were being underserved by the major banks and developed a “customer experience” proposition to deliver a simplified acquiring solution along with a first-in-class customer experience offering 24/7, 365-day assistance, most recently acknowledged by a +70 Net Promoter Score (NPS) from our merchants.</w:t>
      </w:r>
    </w:p>
    <w:p w14:paraId="79F8DF6D" w14:textId="77777777" w:rsidR="008705CA" w:rsidRDefault="00132795">
      <w:pPr>
        <w:tabs>
          <w:tab w:val="center" w:pos="4513"/>
          <w:tab w:val="right" w:pos="9026"/>
        </w:tabs>
        <w:spacing w:after="0" w:line="240" w:lineRule="auto"/>
        <w:rPr>
          <w:rFonts w:ascii="Poppins" w:eastAsia="Poppins" w:hAnsi="Poppins" w:cs="Poppins"/>
          <w:i/>
          <w:sz w:val="19"/>
          <w:szCs w:val="19"/>
        </w:rPr>
      </w:pPr>
      <w:r>
        <w:rPr>
          <w:rFonts w:ascii="Poppins" w:eastAsia="Poppins" w:hAnsi="Poppins" w:cs="Poppins"/>
          <w:sz w:val="19"/>
          <w:szCs w:val="19"/>
        </w:rPr>
        <w:t>NPS is in “negative territory” across the banking industry overall. CBA has the highest NPS among the big four banks, with a rating of -7.0. The average NPS of the big four banks as a group was -12.7 in June 2024.</w:t>
      </w:r>
    </w:p>
    <w:p w14:paraId="5BA06383" w14:textId="77777777" w:rsidR="008705CA" w:rsidRDefault="008705CA">
      <w:pPr>
        <w:tabs>
          <w:tab w:val="center" w:pos="4513"/>
          <w:tab w:val="right" w:pos="9026"/>
        </w:tabs>
        <w:spacing w:after="0" w:line="240" w:lineRule="auto"/>
        <w:rPr>
          <w:rFonts w:ascii="Poppins" w:eastAsia="Poppins" w:hAnsi="Poppins" w:cs="Poppins"/>
          <w:i/>
          <w:sz w:val="19"/>
          <w:szCs w:val="19"/>
        </w:rPr>
      </w:pPr>
    </w:p>
    <w:p w14:paraId="33168FCD" w14:textId="77777777" w:rsidR="008705CA" w:rsidRDefault="00132795">
      <w:pPr>
        <w:rPr>
          <w:rFonts w:ascii="Poppins" w:eastAsia="Poppins" w:hAnsi="Poppins" w:cs="Poppins"/>
          <w:sz w:val="19"/>
          <w:szCs w:val="19"/>
        </w:rPr>
      </w:pPr>
      <w:r>
        <w:rPr>
          <w:rFonts w:ascii="Poppins" w:eastAsia="Poppins" w:hAnsi="Poppins" w:cs="Poppins"/>
          <w:sz w:val="19"/>
          <w:szCs w:val="19"/>
        </w:rPr>
        <w:t xml:space="preserve">This customer experience often requires significant human capital investment for </w:t>
      </w: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to offer our SMB merchants an average call wait time under 2 minutes and over 75% first-call resolution.</w:t>
      </w:r>
    </w:p>
    <w:p w14:paraId="039784F1" w14:textId="77777777" w:rsidR="008705CA" w:rsidRDefault="00132795">
      <w:pPr>
        <w:rPr>
          <w:rFonts w:ascii="Poppins" w:eastAsia="Poppins" w:hAnsi="Poppins" w:cs="Poppins"/>
          <w:sz w:val="19"/>
          <w:szCs w:val="19"/>
        </w:rPr>
      </w:pPr>
      <w:proofErr w:type="spellStart"/>
      <w:r>
        <w:rPr>
          <w:rFonts w:ascii="Poppins" w:eastAsia="Poppins" w:hAnsi="Poppins" w:cs="Poppins"/>
          <w:sz w:val="19"/>
          <w:szCs w:val="19"/>
        </w:rPr>
        <w:lastRenderedPageBreak/>
        <w:t>Smartpay</w:t>
      </w:r>
      <w:proofErr w:type="spellEnd"/>
      <w:r>
        <w:rPr>
          <w:rFonts w:ascii="Poppins" w:eastAsia="Poppins" w:hAnsi="Poppins" w:cs="Poppins"/>
          <w:sz w:val="19"/>
          <w:szCs w:val="19"/>
        </w:rPr>
        <w:t xml:space="preserve"> employs an engineering team that develops the software and systems to provide our solutions. These solutions require periodic updates due to scheme mandates, compliance enhancements, regulatory changes, and custom payment-related software development delivered through PCI-compliant terminals.</w:t>
      </w:r>
    </w:p>
    <w:p w14:paraId="66D3C061" w14:textId="77777777" w:rsidR="008705CA" w:rsidRDefault="00132795">
      <w:pPr>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employs sales, marketing, and product teams to build, sell, and promote our solutions to SMBs in Australia. We offer an alternative solution and service to what they may be able to receive from the incumbent providers, usually the main banks.   </w:t>
      </w:r>
    </w:p>
    <w:p w14:paraId="6488373B" w14:textId="77777777" w:rsidR="008705CA" w:rsidRDefault="00132795">
      <w:pPr>
        <w:rPr>
          <w:rFonts w:ascii="Poppins" w:eastAsia="Poppins" w:hAnsi="Poppins" w:cs="Poppins"/>
          <w:sz w:val="19"/>
          <w:szCs w:val="19"/>
        </w:rPr>
      </w:pPr>
      <w:r>
        <w:rPr>
          <w:rFonts w:ascii="Poppins" w:eastAsia="Poppins" w:hAnsi="Poppins" w:cs="Poppins"/>
          <w:sz w:val="19"/>
          <w:szCs w:val="19"/>
        </w:rPr>
        <w:t>We recently invested in a large brand redesign and marketing effort in Australia to share our message and promote the options to SMBs who may be with a provider that does not offer these solutions or experiences.</w:t>
      </w:r>
    </w:p>
    <w:p w14:paraId="58BBC526" w14:textId="77777777" w:rsidR="008705CA" w:rsidRDefault="00132795">
      <w:pPr>
        <w:rPr>
          <w:rFonts w:ascii="Poppins" w:eastAsia="Poppins" w:hAnsi="Poppins" w:cs="Poppins"/>
          <w:sz w:val="19"/>
          <w:szCs w:val="19"/>
        </w:rPr>
      </w:pP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employs compliance, merchant services, technical helpdesk, and service delivery teams to support these customers through onboarding, installation, servicing, and product support.</w:t>
      </w:r>
    </w:p>
    <w:p w14:paraId="3687202B" w14:textId="77777777" w:rsidR="008705CA" w:rsidRDefault="00132795">
      <w:pPr>
        <w:rPr>
          <w:rFonts w:ascii="Poppins" w:eastAsia="Poppins" w:hAnsi="Poppins" w:cs="Poppins"/>
          <w:sz w:val="19"/>
          <w:szCs w:val="19"/>
        </w:rPr>
      </w:pPr>
      <w:r>
        <w:rPr>
          <w:rFonts w:ascii="Poppins" w:eastAsia="Poppins" w:hAnsi="Poppins" w:cs="Poppins"/>
          <w:sz w:val="19"/>
          <w:szCs w:val="19"/>
        </w:rPr>
        <w:t xml:space="preserve">Over the past few years, there has been increased competition in the payments market, where new entrants like </w:t>
      </w: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have entered the market and offered alternative solutions for merchants like the ones identified above. </w:t>
      </w:r>
    </w:p>
    <w:p w14:paraId="78E9D188" w14:textId="77777777" w:rsidR="008705CA" w:rsidRDefault="00132795">
      <w:pPr>
        <w:rPr>
          <w:rFonts w:ascii="Poppins" w:eastAsia="Poppins" w:hAnsi="Poppins" w:cs="Poppins"/>
          <w:sz w:val="19"/>
          <w:szCs w:val="19"/>
        </w:rPr>
      </w:pPr>
      <w:r>
        <w:rPr>
          <w:rFonts w:ascii="Poppins" w:eastAsia="Poppins" w:hAnsi="Poppins" w:cs="Poppins"/>
          <w:sz w:val="19"/>
          <w:szCs w:val="19"/>
        </w:rPr>
        <w:t>Healthy competition drives better solutions and competitive pricing for merchants and consumers.</w:t>
      </w:r>
    </w:p>
    <w:p w14:paraId="3D184C49" w14:textId="77777777" w:rsidR="008705CA" w:rsidRDefault="00132795">
      <w:pPr>
        <w:rPr>
          <w:rFonts w:ascii="Poppins" w:eastAsia="Poppins" w:hAnsi="Poppins" w:cs="Poppins"/>
          <w:b/>
          <w:sz w:val="19"/>
          <w:szCs w:val="19"/>
        </w:rPr>
      </w:pPr>
      <w:r>
        <w:rPr>
          <w:rFonts w:ascii="Poppins" w:eastAsia="Poppins" w:hAnsi="Poppins" w:cs="Poppins"/>
          <w:b/>
          <w:sz w:val="19"/>
          <w:szCs w:val="19"/>
        </w:rPr>
        <w:t>About Our Merchants</w:t>
      </w:r>
    </w:p>
    <w:p w14:paraId="68336C5A" w14:textId="77777777" w:rsidR="008705CA" w:rsidRDefault="00132795">
      <w:pPr>
        <w:rPr>
          <w:rFonts w:ascii="Poppins" w:eastAsia="Poppins" w:hAnsi="Poppins" w:cs="Poppins"/>
          <w:sz w:val="19"/>
          <w:szCs w:val="19"/>
        </w:rPr>
      </w:pPr>
      <w:r>
        <w:rPr>
          <w:rFonts w:ascii="Poppins" w:eastAsia="Poppins" w:hAnsi="Poppins" w:cs="Poppins"/>
          <w:sz w:val="19"/>
          <w:szCs w:val="19"/>
        </w:rPr>
        <w:t xml:space="preserve">In the payments market, SMBs generally incur higher costs than enterprise-level businesses. Similarly, smaller payment facilitators like </w:t>
      </w:r>
      <w:proofErr w:type="spellStart"/>
      <w:r>
        <w:rPr>
          <w:rFonts w:ascii="Poppins" w:eastAsia="Poppins" w:hAnsi="Poppins" w:cs="Poppins"/>
          <w:sz w:val="19"/>
          <w:szCs w:val="19"/>
        </w:rPr>
        <w:t>Smartpay</w:t>
      </w:r>
      <w:proofErr w:type="spellEnd"/>
      <w:r>
        <w:rPr>
          <w:rFonts w:ascii="Poppins" w:eastAsia="Poppins" w:hAnsi="Poppins" w:cs="Poppins"/>
          <w:sz w:val="19"/>
          <w:szCs w:val="19"/>
        </w:rPr>
        <w:t xml:space="preserve"> incur higher costs than large acquirers like central banks. </w:t>
      </w:r>
    </w:p>
    <w:p w14:paraId="17D09EC0" w14:textId="77777777" w:rsidR="008705CA" w:rsidRDefault="00132795">
      <w:pPr>
        <w:rPr>
          <w:rFonts w:ascii="Poppins" w:eastAsia="Poppins" w:hAnsi="Poppins" w:cs="Poppins"/>
          <w:sz w:val="19"/>
          <w:szCs w:val="19"/>
        </w:rPr>
      </w:pPr>
      <w:r>
        <w:rPr>
          <w:rFonts w:ascii="Poppins" w:eastAsia="Poppins" w:hAnsi="Poppins" w:cs="Poppins"/>
          <w:sz w:val="19"/>
          <w:szCs w:val="19"/>
        </w:rPr>
        <w:t xml:space="preserve">Not all merchants are surcharging, but those tend to be in service-based industries (hospitality, hair and beauty, auto, food services), with higher employee costs and lower margins.  </w:t>
      </w:r>
    </w:p>
    <w:p w14:paraId="3966EE5D" w14:textId="77777777" w:rsidR="008705CA" w:rsidRDefault="00132795">
      <w:pPr>
        <w:rPr>
          <w:rFonts w:ascii="Poppins" w:eastAsia="Poppins" w:hAnsi="Poppins" w:cs="Poppins"/>
          <w:sz w:val="19"/>
          <w:szCs w:val="19"/>
        </w:rPr>
      </w:pPr>
      <w:r>
        <w:rPr>
          <w:rFonts w:ascii="Poppins" w:eastAsia="Poppins" w:hAnsi="Poppins" w:cs="Poppins"/>
          <w:sz w:val="19"/>
          <w:szCs w:val="19"/>
        </w:rPr>
        <w:t xml:space="preserve">Driving more costs into these already struggling businesses would significantly impact the Australian economy and potentially lead to greater business closures. Our analysis shows that merchants will have to absorb up to $4,500 in additional annual costs with a surcharge ban. </w:t>
      </w:r>
    </w:p>
    <w:p w14:paraId="3CD32B9E" w14:textId="77777777" w:rsidR="008705CA" w:rsidRDefault="00132795">
      <w:pPr>
        <w:rPr>
          <w:rFonts w:ascii="Poppins" w:eastAsia="Poppins" w:hAnsi="Poppins" w:cs="Poppins"/>
          <w:sz w:val="19"/>
          <w:szCs w:val="19"/>
        </w:rPr>
      </w:pPr>
      <w:r>
        <w:rPr>
          <w:rFonts w:ascii="Poppins" w:eastAsia="Poppins" w:hAnsi="Poppins" w:cs="Poppins"/>
          <w:sz w:val="19"/>
          <w:szCs w:val="19"/>
        </w:rPr>
        <w:t xml:space="preserve">Allowing merchants to manage their customer experience by adding a surcharge for their acceptance costs, to their costs of goods or services sold, where they see fit, makes sense.  Small business owners are best placed to manage the feedback about surcharging, or any other cost or service from their business, from their customers.  This is no different to small business owners recovering the extra costs associated with weekend and public holiday operating costs. </w:t>
      </w:r>
    </w:p>
    <w:p w14:paraId="0C3D3155" w14:textId="77777777" w:rsidR="008705CA" w:rsidRDefault="00132795">
      <w:pPr>
        <w:rPr>
          <w:rFonts w:ascii="Poppins" w:eastAsia="Poppins" w:hAnsi="Poppins" w:cs="Poppins"/>
          <w:sz w:val="19"/>
          <w:szCs w:val="19"/>
        </w:rPr>
      </w:pPr>
      <w:r>
        <w:rPr>
          <w:rFonts w:ascii="Poppins" w:eastAsia="Poppins" w:hAnsi="Poppins" w:cs="Poppins"/>
          <w:sz w:val="19"/>
          <w:szCs w:val="19"/>
        </w:rPr>
        <w:t xml:space="preserve">Merchants face the same cost pressures as consumers, including higher supply costs, electricity, insurance, and rental costs. </w:t>
      </w:r>
    </w:p>
    <w:p w14:paraId="229A30B2" w14:textId="77777777" w:rsidR="008705CA" w:rsidRDefault="00132795">
      <w:pPr>
        <w:rPr>
          <w:rFonts w:ascii="Poppins" w:eastAsia="Poppins" w:hAnsi="Poppins" w:cs="Poppins"/>
          <w:sz w:val="19"/>
          <w:szCs w:val="19"/>
        </w:rPr>
      </w:pPr>
      <w:r>
        <w:rPr>
          <w:rFonts w:ascii="Poppins" w:eastAsia="Poppins" w:hAnsi="Poppins" w:cs="Poppins"/>
          <w:sz w:val="19"/>
          <w:szCs w:val="19"/>
        </w:rPr>
        <w:lastRenderedPageBreak/>
        <w:t xml:space="preserve">Figures to be released by credit data monitoring company </w:t>
      </w:r>
      <w:proofErr w:type="spellStart"/>
      <w:r>
        <w:rPr>
          <w:rFonts w:ascii="Poppins" w:eastAsia="Poppins" w:hAnsi="Poppins" w:cs="Poppins"/>
          <w:sz w:val="19"/>
          <w:szCs w:val="19"/>
        </w:rPr>
        <w:t>CreditorWatch</w:t>
      </w:r>
      <w:proofErr w:type="spellEnd"/>
      <w:r>
        <w:rPr>
          <w:rFonts w:ascii="Poppins" w:eastAsia="Poppins" w:hAnsi="Poppins" w:cs="Poppins"/>
          <w:sz w:val="19"/>
          <w:szCs w:val="19"/>
        </w:rPr>
        <w:t xml:space="preserve"> show that more than one in 20 businesses across the country is failing as consumer spending decreases and higher costs affect their profitability and viability.</w:t>
      </w:r>
    </w:p>
    <w:p w14:paraId="104AD397" w14:textId="77777777" w:rsidR="008705CA" w:rsidRDefault="00132795">
      <w:pPr>
        <w:rPr>
          <w:rFonts w:ascii="Poppins" w:eastAsia="Poppins" w:hAnsi="Poppins" w:cs="Poppins"/>
          <w:sz w:val="22"/>
          <w:szCs w:val="22"/>
        </w:rPr>
      </w:pPr>
      <w:r>
        <w:rPr>
          <w:rFonts w:ascii="Poppins" w:eastAsia="Poppins" w:hAnsi="Poppins" w:cs="Poppins"/>
          <w:sz w:val="19"/>
          <w:szCs w:val="19"/>
        </w:rPr>
        <w:t xml:space="preserve">The food and beverage sector's failure rate, which covers insolvency and deregistration, climbed to 8.5 per cent in October 2024 from 8.3 per cent the month before. </w:t>
      </w:r>
      <w:proofErr w:type="spellStart"/>
      <w:r>
        <w:rPr>
          <w:rFonts w:ascii="Poppins" w:eastAsia="Poppins" w:hAnsi="Poppins" w:cs="Poppins"/>
          <w:sz w:val="19"/>
          <w:szCs w:val="19"/>
        </w:rPr>
        <w:t>CreditorWatch</w:t>
      </w:r>
      <w:proofErr w:type="spellEnd"/>
      <w:r>
        <w:rPr>
          <w:rFonts w:ascii="Poppins" w:eastAsia="Poppins" w:hAnsi="Poppins" w:cs="Poppins"/>
          <w:sz w:val="19"/>
          <w:szCs w:val="19"/>
        </w:rPr>
        <w:t xml:space="preserve"> expects that figure to reach 9.1 per cent by June 2025. Across the Australian economy, business failure rates have reached 5.04 per cent, up from 3.97 per cent in October 2023.</w:t>
      </w:r>
    </w:p>
    <w:sectPr w:rsidR="008705CA">
      <w:headerReference w:type="default" r:id="rId10"/>
      <w:footerReference w:type="default" r:id="rId11"/>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002BC" w14:textId="77777777" w:rsidR="00132795" w:rsidRDefault="00132795">
      <w:pPr>
        <w:spacing w:after="0" w:line="240" w:lineRule="auto"/>
      </w:pPr>
      <w:r>
        <w:separator/>
      </w:r>
    </w:p>
  </w:endnote>
  <w:endnote w:type="continuationSeparator" w:id="0">
    <w:p w14:paraId="6937BCF8" w14:textId="77777777" w:rsidR="00132795" w:rsidRDefault="00132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4F5D22D6-EC85-497F-96C9-145CFA6AB272}"/>
    <w:embedItalic r:id="rId2" w:fontKey="{D54C9E5C-D992-44B6-BA2C-1E92C003F8A9}"/>
  </w:font>
  <w:font w:name="Play">
    <w:charset w:val="00"/>
    <w:family w:val="auto"/>
    <w:pitch w:val="default"/>
    <w:embedRegular r:id="rId3" w:fontKey="{90C42D17-1D03-435C-94AE-7E29EB7AED9F}"/>
  </w:font>
  <w:font w:name="Poppins">
    <w:charset w:val="00"/>
    <w:family w:val="auto"/>
    <w:pitch w:val="variable"/>
    <w:sig w:usb0="00008007" w:usb1="00000000" w:usb2="00000000" w:usb3="00000000" w:csb0="00000093" w:csb1="00000000"/>
    <w:embedRegular r:id="rId4" w:fontKey="{10930469-D7CD-4EF0-888B-C3F35C28B3D2}"/>
    <w:embedBold r:id="rId5" w:fontKey="{9080001E-DC52-419A-A27F-B28F37CE485E}"/>
    <w:embedItalic r:id="rId6" w:fontKey="{82D1967D-1105-4EFC-9230-032A81337AD5}"/>
    <w:embedBoldItalic r:id="rId7" w:fontKey="{B795AA77-16AA-470E-B958-ABF95082CBA5}"/>
  </w:font>
  <w:font w:name="Calibri">
    <w:panose1 w:val="020F0502020204030204"/>
    <w:charset w:val="00"/>
    <w:family w:val="swiss"/>
    <w:pitch w:val="variable"/>
    <w:sig w:usb0="E4002EFF" w:usb1="C000247B" w:usb2="00000009" w:usb3="00000000" w:csb0="000001FF" w:csb1="00000000"/>
    <w:embedRegular r:id="rId8" w:fontKey="{DD0E4735-87F2-4365-8A5A-7BADAA70B1DE}"/>
  </w:font>
  <w:font w:name="Cambria">
    <w:panose1 w:val="02040503050406030204"/>
    <w:charset w:val="00"/>
    <w:family w:val="roman"/>
    <w:pitch w:val="variable"/>
    <w:sig w:usb0="E00006FF" w:usb1="420024FF" w:usb2="02000000" w:usb3="00000000" w:csb0="0000019F" w:csb1="00000000"/>
    <w:embedRegular r:id="rId9" w:fontKey="{AA1158BE-F553-4B72-AC4A-E81C9F0C68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A8927" w14:textId="77777777" w:rsidR="008705CA" w:rsidRDefault="00132795">
    <w:pPr>
      <w:pBdr>
        <w:top w:val="nil"/>
        <w:left w:val="nil"/>
        <w:bottom w:val="nil"/>
        <w:right w:val="nil"/>
        <w:between w:val="nil"/>
      </w:pBdr>
      <w:tabs>
        <w:tab w:val="center" w:pos="4513"/>
        <w:tab w:val="right" w:pos="9026"/>
      </w:tabs>
      <w:spacing w:after="0" w:line="240" w:lineRule="auto"/>
      <w:rPr>
        <w:rFonts w:ascii="Poppins" w:eastAsia="Poppins" w:hAnsi="Poppins" w:cs="Poppins"/>
        <w:color w:val="000000"/>
        <w:sz w:val="16"/>
        <w:szCs w:val="16"/>
      </w:rPr>
    </w:pPr>
    <w:r>
      <w:rPr>
        <w:rFonts w:ascii="Poppins" w:eastAsia="Poppins" w:hAnsi="Poppins" w:cs="Poppins"/>
        <w:sz w:val="16"/>
        <w:szCs w:val="16"/>
      </w:rPr>
      <w:fldChar w:fldCharType="begin"/>
    </w:r>
    <w:r>
      <w:rPr>
        <w:rFonts w:ascii="Poppins" w:eastAsia="Poppins" w:hAnsi="Poppins" w:cs="Poppins"/>
        <w:sz w:val="16"/>
        <w:szCs w:val="16"/>
      </w:rPr>
      <w:instrText>PAGE</w:instrText>
    </w:r>
    <w:r>
      <w:rPr>
        <w:rFonts w:ascii="Poppins" w:eastAsia="Poppins" w:hAnsi="Poppins" w:cs="Poppins"/>
        <w:sz w:val="16"/>
        <w:szCs w:val="16"/>
      </w:rPr>
      <w:fldChar w:fldCharType="separate"/>
    </w:r>
    <w:r>
      <w:rPr>
        <w:rFonts w:ascii="Poppins" w:eastAsia="Poppins" w:hAnsi="Poppins" w:cs="Poppins"/>
        <w:noProof/>
        <w:sz w:val="16"/>
        <w:szCs w:val="16"/>
      </w:rPr>
      <w:t>1</w:t>
    </w:r>
    <w:r>
      <w:rPr>
        <w:rFonts w:ascii="Poppins" w:eastAsia="Poppins" w:hAnsi="Poppins" w:cs="Poppins"/>
        <w:sz w:val="16"/>
        <w:szCs w:val="16"/>
      </w:rPr>
      <w:fldChar w:fldCharType="end"/>
    </w:r>
    <w:r>
      <w:rPr>
        <w:rFonts w:ascii="Poppins" w:eastAsia="Poppins" w:hAnsi="Poppins" w:cs="Poppins"/>
        <w:sz w:val="16"/>
        <w:szCs w:val="16"/>
      </w:rPr>
      <w:tab/>
    </w:r>
    <w:r>
      <w:rPr>
        <w:rFonts w:ascii="Poppins" w:eastAsia="Poppins" w:hAnsi="Poppins" w:cs="Poppins"/>
        <w:sz w:val="16"/>
        <w:szCs w:val="16"/>
      </w:rPr>
      <w:tab/>
      <w:t>Public</w:t>
    </w:r>
    <w:r>
      <w:rPr>
        <w:rFonts w:ascii="Poppins" w:eastAsia="Poppins" w:hAnsi="Poppins" w:cs="Poppins"/>
        <w:color w:val="000000"/>
        <w:sz w:val="16"/>
        <w:szCs w:val="16"/>
      </w:rPr>
      <w:t xml:space="preserve"> Submission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F941D" w14:textId="77777777" w:rsidR="00132795" w:rsidRDefault="00132795">
      <w:pPr>
        <w:spacing w:after="0" w:line="240" w:lineRule="auto"/>
      </w:pPr>
      <w:r>
        <w:separator/>
      </w:r>
    </w:p>
  </w:footnote>
  <w:footnote w:type="continuationSeparator" w:id="0">
    <w:p w14:paraId="2E8D6B10" w14:textId="77777777" w:rsidR="00132795" w:rsidRDefault="00132795">
      <w:pPr>
        <w:spacing w:after="0" w:line="240" w:lineRule="auto"/>
      </w:pPr>
      <w:r>
        <w:continuationSeparator/>
      </w:r>
    </w:p>
  </w:footnote>
  <w:footnote w:id="1">
    <w:p w14:paraId="6655EF56" w14:textId="77777777" w:rsidR="008705CA" w:rsidRDefault="00132795">
      <w:pPr>
        <w:spacing w:after="0" w:line="240" w:lineRule="auto"/>
        <w:rPr>
          <w:rFonts w:ascii="Poppins" w:eastAsia="Poppins" w:hAnsi="Poppins" w:cs="Poppins"/>
          <w:sz w:val="16"/>
          <w:szCs w:val="16"/>
        </w:rPr>
      </w:pPr>
      <w:r>
        <w:rPr>
          <w:vertAlign w:val="superscript"/>
        </w:rPr>
        <w:footnoteRef/>
      </w:r>
      <w:r>
        <w:rPr>
          <w:rFonts w:ascii="Poppins" w:eastAsia="Poppins" w:hAnsi="Poppins" w:cs="Poppins"/>
          <w:sz w:val="16"/>
          <w:szCs w:val="16"/>
        </w:rPr>
        <w:t xml:space="preserve"> Commissioned by FinTech Australia 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61339" w14:textId="77777777" w:rsidR="008705CA" w:rsidRDefault="00132795">
    <w:pPr>
      <w:pBdr>
        <w:top w:val="nil"/>
        <w:left w:val="nil"/>
        <w:bottom w:val="nil"/>
        <w:right w:val="nil"/>
        <w:between w:val="nil"/>
      </w:pBdr>
      <w:tabs>
        <w:tab w:val="center" w:pos="4513"/>
        <w:tab w:val="right" w:pos="9026"/>
      </w:tabs>
      <w:spacing w:after="0" w:line="240" w:lineRule="auto"/>
      <w:jc w:val="right"/>
      <w:rPr>
        <w:color w:val="000000"/>
      </w:rPr>
    </w:pPr>
    <w:r>
      <w:rPr>
        <w:noProof/>
        <w:color w:val="000000"/>
      </w:rPr>
      <w:drawing>
        <wp:inline distT="0" distB="0" distL="0" distR="0" wp14:anchorId="2802F9D1" wp14:editId="15367C94">
          <wp:extent cx="1837438" cy="681761"/>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837438" cy="681761"/>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CE54DD"/>
    <w:multiLevelType w:val="multilevel"/>
    <w:tmpl w:val="BE845D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B2E400C"/>
    <w:multiLevelType w:val="multilevel"/>
    <w:tmpl w:val="B1885C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DC45071"/>
    <w:multiLevelType w:val="multilevel"/>
    <w:tmpl w:val="7E70F1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27412E6"/>
    <w:multiLevelType w:val="multilevel"/>
    <w:tmpl w:val="67E670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5E065DF"/>
    <w:multiLevelType w:val="multilevel"/>
    <w:tmpl w:val="D2A6B4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66973927">
    <w:abstractNumId w:val="1"/>
  </w:num>
  <w:num w:numId="2" w16cid:durableId="68890372">
    <w:abstractNumId w:val="0"/>
  </w:num>
  <w:num w:numId="3" w16cid:durableId="1938362215">
    <w:abstractNumId w:val="3"/>
  </w:num>
  <w:num w:numId="4" w16cid:durableId="1883711446">
    <w:abstractNumId w:val="4"/>
  </w:num>
  <w:num w:numId="5" w16cid:durableId="14105395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05CA"/>
    <w:rsid w:val="00132795"/>
    <w:rsid w:val="008705CA"/>
    <w:rsid w:val="00C241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6137D"/>
  <w15:docId w15:val="{FAF35536-4BC9-4FA6-A4BE-3837D2355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AU" w:eastAsia="en-AU"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i/>
      <w:color w:val="0F4761"/>
    </w:rPr>
  </w:style>
  <w:style w:type="paragraph" w:styleId="Heading5">
    <w:name w:val="heading 5"/>
    <w:basedOn w:val="Normal"/>
    <w:next w:val="Normal"/>
    <w:uiPriority w:val="9"/>
    <w:semiHidden/>
    <w:unhideWhenUsed/>
    <w:qFormat/>
    <w:pPr>
      <w:keepNext/>
      <w:keepLines/>
      <w:spacing w:before="80" w:after="40"/>
      <w:outlineLvl w:val="4"/>
    </w:pPr>
    <w:rPr>
      <w:color w:val="0F4761"/>
    </w:rPr>
  </w:style>
  <w:style w:type="paragraph" w:styleId="Heading6">
    <w:name w:val="heading 6"/>
    <w:basedOn w:val="Normal"/>
    <w:next w:val="Normal"/>
    <w:uiPriority w:val="9"/>
    <w:semiHidden/>
    <w:unhideWhenUsed/>
    <w:qFormat/>
    <w:pPr>
      <w:keepNext/>
      <w:keepLines/>
      <w:spacing w:before="40" w:after="0"/>
      <w:outlineLvl w:val="5"/>
    </w:pPr>
    <w:rPr>
      <w:i/>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spacing w:after="80" w:line="240" w:lineRule="auto"/>
    </w:pPr>
    <w:rPr>
      <w:rFonts w:ascii="Play" w:eastAsia="Play" w:hAnsi="Play" w:cs="Play"/>
      <w:sz w:val="56"/>
      <w:szCs w:val="56"/>
    </w:rPr>
  </w:style>
  <w:style w:type="paragraph" w:styleId="Subtitle">
    <w:name w:val="Subtitle"/>
    <w:basedOn w:val="Normal"/>
    <w:next w:val="Normal"/>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martpay.com.au/eftpos-solutions/simple-flat-rat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ysubmissions@rba.gov.a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martpay.com.au/eftpos-solutions/zero-cost-eftpos/"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23</Pages>
  <Words>4628</Words>
  <Characters>26386</Characters>
  <Application>Microsoft Office Word</Application>
  <DocSecurity>4</DocSecurity>
  <Lines>219</Lines>
  <Paragraphs>61</Paragraphs>
  <ScaleCrop>false</ScaleCrop>
  <Company/>
  <LinksUpToDate>false</LinksUpToDate>
  <CharactersWithSpaces>30953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WONG, Sally</cp:lastModifiedBy>
  <cp:revision>2</cp:revision>
  <dcterms:created xsi:type="dcterms:W3CDTF">2025-08-26T23:48:00Z</dcterms:created>
  <dcterms:modified xsi:type="dcterms:W3CDTF">2025-08-26T23:48:00Z</dcterms:modified>
</cp:coreProperties>
</file>