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4ED5C" w14:textId="378C4136" w:rsidR="00122943" w:rsidRDefault="00000000" w:rsidP="00D07AB5">
      <w:pPr>
        <w:pStyle w:val="Title"/>
        <w:rPr>
          <w:rStyle w:val="TitleChar"/>
          <w:b/>
        </w:rPr>
      </w:pPr>
      <w:sdt>
        <w:sdtPr>
          <w:rPr>
            <w:rStyle w:val="TitleChar"/>
            <w:b/>
          </w:rPr>
          <w:alias w:val="Title"/>
          <w:tag w:val=""/>
          <w:id w:val="-749429962"/>
          <w:placeholder>
            <w:docPart w:val="001249F6DFEB40678334D401B951F08E"/>
          </w:placeholder>
          <w:dataBinding w:prefixMappings="xmlns:ns0='http://purl.org/dc/elements/1.1/' xmlns:ns1='http://schemas.openxmlformats.org/package/2006/metadata/core-properties' " w:xpath="/ns1:coreProperties[1]/ns0:title[1]" w:storeItemID="{6C3C8BC8-F283-45AE-878A-BAB7291924A1}"/>
          <w:text/>
        </w:sdtPr>
        <w:sdtContent>
          <w:r w:rsidR="00417C7E" w:rsidRPr="00DE6AC1">
            <w:rPr>
              <w:rStyle w:val="TitleChar"/>
              <w:b/>
            </w:rPr>
            <w:t>Review of Merchant Card Payment Costs and Surcharging Consultation Paper</w:t>
          </w:r>
        </w:sdtContent>
      </w:sdt>
    </w:p>
    <w:p w14:paraId="5FB2D416" w14:textId="360E53D3" w:rsidR="00122943" w:rsidRPr="00D03C5E" w:rsidRDefault="0077441D" w:rsidP="00D03C5E">
      <w:pPr>
        <w:pStyle w:val="Subtitle"/>
      </w:pPr>
      <w:r>
        <w:t>RBA</w:t>
      </w:r>
      <w:r w:rsidR="00DE6AC1" w:rsidRPr="00DE6AC1">
        <w:t xml:space="preserve"> Banking Department </w:t>
      </w:r>
      <w:r w:rsidR="00417C7E">
        <w:t xml:space="preserve">Submission to the </w:t>
      </w:r>
      <w:r w:rsidR="00CA691C">
        <w:t>C</w:t>
      </w:r>
      <w:r w:rsidR="00417C7E">
        <w:t xml:space="preserve">onsultation </w:t>
      </w:r>
      <w:r w:rsidR="00CA691C">
        <w:t>P</w:t>
      </w:r>
      <w:r w:rsidR="00417C7E">
        <w:t xml:space="preserve">aper   </w:t>
      </w:r>
    </w:p>
    <w:p w14:paraId="6A7F3EF5" w14:textId="78D9EF18" w:rsidR="00122943" w:rsidRDefault="00000000" w:rsidP="00942586">
      <w:pPr>
        <w:pStyle w:val="Subtitle"/>
        <w:tabs>
          <w:tab w:val="right" w:pos="8720"/>
        </w:tabs>
        <w:jc w:val="left"/>
      </w:pPr>
      <w:sdt>
        <w:sdtPr>
          <w:alias w:val="RBA_Draft"/>
          <w:tag w:val="RBA_Draft"/>
          <w:id w:val="-185518148"/>
          <w:placeholder>
            <w:docPart w:val="5E811F89BDB74C84BFCC0FA4CD964BD7"/>
          </w:placeholder>
          <w:text/>
        </w:sdtPr>
        <w:sdtContent>
          <w:r w:rsidR="00122943">
            <w:t xml:space="preserve"> </w:t>
          </w:r>
        </w:sdtContent>
      </w:sdt>
      <w:r w:rsidR="00122943">
        <w:tab/>
      </w:r>
      <w:sdt>
        <w:sdtPr>
          <w:alias w:val="RBA_Date"/>
          <w:tag w:val="RBA_Date"/>
          <w:id w:val="-1113744285"/>
          <w:placeholder>
            <w:docPart w:val="20524484FAAA432EB117D313DF6B6544"/>
          </w:placeholder>
          <w:date w:fullDate="2025-08-01T00:00:00Z">
            <w:dateFormat w:val="MMMM yyyy"/>
            <w:lid w:val="en-AU"/>
            <w:storeMappedDataAs w:val="dateTime"/>
            <w:calendar w:val="gregorian"/>
          </w:date>
        </w:sdtPr>
        <w:sdtContent>
          <w:r w:rsidR="00DE6AC1">
            <w:t>August 2025</w:t>
          </w:r>
        </w:sdtContent>
      </w:sdt>
    </w:p>
    <w:p w14:paraId="2E9F3D95" w14:textId="25D4D684" w:rsidR="00122943" w:rsidRDefault="00413D9A" w:rsidP="00942586">
      <w:pPr>
        <w:pStyle w:val="Heading1"/>
      </w:pPr>
      <w:r>
        <w:t>Feedback</w:t>
      </w:r>
    </w:p>
    <w:p w14:paraId="6FAD5762" w14:textId="32D153D3" w:rsidR="00413D9A" w:rsidRDefault="00413D9A" w:rsidP="00413D9A">
      <w:pPr>
        <w:pStyle w:val="BodyText"/>
        <w:rPr>
          <w:b/>
          <w:bCs/>
          <w:color w:val="326599"/>
          <w:sz w:val="28"/>
          <w:szCs w:val="28"/>
        </w:rPr>
      </w:pPr>
      <w:r>
        <w:rPr>
          <w:b/>
          <w:bCs/>
          <w:color w:val="326599"/>
          <w:sz w:val="28"/>
          <w:szCs w:val="28"/>
        </w:rPr>
        <w:t>1. Introduction</w:t>
      </w:r>
    </w:p>
    <w:p w14:paraId="253ED5FA" w14:textId="38163AEB" w:rsidR="00DE6AC1" w:rsidRDefault="00417C7E" w:rsidP="00417C7E">
      <w:pPr>
        <w:pStyle w:val="BodyText"/>
        <w:rPr>
          <w:sz w:val="22"/>
          <w:szCs w:val="22"/>
        </w:rPr>
      </w:pPr>
      <w:r w:rsidRPr="00417C7E">
        <w:rPr>
          <w:rFonts w:ascii="Calibri" w:hAnsi="Calibri" w:cs="Calibri"/>
          <w:color w:val="000000"/>
          <w:sz w:val="22"/>
          <w:szCs w:val="22"/>
        </w:rPr>
        <w:t>The Reserve Bank of Australia’s (RBA) banking department (RBA</w:t>
      </w:r>
      <w:r>
        <w:rPr>
          <w:rFonts w:ascii="Calibri" w:hAnsi="Calibri" w:cs="Calibri"/>
          <w:color w:val="000000"/>
          <w:sz w:val="22"/>
          <w:szCs w:val="22"/>
        </w:rPr>
        <w:t xml:space="preserve"> </w:t>
      </w:r>
      <w:r w:rsidRPr="00417C7E">
        <w:rPr>
          <w:rFonts w:ascii="Calibri" w:hAnsi="Calibri" w:cs="Calibri"/>
          <w:color w:val="000000"/>
          <w:sz w:val="22"/>
          <w:szCs w:val="22"/>
        </w:rPr>
        <w:t xml:space="preserve">BK) welcomes the consultation </w:t>
      </w:r>
      <w:r>
        <w:rPr>
          <w:rFonts w:ascii="Calibri" w:hAnsi="Calibri" w:cs="Calibri"/>
          <w:color w:val="000000"/>
          <w:sz w:val="22"/>
          <w:szCs w:val="22"/>
        </w:rPr>
        <w:t xml:space="preserve">on the Review of Merchant Card Payment Costs and Surcharging. </w:t>
      </w:r>
      <w:r w:rsidR="00F37C56">
        <w:rPr>
          <w:rFonts w:ascii="Calibri" w:hAnsi="Calibri" w:cs="Calibri"/>
          <w:color w:val="000000"/>
          <w:sz w:val="22"/>
          <w:szCs w:val="22"/>
        </w:rPr>
        <w:t xml:space="preserve">Seamless </w:t>
      </w:r>
      <w:r w:rsidR="00261021">
        <w:rPr>
          <w:rFonts w:ascii="Calibri" w:hAnsi="Calibri" w:cs="Calibri"/>
          <w:color w:val="000000"/>
          <w:sz w:val="22"/>
          <w:szCs w:val="22"/>
        </w:rPr>
        <w:t xml:space="preserve">online payment methods </w:t>
      </w:r>
      <w:r w:rsidR="00373ED3">
        <w:rPr>
          <w:rFonts w:ascii="Calibri" w:hAnsi="Calibri" w:cs="Calibri"/>
          <w:color w:val="000000"/>
          <w:sz w:val="22"/>
          <w:szCs w:val="22"/>
        </w:rPr>
        <w:t>that support</w:t>
      </w:r>
      <w:r w:rsidR="00F37C56">
        <w:rPr>
          <w:rFonts w:ascii="Calibri" w:hAnsi="Calibri" w:cs="Calibri"/>
          <w:color w:val="000000"/>
          <w:sz w:val="22"/>
          <w:szCs w:val="22"/>
        </w:rPr>
        <w:t xml:space="preserve"> a digital economy</w:t>
      </w:r>
      <w:r w:rsidR="007830ED">
        <w:rPr>
          <w:rFonts w:ascii="Calibri" w:hAnsi="Calibri" w:cs="Calibri"/>
          <w:color w:val="000000"/>
          <w:sz w:val="22"/>
          <w:szCs w:val="22"/>
        </w:rPr>
        <w:t xml:space="preserve"> are</w:t>
      </w:r>
      <w:r w:rsidR="00261021">
        <w:rPr>
          <w:rFonts w:ascii="Calibri" w:hAnsi="Calibri" w:cs="Calibri"/>
          <w:color w:val="000000"/>
          <w:sz w:val="22"/>
          <w:szCs w:val="22"/>
        </w:rPr>
        <w:t xml:space="preserve"> </w:t>
      </w:r>
      <w:r w:rsidR="00F37C56">
        <w:rPr>
          <w:rFonts w:ascii="Calibri" w:hAnsi="Calibri" w:cs="Calibri"/>
          <w:color w:val="000000"/>
          <w:sz w:val="22"/>
          <w:szCs w:val="22"/>
        </w:rPr>
        <w:t xml:space="preserve">key to </w:t>
      </w:r>
      <w:r w:rsidR="007830ED">
        <w:rPr>
          <w:rFonts w:ascii="Calibri" w:hAnsi="Calibri" w:cs="Calibri"/>
          <w:color w:val="000000"/>
          <w:sz w:val="22"/>
          <w:szCs w:val="22"/>
        </w:rPr>
        <w:t xml:space="preserve">efficient </w:t>
      </w:r>
      <w:r w:rsidR="00F37C56">
        <w:rPr>
          <w:rFonts w:ascii="Calibri" w:hAnsi="Calibri" w:cs="Calibri"/>
          <w:color w:val="000000"/>
          <w:sz w:val="22"/>
          <w:szCs w:val="22"/>
        </w:rPr>
        <w:t>processing of payments</w:t>
      </w:r>
      <w:r w:rsidR="00373ED3">
        <w:rPr>
          <w:rFonts w:ascii="Calibri" w:hAnsi="Calibri" w:cs="Calibri"/>
          <w:color w:val="000000"/>
          <w:sz w:val="22"/>
          <w:szCs w:val="22"/>
        </w:rPr>
        <w:t>.</w:t>
      </w:r>
      <w:r w:rsidR="00261021">
        <w:rPr>
          <w:sz w:val="22"/>
          <w:szCs w:val="22"/>
        </w:rPr>
        <w:t xml:space="preserve"> </w:t>
      </w:r>
      <w:r w:rsidR="008A57B0">
        <w:rPr>
          <w:sz w:val="22"/>
          <w:szCs w:val="22"/>
        </w:rPr>
        <w:t>RBA Banking (</w:t>
      </w:r>
      <w:r w:rsidR="00BE573D">
        <w:rPr>
          <w:sz w:val="22"/>
          <w:szCs w:val="22"/>
        </w:rPr>
        <w:t xml:space="preserve">RBA </w:t>
      </w:r>
      <w:r w:rsidR="008A57B0">
        <w:rPr>
          <w:sz w:val="22"/>
          <w:szCs w:val="22"/>
        </w:rPr>
        <w:t xml:space="preserve">BK) </w:t>
      </w:r>
      <w:r w:rsidR="00261021">
        <w:rPr>
          <w:sz w:val="22"/>
          <w:szCs w:val="22"/>
        </w:rPr>
        <w:t xml:space="preserve">offers </w:t>
      </w:r>
      <w:r w:rsidR="00CF22AA">
        <w:rPr>
          <w:sz w:val="22"/>
          <w:szCs w:val="22"/>
        </w:rPr>
        <w:t>its</w:t>
      </w:r>
      <w:r w:rsidR="00261021">
        <w:rPr>
          <w:sz w:val="22"/>
          <w:szCs w:val="22"/>
        </w:rPr>
        <w:t xml:space="preserve"> </w:t>
      </w:r>
      <w:r w:rsidR="008A57B0">
        <w:rPr>
          <w:sz w:val="22"/>
          <w:szCs w:val="22"/>
        </w:rPr>
        <w:t xml:space="preserve">customers </w:t>
      </w:r>
      <w:r w:rsidR="00CF22AA">
        <w:rPr>
          <w:sz w:val="22"/>
          <w:szCs w:val="22"/>
        </w:rPr>
        <w:t xml:space="preserve">card acceptance services to facilitate </w:t>
      </w:r>
      <w:r w:rsidR="001C4D27">
        <w:rPr>
          <w:sz w:val="22"/>
          <w:szCs w:val="22"/>
        </w:rPr>
        <w:t xml:space="preserve">both </w:t>
      </w:r>
      <w:r w:rsidR="00373ED3">
        <w:rPr>
          <w:sz w:val="22"/>
          <w:szCs w:val="22"/>
        </w:rPr>
        <w:t xml:space="preserve">card not present and card present </w:t>
      </w:r>
      <w:r w:rsidR="001C4D27">
        <w:rPr>
          <w:sz w:val="22"/>
          <w:szCs w:val="22"/>
        </w:rPr>
        <w:t>transactions</w:t>
      </w:r>
      <w:r w:rsidR="00CF22AA">
        <w:rPr>
          <w:sz w:val="22"/>
          <w:szCs w:val="22"/>
        </w:rPr>
        <w:t xml:space="preserve">. </w:t>
      </w:r>
      <w:r w:rsidR="008A57B0">
        <w:rPr>
          <w:sz w:val="22"/>
          <w:szCs w:val="22"/>
        </w:rPr>
        <w:t xml:space="preserve">Payers use a mix of </w:t>
      </w:r>
      <w:r w:rsidR="007830ED">
        <w:rPr>
          <w:sz w:val="22"/>
          <w:szCs w:val="22"/>
        </w:rPr>
        <w:t xml:space="preserve">different scheme </w:t>
      </w:r>
      <w:r w:rsidR="008A57B0">
        <w:rPr>
          <w:sz w:val="22"/>
          <w:szCs w:val="22"/>
        </w:rPr>
        <w:t>credit and debit cards to make online</w:t>
      </w:r>
      <w:r w:rsidR="00CF2D6E">
        <w:rPr>
          <w:sz w:val="22"/>
          <w:szCs w:val="22"/>
        </w:rPr>
        <w:t xml:space="preserve"> and in-person</w:t>
      </w:r>
      <w:r w:rsidR="008A57B0">
        <w:rPr>
          <w:sz w:val="22"/>
          <w:szCs w:val="22"/>
        </w:rPr>
        <w:t xml:space="preserve"> payments to government agencies. </w:t>
      </w:r>
    </w:p>
    <w:p w14:paraId="710911F7" w14:textId="73F6C293" w:rsidR="00417C7E" w:rsidRDefault="008A57B0" w:rsidP="0036079C">
      <w:pPr>
        <w:pStyle w:val="BodyText"/>
        <w:rPr>
          <w:sz w:val="22"/>
          <w:szCs w:val="22"/>
        </w:rPr>
      </w:pPr>
      <w:r>
        <w:rPr>
          <w:sz w:val="22"/>
          <w:szCs w:val="22"/>
        </w:rPr>
        <w:t xml:space="preserve">This response </w:t>
      </w:r>
      <w:r w:rsidR="00417C7E">
        <w:rPr>
          <w:sz w:val="22"/>
          <w:szCs w:val="22"/>
        </w:rPr>
        <w:t xml:space="preserve">provides </w:t>
      </w:r>
      <w:r w:rsidR="00BE573D">
        <w:rPr>
          <w:sz w:val="22"/>
          <w:szCs w:val="22"/>
        </w:rPr>
        <w:t>RBA</w:t>
      </w:r>
      <w:r>
        <w:rPr>
          <w:sz w:val="22"/>
          <w:szCs w:val="22"/>
        </w:rPr>
        <w:t xml:space="preserve"> BK’s </w:t>
      </w:r>
      <w:r w:rsidR="00417C7E">
        <w:rPr>
          <w:sz w:val="22"/>
          <w:szCs w:val="22"/>
        </w:rPr>
        <w:t xml:space="preserve">perspective as provider of transactional banking services to Australian government agencies </w:t>
      </w:r>
      <w:r w:rsidR="00CF2D6E">
        <w:rPr>
          <w:sz w:val="22"/>
          <w:szCs w:val="22"/>
        </w:rPr>
        <w:t>and</w:t>
      </w:r>
      <w:r w:rsidR="00417C7E">
        <w:rPr>
          <w:sz w:val="22"/>
          <w:szCs w:val="22"/>
        </w:rPr>
        <w:t xml:space="preserve"> the impact on the proposed </w:t>
      </w:r>
      <w:r>
        <w:rPr>
          <w:sz w:val="22"/>
          <w:szCs w:val="22"/>
        </w:rPr>
        <w:t xml:space="preserve">removal of surcharging on eftpos, Mastercard and Visa </w:t>
      </w:r>
      <w:r w:rsidR="00CF2D6E">
        <w:rPr>
          <w:sz w:val="22"/>
          <w:szCs w:val="22"/>
        </w:rPr>
        <w:t>cards.</w:t>
      </w:r>
      <w:r w:rsidR="00CB2C1D">
        <w:rPr>
          <w:sz w:val="22"/>
          <w:szCs w:val="22"/>
        </w:rPr>
        <w:t xml:space="preserve"> </w:t>
      </w:r>
    </w:p>
    <w:p w14:paraId="28CFB69C" w14:textId="11BB9BF0" w:rsidR="008C57FF" w:rsidRDefault="008C57FF" w:rsidP="0036079C">
      <w:pPr>
        <w:pStyle w:val="BodyText"/>
        <w:rPr>
          <w:sz w:val="22"/>
          <w:szCs w:val="22"/>
        </w:rPr>
      </w:pPr>
      <w:r>
        <w:rPr>
          <w:sz w:val="22"/>
          <w:szCs w:val="22"/>
        </w:rPr>
        <w:t>In summary, RBA BK:</w:t>
      </w:r>
    </w:p>
    <w:p w14:paraId="035B57BE" w14:textId="01397D78" w:rsidR="008C57FF" w:rsidRDefault="008C57FF" w:rsidP="009239D0">
      <w:pPr>
        <w:pStyle w:val="BodyText"/>
        <w:numPr>
          <w:ilvl w:val="0"/>
          <w:numId w:val="20"/>
        </w:numPr>
        <w:rPr>
          <w:sz w:val="22"/>
          <w:szCs w:val="22"/>
        </w:rPr>
      </w:pPr>
      <w:r>
        <w:rPr>
          <w:sz w:val="22"/>
          <w:szCs w:val="22"/>
        </w:rPr>
        <w:t>Agrees with the removal of surcharging on debit cards.</w:t>
      </w:r>
    </w:p>
    <w:p w14:paraId="37B73A09" w14:textId="37FE2671" w:rsidR="008C57FF" w:rsidRDefault="008C57FF" w:rsidP="009239D0">
      <w:pPr>
        <w:pStyle w:val="BodyText"/>
        <w:numPr>
          <w:ilvl w:val="0"/>
          <w:numId w:val="20"/>
        </w:numPr>
        <w:rPr>
          <w:sz w:val="22"/>
          <w:szCs w:val="22"/>
        </w:rPr>
      </w:pPr>
      <w:r>
        <w:rPr>
          <w:sz w:val="22"/>
          <w:szCs w:val="22"/>
        </w:rPr>
        <w:t xml:space="preserve">Believes merchants should have the choice to surcharge </w:t>
      </w:r>
      <w:r w:rsidR="009239D0">
        <w:rPr>
          <w:sz w:val="22"/>
          <w:szCs w:val="22"/>
        </w:rPr>
        <w:t xml:space="preserve">for credit cards </w:t>
      </w:r>
      <w:r>
        <w:rPr>
          <w:sz w:val="22"/>
          <w:szCs w:val="22"/>
        </w:rPr>
        <w:t>in certain use cases such as online channels where surcharge free options are also provided.</w:t>
      </w:r>
    </w:p>
    <w:p w14:paraId="0B4193CA" w14:textId="4348F019" w:rsidR="008C57FF" w:rsidRDefault="008C57FF" w:rsidP="009239D0">
      <w:pPr>
        <w:pStyle w:val="BodyText"/>
        <w:numPr>
          <w:ilvl w:val="0"/>
          <w:numId w:val="20"/>
        </w:numPr>
        <w:rPr>
          <w:sz w:val="22"/>
          <w:szCs w:val="22"/>
        </w:rPr>
      </w:pPr>
      <w:r>
        <w:rPr>
          <w:sz w:val="22"/>
          <w:szCs w:val="22"/>
        </w:rPr>
        <w:t>Supports the proposed cap on interchange.</w:t>
      </w:r>
    </w:p>
    <w:p w14:paraId="2D93DABC" w14:textId="509B7968" w:rsidR="008C57FF" w:rsidRDefault="008C57FF" w:rsidP="009239D0">
      <w:pPr>
        <w:pStyle w:val="BodyText"/>
        <w:numPr>
          <w:ilvl w:val="0"/>
          <w:numId w:val="20"/>
        </w:numPr>
        <w:rPr>
          <w:sz w:val="22"/>
          <w:szCs w:val="22"/>
        </w:rPr>
      </w:pPr>
      <w:r>
        <w:rPr>
          <w:sz w:val="22"/>
          <w:szCs w:val="22"/>
        </w:rPr>
        <w:t xml:space="preserve">Supports transparency of </w:t>
      </w:r>
      <w:r w:rsidR="009239D0">
        <w:rPr>
          <w:sz w:val="22"/>
          <w:szCs w:val="22"/>
        </w:rPr>
        <w:t>w</w:t>
      </w:r>
      <w:r>
        <w:rPr>
          <w:sz w:val="22"/>
          <w:szCs w:val="22"/>
        </w:rPr>
        <w:t>holesale fees.</w:t>
      </w:r>
    </w:p>
    <w:p w14:paraId="76A6F801" w14:textId="413C17D9" w:rsidR="002F3324" w:rsidRDefault="00417C7E" w:rsidP="0036079C">
      <w:pPr>
        <w:pStyle w:val="BodyText"/>
        <w:rPr>
          <w:sz w:val="22"/>
          <w:szCs w:val="22"/>
        </w:rPr>
      </w:pPr>
      <w:r w:rsidRPr="00417C7E">
        <w:rPr>
          <w:sz w:val="22"/>
          <w:szCs w:val="22"/>
        </w:rPr>
        <w:t>This submission reflects the views of RBA</w:t>
      </w:r>
      <w:r>
        <w:rPr>
          <w:sz w:val="22"/>
          <w:szCs w:val="22"/>
        </w:rPr>
        <w:t xml:space="preserve"> </w:t>
      </w:r>
      <w:r w:rsidRPr="00417C7E">
        <w:rPr>
          <w:sz w:val="22"/>
          <w:szCs w:val="22"/>
        </w:rPr>
        <w:t>BK alone and does not represent the views of the RBA in its other distinct areas of responsibility in the Australian payments system.</w:t>
      </w:r>
    </w:p>
    <w:p w14:paraId="396BB494" w14:textId="77777777" w:rsidR="002F3324" w:rsidRDefault="002F3324">
      <w:r>
        <w:br w:type="page"/>
      </w:r>
    </w:p>
    <w:p w14:paraId="5BF6CDF0" w14:textId="7A852C27" w:rsidR="00122943" w:rsidRDefault="00B86E72" w:rsidP="000A67AF">
      <w:pPr>
        <w:rPr>
          <w:b/>
          <w:bCs/>
          <w:color w:val="326599"/>
          <w:sz w:val="28"/>
          <w:szCs w:val="28"/>
        </w:rPr>
      </w:pPr>
      <w:r>
        <w:rPr>
          <w:b/>
          <w:bCs/>
          <w:color w:val="326599"/>
          <w:sz w:val="28"/>
          <w:szCs w:val="28"/>
        </w:rPr>
        <w:lastRenderedPageBreak/>
        <w:t xml:space="preserve">2. </w:t>
      </w:r>
      <w:r w:rsidR="00F542A5">
        <w:rPr>
          <w:b/>
          <w:bCs/>
          <w:color w:val="326599"/>
          <w:sz w:val="28"/>
          <w:szCs w:val="28"/>
        </w:rPr>
        <w:t>Questions for Stakeholders – BK’s response</w:t>
      </w:r>
    </w:p>
    <w:tbl>
      <w:tblPr>
        <w:tblStyle w:val="TableGrid"/>
        <w:tblW w:w="0" w:type="auto"/>
        <w:tblLook w:val="04A0" w:firstRow="1" w:lastRow="0" w:firstColumn="1" w:lastColumn="0" w:noHBand="0" w:noVBand="1"/>
      </w:tblPr>
      <w:tblGrid>
        <w:gridCol w:w="8720"/>
      </w:tblGrid>
      <w:tr w:rsidR="006A7771" w14:paraId="75612A54" w14:textId="77777777" w:rsidTr="00480012">
        <w:tc>
          <w:tcPr>
            <w:tcW w:w="8720" w:type="dxa"/>
            <w:shd w:val="clear" w:color="auto" w:fill="EDF7F9"/>
          </w:tcPr>
          <w:p w14:paraId="499F0A76" w14:textId="185C5F5B" w:rsidR="006A7771" w:rsidRDefault="00480012" w:rsidP="00480012">
            <w:pPr>
              <w:pStyle w:val="BodyText"/>
              <w:rPr>
                <w:sz w:val="22"/>
                <w:szCs w:val="22"/>
              </w:rPr>
            </w:pPr>
            <w:r>
              <w:rPr>
                <w:rFonts w:asciiTheme="minorHAnsi" w:eastAsiaTheme="minorHAnsi" w:hAnsiTheme="minorHAnsi" w:cstheme="minorBidi"/>
                <w:sz w:val="22"/>
                <w:szCs w:val="22"/>
              </w:rPr>
              <w:t>Q</w:t>
            </w:r>
            <w:r w:rsidR="00EE0A03">
              <w:rPr>
                <w:rFonts w:asciiTheme="minorHAnsi" w:eastAsiaTheme="minorHAnsi" w:hAnsiTheme="minorHAnsi" w:cstheme="minorBidi"/>
                <w:sz w:val="22"/>
                <w:szCs w:val="22"/>
              </w:rPr>
              <w:t>1 (Surcharging)</w:t>
            </w:r>
            <w:r>
              <w:rPr>
                <w:rFonts w:asciiTheme="minorHAnsi" w:eastAsiaTheme="minorHAnsi" w:hAnsiTheme="minorHAnsi" w:cstheme="minorBidi"/>
                <w:sz w:val="22"/>
                <w:szCs w:val="22"/>
              </w:rPr>
              <w:t xml:space="preserve">: </w:t>
            </w:r>
            <w:r w:rsidR="00F542A5" w:rsidRPr="00F542A5">
              <w:rPr>
                <w:rFonts w:asciiTheme="minorHAnsi" w:eastAsiaTheme="minorHAnsi" w:hAnsiTheme="minorHAnsi" w:cstheme="minorBidi"/>
                <w:sz w:val="22"/>
                <w:szCs w:val="22"/>
              </w:rPr>
              <w:t>Would removing surcharging on designated card networks best support the RBA’s objectives to promote the public interest through improving competition, efficiency and safety in the payments system? In particular, the RBA welcomes feedback on whether there are additional public interest considerations that should be taken into account for each policy option.</w:t>
            </w:r>
          </w:p>
        </w:tc>
      </w:tr>
      <w:tr w:rsidR="006A7771" w14:paraId="7A51A49B" w14:textId="77777777" w:rsidTr="00480012">
        <w:tc>
          <w:tcPr>
            <w:tcW w:w="8720" w:type="dxa"/>
            <w:shd w:val="clear" w:color="auto" w:fill="92CDDC" w:themeFill="accent5" w:themeFillTint="99"/>
          </w:tcPr>
          <w:p w14:paraId="2BA1D413" w14:textId="5C38DAD7" w:rsidR="006A7771" w:rsidRDefault="006A7771" w:rsidP="006A7771">
            <w:pPr>
              <w:pStyle w:val="Default"/>
              <w:rPr>
                <w:sz w:val="22"/>
                <w:szCs w:val="22"/>
              </w:rPr>
            </w:pPr>
            <w:r w:rsidRPr="00AD2616">
              <w:rPr>
                <w:b/>
                <w:bCs/>
              </w:rPr>
              <w:t>Feedback</w:t>
            </w:r>
          </w:p>
        </w:tc>
      </w:tr>
      <w:tr w:rsidR="006A7771" w14:paraId="03193484" w14:textId="77777777" w:rsidTr="006A7771">
        <w:tc>
          <w:tcPr>
            <w:tcW w:w="8720" w:type="dxa"/>
          </w:tcPr>
          <w:p w14:paraId="27C90ACC" w14:textId="55C8DB19" w:rsidR="00F11997" w:rsidRPr="00590BF1" w:rsidRDefault="0038376A" w:rsidP="008B119A">
            <w:pPr>
              <w:pStyle w:val="BodyText"/>
              <w:numPr>
                <w:ilvl w:val="0"/>
                <w:numId w:val="8"/>
              </w:numPr>
              <w:rPr>
                <w:rFonts w:asciiTheme="minorHAnsi" w:hAnsiTheme="minorHAnsi" w:cstheme="minorHAnsi"/>
                <w:sz w:val="22"/>
                <w:szCs w:val="22"/>
                <w:u w:val="single"/>
              </w:rPr>
            </w:pPr>
            <w:r>
              <w:rPr>
                <w:rFonts w:asciiTheme="minorHAnsi" w:eastAsiaTheme="minorHAnsi" w:hAnsiTheme="minorHAnsi" w:cstheme="minorHAnsi"/>
                <w:sz w:val="22"/>
                <w:szCs w:val="22"/>
              </w:rPr>
              <w:t>While benefits to the publi</w:t>
            </w:r>
            <w:r w:rsidR="008B317C">
              <w:rPr>
                <w:rFonts w:asciiTheme="minorHAnsi" w:eastAsiaTheme="minorHAnsi" w:hAnsiTheme="minorHAnsi" w:cstheme="minorHAnsi"/>
                <w:sz w:val="22"/>
                <w:szCs w:val="22"/>
              </w:rPr>
              <w:t>c</w:t>
            </w:r>
            <w:r w:rsidR="00CA691C">
              <w:rPr>
                <w:rFonts w:asciiTheme="minorHAnsi" w:eastAsiaTheme="minorHAnsi" w:hAnsiTheme="minorHAnsi" w:cstheme="minorHAnsi"/>
                <w:sz w:val="22"/>
                <w:szCs w:val="22"/>
              </w:rPr>
              <w:t xml:space="preserve"> / </w:t>
            </w:r>
            <w:r>
              <w:rPr>
                <w:rFonts w:asciiTheme="minorHAnsi" w:eastAsiaTheme="minorHAnsi" w:hAnsiTheme="minorHAnsi" w:cstheme="minorHAnsi"/>
                <w:sz w:val="22"/>
                <w:szCs w:val="22"/>
              </w:rPr>
              <w:t xml:space="preserve">consumers are well documented in the paper, the </w:t>
            </w:r>
            <w:r w:rsidR="00626A5F">
              <w:rPr>
                <w:rFonts w:asciiTheme="minorHAnsi" w:eastAsiaTheme="minorHAnsi" w:hAnsiTheme="minorHAnsi" w:cstheme="minorHAnsi"/>
                <w:sz w:val="22"/>
                <w:szCs w:val="22"/>
              </w:rPr>
              <w:t xml:space="preserve">potential negative </w:t>
            </w:r>
            <w:r w:rsidR="008B317C">
              <w:rPr>
                <w:rFonts w:asciiTheme="minorHAnsi" w:eastAsiaTheme="minorHAnsi" w:hAnsiTheme="minorHAnsi" w:cstheme="minorHAnsi"/>
                <w:sz w:val="22"/>
                <w:szCs w:val="22"/>
              </w:rPr>
              <w:t xml:space="preserve">impacts to merchants </w:t>
            </w:r>
            <w:r w:rsidR="00F11997">
              <w:rPr>
                <w:rFonts w:asciiTheme="minorHAnsi" w:eastAsiaTheme="minorHAnsi" w:hAnsiTheme="minorHAnsi" w:cstheme="minorHAnsi"/>
                <w:sz w:val="22"/>
                <w:szCs w:val="22"/>
              </w:rPr>
              <w:t xml:space="preserve">in the form of higher banking fees </w:t>
            </w:r>
            <w:r w:rsidR="00626A5F">
              <w:rPr>
                <w:rFonts w:asciiTheme="minorHAnsi" w:eastAsiaTheme="minorHAnsi" w:hAnsiTheme="minorHAnsi" w:cstheme="minorHAnsi"/>
                <w:sz w:val="22"/>
                <w:szCs w:val="22"/>
              </w:rPr>
              <w:t xml:space="preserve">do not appear to have been comprehensively </w:t>
            </w:r>
            <w:r w:rsidR="003643A7">
              <w:rPr>
                <w:rFonts w:asciiTheme="minorHAnsi" w:eastAsiaTheme="minorHAnsi" w:hAnsiTheme="minorHAnsi" w:cstheme="minorHAnsi"/>
                <w:sz w:val="22"/>
                <w:szCs w:val="22"/>
              </w:rPr>
              <w:t>assessed</w:t>
            </w:r>
            <w:r w:rsidR="008B317C">
              <w:rPr>
                <w:rFonts w:asciiTheme="minorHAnsi" w:eastAsiaTheme="minorHAnsi" w:hAnsiTheme="minorHAnsi" w:cstheme="minorHAnsi"/>
                <w:sz w:val="22"/>
                <w:szCs w:val="22"/>
              </w:rPr>
              <w:t>.</w:t>
            </w:r>
          </w:p>
          <w:p w14:paraId="465DCBFE" w14:textId="30D3FBCF" w:rsidR="007946DA" w:rsidRPr="00590BF1" w:rsidRDefault="007946DA" w:rsidP="007946DA">
            <w:pPr>
              <w:pStyle w:val="BodyText"/>
              <w:ind w:left="360"/>
              <w:rPr>
                <w:rFonts w:asciiTheme="minorHAnsi" w:eastAsiaTheme="minorHAnsi" w:hAnsiTheme="minorHAnsi" w:cstheme="minorHAnsi"/>
                <w:b/>
                <w:bCs/>
                <w:sz w:val="22"/>
                <w:szCs w:val="22"/>
              </w:rPr>
            </w:pPr>
            <w:r w:rsidRPr="00590BF1">
              <w:rPr>
                <w:rFonts w:asciiTheme="minorHAnsi" w:eastAsiaTheme="minorHAnsi" w:hAnsiTheme="minorHAnsi" w:cstheme="minorHAnsi"/>
                <w:b/>
                <w:bCs/>
                <w:sz w:val="22"/>
                <w:szCs w:val="22"/>
              </w:rPr>
              <w:t>Not all merchants can increase their base prices</w:t>
            </w:r>
          </w:p>
          <w:p w14:paraId="15E24672" w14:textId="0C74F82E" w:rsidR="00F11997" w:rsidRPr="008B119A" w:rsidRDefault="00F11997" w:rsidP="00CA691C">
            <w:pPr>
              <w:pStyle w:val="BodyText"/>
              <w:numPr>
                <w:ilvl w:val="0"/>
                <w:numId w:val="8"/>
              </w:numPr>
              <w:ind w:left="714" w:hanging="357"/>
              <w:rPr>
                <w:rFonts w:asciiTheme="minorHAnsi" w:hAnsiTheme="minorHAnsi" w:cstheme="minorHAnsi"/>
                <w:sz w:val="22"/>
                <w:szCs w:val="22"/>
              </w:rPr>
            </w:pPr>
            <w:r w:rsidRPr="008B119A">
              <w:rPr>
                <w:rFonts w:asciiTheme="minorHAnsi" w:hAnsiTheme="minorHAnsi" w:cstheme="minorHAnsi"/>
                <w:sz w:val="22"/>
                <w:szCs w:val="22"/>
              </w:rPr>
              <w:t xml:space="preserve">Elimination of drip pricing is one of the expected benefits presented in the paper. This is true for retail merchants who are collecting revenue for the provision of goods and services. However, this does not extend to non-retail </w:t>
            </w:r>
            <w:r w:rsidR="0067538E" w:rsidRPr="008B119A">
              <w:rPr>
                <w:rFonts w:asciiTheme="minorHAnsi" w:hAnsiTheme="minorHAnsi" w:cstheme="minorHAnsi"/>
                <w:sz w:val="22"/>
                <w:szCs w:val="22"/>
              </w:rPr>
              <w:t xml:space="preserve">merchants where the collection of revenue </w:t>
            </w:r>
            <w:r w:rsidR="005B4F12" w:rsidRPr="008B119A">
              <w:rPr>
                <w:rFonts w:asciiTheme="minorHAnsi" w:hAnsiTheme="minorHAnsi" w:cstheme="minorHAnsi"/>
                <w:sz w:val="22"/>
                <w:szCs w:val="22"/>
              </w:rPr>
              <w:t>relates</w:t>
            </w:r>
            <w:r w:rsidR="0067538E" w:rsidRPr="008B119A">
              <w:rPr>
                <w:rFonts w:asciiTheme="minorHAnsi" w:hAnsiTheme="minorHAnsi" w:cstheme="minorHAnsi"/>
                <w:sz w:val="22"/>
                <w:szCs w:val="22"/>
              </w:rPr>
              <w:t xml:space="preserve"> to legislated or regulated payments</w:t>
            </w:r>
            <w:r w:rsidRPr="008B119A">
              <w:rPr>
                <w:rFonts w:asciiTheme="minorHAnsi" w:hAnsiTheme="minorHAnsi" w:cstheme="minorHAnsi"/>
                <w:sz w:val="22"/>
                <w:szCs w:val="22"/>
              </w:rPr>
              <w:t>.</w:t>
            </w:r>
            <w:r w:rsidR="007946DA">
              <w:rPr>
                <w:rFonts w:asciiTheme="minorHAnsi" w:hAnsiTheme="minorHAnsi" w:cstheme="minorHAnsi"/>
                <w:sz w:val="22"/>
                <w:szCs w:val="22"/>
              </w:rPr>
              <w:t xml:space="preserve"> This is an example of just one use case </w:t>
            </w:r>
            <w:r w:rsidR="007946DA">
              <w:rPr>
                <w:rFonts w:asciiTheme="minorHAnsi" w:eastAsiaTheme="minorHAnsi" w:hAnsiTheme="minorHAnsi" w:cstheme="minorHAnsi"/>
                <w:sz w:val="22"/>
                <w:szCs w:val="22"/>
              </w:rPr>
              <w:t xml:space="preserve">where merchants do not have the ability to increase their base prices to recover the increased costs. </w:t>
            </w:r>
            <w:r w:rsidR="007946DA">
              <w:rPr>
                <w:rFonts w:asciiTheme="minorHAnsi" w:hAnsiTheme="minorHAnsi" w:cstheme="minorHAnsi"/>
                <w:sz w:val="22"/>
                <w:szCs w:val="22"/>
              </w:rPr>
              <w:t xml:space="preserve"> </w:t>
            </w:r>
          </w:p>
          <w:p w14:paraId="74313BCD" w14:textId="01484F5C" w:rsidR="001B4798" w:rsidRDefault="00AB2E28" w:rsidP="008B119A">
            <w:pPr>
              <w:pStyle w:val="BodyText"/>
              <w:numPr>
                <w:ilvl w:val="0"/>
                <w:numId w:val="8"/>
              </w:numPr>
              <w:rPr>
                <w:rFonts w:asciiTheme="minorHAnsi" w:eastAsiaTheme="minorHAnsi" w:hAnsiTheme="minorHAnsi" w:cstheme="minorHAnsi"/>
                <w:sz w:val="22"/>
                <w:szCs w:val="22"/>
              </w:rPr>
            </w:pPr>
            <w:r>
              <w:rPr>
                <w:rFonts w:asciiTheme="minorHAnsi" w:eastAsiaTheme="minorHAnsi" w:hAnsiTheme="minorHAnsi" w:cstheme="minorHAnsi"/>
                <w:sz w:val="22"/>
                <w:szCs w:val="22"/>
              </w:rPr>
              <w:t>I</w:t>
            </w:r>
            <w:r w:rsidR="00AB6C45">
              <w:rPr>
                <w:rFonts w:asciiTheme="minorHAnsi" w:eastAsiaTheme="minorHAnsi" w:hAnsiTheme="minorHAnsi" w:cstheme="minorHAnsi"/>
                <w:sz w:val="22"/>
                <w:szCs w:val="22"/>
              </w:rPr>
              <w:t xml:space="preserve">f surcharging </w:t>
            </w:r>
            <w:r>
              <w:rPr>
                <w:rFonts w:asciiTheme="minorHAnsi" w:eastAsiaTheme="minorHAnsi" w:hAnsiTheme="minorHAnsi" w:cstheme="minorHAnsi"/>
                <w:sz w:val="22"/>
                <w:szCs w:val="22"/>
              </w:rPr>
              <w:t xml:space="preserve">is </w:t>
            </w:r>
            <w:r w:rsidR="00AB6C45">
              <w:rPr>
                <w:rFonts w:asciiTheme="minorHAnsi" w:eastAsiaTheme="minorHAnsi" w:hAnsiTheme="minorHAnsi" w:cstheme="minorHAnsi"/>
                <w:sz w:val="22"/>
                <w:szCs w:val="22"/>
              </w:rPr>
              <w:t>removed on Mastercard and Visa card payments,</w:t>
            </w:r>
            <w:r w:rsidR="00BE573D">
              <w:rPr>
                <w:rFonts w:asciiTheme="minorHAnsi" w:eastAsiaTheme="minorHAnsi" w:hAnsiTheme="minorHAnsi" w:cstheme="minorHAnsi"/>
                <w:sz w:val="22"/>
                <w:szCs w:val="22"/>
              </w:rPr>
              <w:t xml:space="preserve"> </w:t>
            </w:r>
            <w:r w:rsidR="00626A5F">
              <w:rPr>
                <w:rFonts w:asciiTheme="minorHAnsi" w:eastAsiaTheme="minorHAnsi" w:hAnsiTheme="minorHAnsi" w:cstheme="minorHAnsi"/>
                <w:sz w:val="22"/>
                <w:szCs w:val="22"/>
              </w:rPr>
              <w:t xml:space="preserve">merchants will </w:t>
            </w:r>
            <w:r w:rsidR="00AB6C45">
              <w:rPr>
                <w:rFonts w:asciiTheme="minorHAnsi" w:eastAsiaTheme="minorHAnsi" w:hAnsiTheme="minorHAnsi" w:cstheme="minorHAnsi"/>
                <w:sz w:val="22"/>
                <w:szCs w:val="22"/>
              </w:rPr>
              <w:t>have to bear the cost of incremental banking fees</w:t>
            </w:r>
            <w:r w:rsidR="001B4798">
              <w:rPr>
                <w:rFonts w:asciiTheme="minorHAnsi" w:eastAsiaTheme="minorHAnsi" w:hAnsiTheme="minorHAnsi" w:cstheme="minorHAnsi"/>
                <w:sz w:val="22"/>
                <w:szCs w:val="22"/>
              </w:rPr>
              <w:t>. E</w:t>
            </w:r>
            <w:r w:rsidR="000A076C">
              <w:rPr>
                <w:rFonts w:asciiTheme="minorHAnsi" w:eastAsiaTheme="minorHAnsi" w:hAnsiTheme="minorHAnsi" w:cstheme="minorHAnsi"/>
                <w:sz w:val="22"/>
                <w:szCs w:val="22"/>
              </w:rPr>
              <w:t xml:space="preserve">ven with the </w:t>
            </w:r>
            <w:r w:rsidR="008B119A">
              <w:rPr>
                <w:rFonts w:asciiTheme="minorHAnsi" w:eastAsiaTheme="minorHAnsi" w:hAnsiTheme="minorHAnsi" w:cstheme="minorHAnsi"/>
                <w:sz w:val="22"/>
                <w:szCs w:val="22"/>
              </w:rPr>
              <w:t>welcomed proposed</w:t>
            </w:r>
            <w:r w:rsidR="007579F0">
              <w:rPr>
                <w:rFonts w:asciiTheme="minorHAnsi" w:eastAsiaTheme="minorHAnsi" w:hAnsiTheme="minorHAnsi" w:cstheme="minorHAnsi"/>
                <w:sz w:val="22"/>
                <w:szCs w:val="22"/>
              </w:rPr>
              <w:t xml:space="preserve"> caps on interchange fees</w:t>
            </w:r>
            <w:r w:rsidR="00E14C6B">
              <w:rPr>
                <w:rFonts w:asciiTheme="minorHAnsi" w:eastAsiaTheme="minorHAnsi" w:hAnsiTheme="minorHAnsi" w:cstheme="minorHAnsi"/>
                <w:sz w:val="22"/>
                <w:szCs w:val="22"/>
              </w:rPr>
              <w:t xml:space="preserve">, </w:t>
            </w:r>
            <w:r w:rsidR="001B4798">
              <w:rPr>
                <w:rFonts w:asciiTheme="minorHAnsi" w:eastAsiaTheme="minorHAnsi" w:hAnsiTheme="minorHAnsi" w:cstheme="minorHAnsi"/>
                <w:sz w:val="22"/>
                <w:szCs w:val="22"/>
              </w:rPr>
              <w:t>interchange fees are only one component of the overall surcharging cost</w:t>
            </w:r>
            <w:r w:rsidR="00AB6C45">
              <w:rPr>
                <w:rFonts w:asciiTheme="minorHAnsi" w:eastAsiaTheme="minorHAnsi" w:hAnsiTheme="minorHAnsi" w:cstheme="minorHAnsi"/>
                <w:sz w:val="22"/>
                <w:szCs w:val="22"/>
              </w:rPr>
              <w:t xml:space="preserve">. </w:t>
            </w:r>
          </w:p>
          <w:p w14:paraId="79DB0CE1" w14:textId="00760E38" w:rsidR="007946DA" w:rsidRPr="00590BF1" w:rsidRDefault="007946DA" w:rsidP="007946DA">
            <w:pPr>
              <w:pStyle w:val="BodyText"/>
              <w:ind w:left="360"/>
              <w:rPr>
                <w:rFonts w:asciiTheme="minorHAnsi" w:eastAsiaTheme="minorHAnsi" w:hAnsiTheme="minorHAnsi" w:cstheme="minorHAnsi"/>
                <w:b/>
                <w:bCs/>
                <w:sz w:val="22"/>
                <w:szCs w:val="22"/>
              </w:rPr>
            </w:pPr>
            <w:r w:rsidRPr="00590BF1">
              <w:rPr>
                <w:rFonts w:asciiTheme="minorHAnsi" w:eastAsiaTheme="minorHAnsi" w:hAnsiTheme="minorHAnsi" w:cstheme="minorHAnsi"/>
                <w:b/>
                <w:bCs/>
                <w:sz w:val="22"/>
                <w:szCs w:val="22"/>
              </w:rPr>
              <w:t>The need for further analysis of online transactions</w:t>
            </w:r>
            <w:r w:rsidR="00A210DA">
              <w:rPr>
                <w:rFonts w:asciiTheme="minorHAnsi" w:eastAsiaTheme="minorHAnsi" w:hAnsiTheme="minorHAnsi" w:cstheme="minorHAnsi"/>
                <w:b/>
                <w:bCs/>
                <w:sz w:val="22"/>
                <w:szCs w:val="22"/>
              </w:rPr>
              <w:t xml:space="preserve"> impacts</w:t>
            </w:r>
          </w:p>
          <w:p w14:paraId="1AF82EC9" w14:textId="0BE20B60" w:rsidR="00A079D2" w:rsidRDefault="0020201F" w:rsidP="008B119A">
            <w:pPr>
              <w:pStyle w:val="BodyText"/>
              <w:numPr>
                <w:ilvl w:val="0"/>
                <w:numId w:val="8"/>
              </w:numPr>
              <w:rPr>
                <w:rFonts w:asciiTheme="minorHAnsi" w:eastAsiaTheme="minorHAnsi" w:hAnsiTheme="minorHAnsi" w:cstheme="minorHAnsi"/>
                <w:sz w:val="22"/>
                <w:szCs w:val="22"/>
              </w:rPr>
            </w:pPr>
            <w:r>
              <w:rPr>
                <w:rFonts w:asciiTheme="minorHAnsi" w:eastAsiaTheme="minorHAnsi" w:hAnsiTheme="minorHAnsi" w:cstheme="minorHAnsi"/>
                <w:sz w:val="22"/>
                <w:szCs w:val="22"/>
              </w:rPr>
              <w:t xml:space="preserve">We believe the </w:t>
            </w:r>
            <w:r w:rsidR="00077F43">
              <w:rPr>
                <w:rFonts w:asciiTheme="minorHAnsi" w:eastAsiaTheme="minorHAnsi" w:hAnsiTheme="minorHAnsi" w:cstheme="minorHAnsi"/>
                <w:sz w:val="22"/>
                <w:szCs w:val="22"/>
              </w:rPr>
              <w:t xml:space="preserve">impact of the removal of surcharging on online card transactions </w:t>
            </w:r>
            <w:r w:rsidR="00B313DC">
              <w:rPr>
                <w:rFonts w:asciiTheme="minorHAnsi" w:eastAsiaTheme="minorHAnsi" w:hAnsiTheme="minorHAnsi" w:cstheme="minorHAnsi"/>
                <w:sz w:val="22"/>
                <w:szCs w:val="22"/>
              </w:rPr>
              <w:t xml:space="preserve">(where volumes and values are increasing) </w:t>
            </w:r>
            <w:r w:rsidR="00077F43">
              <w:rPr>
                <w:rFonts w:asciiTheme="minorHAnsi" w:eastAsiaTheme="minorHAnsi" w:hAnsiTheme="minorHAnsi" w:cstheme="minorHAnsi"/>
                <w:sz w:val="22"/>
                <w:szCs w:val="22"/>
              </w:rPr>
              <w:t>has not been adequately considered</w:t>
            </w:r>
            <w:r>
              <w:rPr>
                <w:rFonts w:asciiTheme="minorHAnsi" w:eastAsiaTheme="minorHAnsi" w:hAnsiTheme="minorHAnsi" w:cstheme="minorHAnsi"/>
                <w:sz w:val="22"/>
                <w:szCs w:val="22"/>
              </w:rPr>
              <w:t xml:space="preserve"> as analysis in the paper largely focused on card present / in-person transactions</w:t>
            </w:r>
            <w:r w:rsidR="003B55B6">
              <w:rPr>
                <w:rFonts w:asciiTheme="minorHAnsi" w:eastAsiaTheme="minorHAnsi" w:hAnsiTheme="minorHAnsi" w:cstheme="minorHAnsi"/>
                <w:sz w:val="22"/>
                <w:szCs w:val="22"/>
              </w:rPr>
              <w:t xml:space="preserve">. For example, </w:t>
            </w:r>
            <w:r w:rsidR="003B55B6" w:rsidRPr="003B55B6">
              <w:rPr>
                <w:rFonts w:asciiTheme="minorHAnsi" w:eastAsiaTheme="minorHAnsi" w:hAnsiTheme="minorHAnsi" w:cstheme="minorHAnsi"/>
                <w:sz w:val="22"/>
                <w:szCs w:val="22"/>
              </w:rPr>
              <w:t>the rationale that decline in cash usage and uniform surcharge rates across card types have made it harder for consumers to avoid fees</w:t>
            </w:r>
            <w:r w:rsidR="003B55B6">
              <w:rPr>
                <w:rFonts w:asciiTheme="minorHAnsi" w:eastAsiaTheme="minorHAnsi" w:hAnsiTheme="minorHAnsi" w:cstheme="minorHAnsi"/>
                <w:sz w:val="22"/>
                <w:szCs w:val="22"/>
              </w:rPr>
              <w:t xml:space="preserve"> only holds true for in-person transactions. </w:t>
            </w:r>
          </w:p>
          <w:p w14:paraId="78A2F954" w14:textId="57CB23BE" w:rsidR="007946DA" w:rsidRPr="00590BF1" w:rsidRDefault="00A210DA" w:rsidP="007946DA">
            <w:pPr>
              <w:pStyle w:val="BodyText"/>
              <w:ind w:left="360"/>
              <w:rPr>
                <w:rFonts w:asciiTheme="minorHAnsi" w:eastAsiaTheme="minorHAnsi" w:hAnsiTheme="minorHAnsi" w:cstheme="minorHAnsi"/>
                <w:b/>
                <w:bCs/>
                <w:sz w:val="22"/>
                <w:szCs w:val="22"/>
              </w:rPr>
            </w:pPr>
            <w:r>
              <w:rPr>
                <w:rFonts w:asciiTheme="minorHAnsi" w:eastAsiaTheme="minorHAnsi" w:hAnsiTheme="minorHAnsi" w:cstheme="minorHAnsi"/>
                <w:b/>
                <w:bCs/>
                <w:sz w:val="22"/>
                <w:szCs w:val="22"/>
              </w:rPr>
              <w:t>There are b</w:t>
            </w:r>
            <w:r w:rsidR="007946DA" w:rsidRPr="00590BF1">
              <w:rPr>
                <w:rFonts w:asciiTheme="minorHAnsi" w:eastAsiaTheme="minorHAnsi" w:hAnsiTheme="minorHAnsi" w:cstheme="minorHAnsi"/>
                <w:b/>
                <w:bCs/>
                <w:sz w:val="22"/>
                <w:szCs w:val="22"/>
              </w:rPr>
              <w:t>enefit</w:t>
            </w:r>
            <w:r w:rsidR="007946DA">
              <w:rPr>
                <w:rFonts w:asciiTheme="minorHAnsi" w:eastAsiaTheme="minorHAnsi" w:hAnsiTheme="minorHAnsi" w:cstheme="minorHAnsi"/>
                <w:b/>
                <w:bCs/>
                <w:sz w:val="22"/>
                <w:szCs w:val="22"/>
              </w:rPr>
              <w:t>s</w:t>
            </w:r>
            <w:r w:rsidR="007946DA" w:rsidRPr="00590BF1">
              <w:rPr>
                <w:rFonts w:asciiTheme="minorHAnsi" w:eastAsiaTheme="minorHAnsi" w:hAnsiTheme="minorHAnsi" w:cstheme="minorHAnsi"/>
                <w:b/>
                <w:bCs/>
                <w:sz w:val="22"/>
                <w:szCs w:val="22"/>
              </w:rPr>
              <w:t xml:space="preserve"> from differential surcharging</w:t>
            </w:r>
          </w:p>
          <w:p w14:paraId="30F937F9" w14:textId="77777777" w:rsidR="007946DA" w:rsidRDefault="007946DA" w:rsidP="007946DA">
            <w:pPr>
              <w:pStyle w:val="BodyText"/>
              <w:numPr>
                <w:ilvl w:val="0"/>
                <w:numId w:val="8"/>
              </w:numPr>
              <w:rPr>
                <w:rFonts w:asciiTheme="minorHAnsi" w:eastAsiaTheme="minorHAnsi" w:hAnsiTheme="minorHAnsi" w:cstheme="minorHAnsi"/>
                <w:sz w:val="22"/>
                <w:szCs w:val="22"/>
              </w:rPr>
            </w:pPr>
            <w:r>
              <w:rPr>
                <w:rFonts w:asciiTheme="minorHAnsi" w:eastAsiaTheme="minorHAnsi" w:hAnsiTheme="minorHAnsi" w:cstheme="minorHAnsi"/>
                <w:sz w:val="22"/>
                <w:szCs w:val="22"/>
              </w:rPr>
              <w:t>The proposed elimination of surcharging would also remove the price signal towards lower cost payment methods whilst still providing payment choice.</w:t>
            </w:r>
          </w:p>
          <w:p w14:paraId="3B5D0FBF" w14:textId="12CB1F2B" w:rsidR="008026EA" w:rsidRPr="008B119A" w:rsidRDefault="003B55B6" w:rsidP="008B119A">
            <w:pPr>
              <w:pStyle w:val="BodyText"/>
              <w:numPr>
                <w:ilvl w:val="0"/>
                <w:numId w:val="8"/>
              </w:numPr>
              <w:rPr>
                <w:rFonts w:asciiTheme="minorHAnsi" w:eastAsiaTheme="minorHAnsi" w:hAnsiTheme="minorHAnsi" w:cstheme="minorHAnsi"/>
                <w:sz w:val="22"/>
                <w:szCs w:val="22"/>
              </w:rPr>
            </w:pPr>
            <w:r w:rsidRPr="008B119A">
              <w:rPr>
                <w:rFonts w:asciiTheme="minorHAnsi" w:hAnsiTheme="minorHAnsi" w:cstheme="minorHAnsi"/>
                <w:sz w:val="22"/>
                <w:szCs w:val="22"/>
              </w:rPr>
              <w:t>There is frequent mention</w:t>
            </w:r>
            <w:r w:rsidRPr="008B119A">
              <w:rPr>
                <w:rFonts w:asciiTheme="minorHAnsi" w:eastAsiaTheme="minorHAnsi" w:hAnsiTheme="minorHAnsi" w:cstheme="minorHAnsi"/>
                <w:sz w:val="22"/>
                <w:szCs w:val="22"/>
              </w:rPr>
              <w:t xml:space="preserve"> of merchants who opt for a single rate (where debit and credit transactions are priced the same)</w:t>
            </w:r>
            <w:r w:rsidR="008026EA" w:rsidRPr="008B119A">
              <w:rPr>
                <w:rFonts w:asciiTheme="minorHAnsi" w:eastAsiaTheme="minorHAnsi" w:hAnsiTheme="minorHAnsi" w:cstheme="minorHAnsi"/>
                <w:sz w:val="22"/>
                <w:szCs w:val="22"/>
              </w:rPr>
              <w:t xml:space="preserve"> for its simplicity.</w:t>
            </w:r>
            <w:r w:rsidRPr="008B119A">
              <w:rPr>
                <w:rFonts w:asciiTheme="minorHAnsi" w:eastAsiaTheme="minorHAnsi" w:hAnsiTheme="minorHAnsi" w:cstheme="minorHAnsi"/>
                <w:sz w:val="22"/>
                <w:szCs w:val="22"/>
              </w:rPr>
              <w:t xml:space="preserve"> </w:t>
            </w:r>
            <w:r w:rsidR="008026EA" w:rsidRPr="008B119A">
              <w:rPr>
                <w:rFonts w:asciiTheme="minorHAnsi" w:eastAsiaTheme="minorHAnsi" w:hAnsiTheme="minorHAnsi" w:cstheme="minorHAnsi"/>
                <w:sz w:val="22"/>
                <w:szCs w:val="22"/>
              </w:rPr>
              <w:t>This</w:t>
            </w:r>
            <w:r w:rsidR="00A079D2" w:rsidRPr="008B119A">
              <w:rPr>
                <w:rFonts w:asciiTheme="minorHAnsi" w:eastAsiaTheme="minorHAnsi" w:hAnsiTheme="minorHAnsi" w:cstheme="minorHAnsi"/>
                <w:sz w:val="22"/>
                <w:szCs w:val="22"/>
              </w:rPr>
              <w:t xml:space="preserve"> is not representative of other merchant</w:t>
            </w:r>
            <w:r w:rsidR="00965F9F">
              <w:rPr>
                <w:rFonts w:asciiTheme="minorHAnsi" w:eastAsiaTheme="minorHAnsi" w:hAnsiTheme="minorHAnsi" w:cstheme="minorHAnsi"/>
                <w:sz w:val="22"/>
                <w:szCs w:val="22"/>
              </w:rPr>
              <w:t>s’</w:t>
            </w:r>
            <w:r w:rsidR="00A079D2" w:rsidRPr="008B119A">
              <w:rPr>
                <w:rFonts w:asciiTheme="minorHAnsi" w:eastAsiaTheme="minorHAnsi" w:hAnsiTheme="minorHAnsi" w:cstheme="minorHAnsi"/>
                <w:sz w:val="22"/>
                <w:szCs w:val="22"/>
              </w:rPr>
              <w:t xml:space="preserve"> pricing arrangements</w:t>
            </w:r>
            <w:r w:rsidR="008026EA" w:rsidRPr="008B119A">
              <w:rPr>
                <w:rFonts w:asciiTheme="minorHAnsi" w:eastAsiaTheme="minorHAnsi" w:hAnsiTheme="minorHAnsi" w:cstheme="minorHAnsi"/>
                <w:sz w:val="22"/>
                <w:szCs w:val="22"/>
              </w:rPr>
              <w:t xml:space="preserve"> with their acquirers</w:t>
            </w:r>
            <w:r w:rsidR="008B119A">
              <w:rPr>
                <w:rFonts w:asciiTheme="minorHAnsi" w:eastAsiaTheme="minorHAnsi" w:hAnsiTheme="minorHAnsi" w:cstheme="minorHAnsi"/>
                <w:sz w:val="22"/>
                <w:szCs w:val="22"/>
              </w:rPr>
              <w:t>.</w:t>
            </w:r>
          </w:p>
          <w:p w14:paraId="40861D79" w14:textId="695264B4" w:rsidR="00C33F6D" w:rsidRDefault="0020201F" w:rsidP="008B119A">
            <w:pPr>
              <w:pStyle w:val="BodyText"/>
              <w:numPr>
                <w:ilvl w:val="0"/>
                <w:numId w:val="8"/>
              </w:numPr>
              <w:rPr>
                <w:rFonts w:asciiTheme="minorHAnsi" w:eastAsiaTheme="minorHAnsi" w:hAnsiTheme="minorHAnsi" w:cstheme="minorHAnsi"/>
                <w:sz w:val="22"/>
                <w:szCs w:val="22"/>
              </w:rPr>
            </w:pPr>
            <w:r>
              <w:rPr>
                <w:rFonts w:asciiTheme="minorHAnsi" w:eastAsiaTheme="minorHAnsi" w:hAnsiTheme="minorHAnsi" w:cstheme="minorHAnsi"/>
                <w:sz w:val="22"/>
                <w:szCs w:val="22"/>
              </w:rPr>
              <w:t>If a merchant has invested in implementing differential pricing and surcharging, they should not be disadvantaged because some acquirers and merchants have adopted “simple” plans. T</w:t>
            </w:r>
            <w:r w:rsidR="003764EC" w:rsidRPr="003764EC">
              <w:rPr>
                <w:rFonts w:asciiTheme="minorHAnsi" w:eastAsiaTheme="minorHAnsi" w:hAnsiTheme="minorHAnsi" w:cstheme="minorHAnsi"/>
                <w:sz w:val="22"/>
                <w:szCs w:val="22"/>
              </w:rPr>
              <w:t>he availability of differential pricing and greater transparency between debit and credit card cost of acceptance</w:t>
            </w:r>
            <w:r w:rsidR="008026EA">
              <w:rPr>
                <w:rFonts w:asciiTheme="minorHAnsi" w:eastAsiaTheme="minorHAnsi" w:hAnsiTheme="minorHAnsi" w:cstheme="minorHAnsi"/>
                <w:sz w:val="22"/>
                <w:szCs w:val="22"/>
              </w:rPr>
              <w:t xml:space="preserve"> ensures the true cost of acceptance is passed on as a surcharge for debit and credit rather than having one surcharge rate for both types of cards.</w:t>
            </w:r>
          </w:p>
          <w:p w14:paraId="3D176C4A" w14:textId="59AC1BFF" w:rsidR="00590BF1" w:rsidRPr="00590BF1" w:rsidRDefault="00590BF1" w:rsidP="00590BF1">
            <w:pPr>
              <w:pStyle w:val="BodyText"/>
              <w:numPr>
                <w:ilvl w:val="0"/>
                <w:numId w:val="8"/>
              </w:numPr>
              <w:rPr>
                <w:rFonts w:asciiTheme="minorHAnsi" w:eastAsiaTheme="minorHAnsi" w:hAnsiTheme="minorHAnsi" w:cstheme="minorHAnsi"/>
                <w:sz w:val="22"/>
                <w:szCs w:val="22"/>
              </w:rPr>
            </w:pPr>
            <w:r>
              <w:rPr>
                <w:rFonts w:asciiTheme="minorHAnsi" w:eastAsiaTheme="minorHAnsi" w:hAnsiTheme="minorHAnsi" w:cstheme="minorHAnsi"/>
                <w:sz w:val="22"/>
                <w:szCs w:val="22"/>
              </w:rPr>
              <w:t xml:space="preserve">If merchants have effectively implemented differential surcharging, and fees charged by PSPs are transparent reflecting the true cost of acceptance for debit and credit, RBA BK believes this will mitigate the risk of PSPs lowering their fees on debit transactions and increasing their fees </w:t>
            </w:r>
            <w:r w:rsidRPr="00657A8A">
              <w:rPr>
                <w:rFonts w:asciiTheme="minorHAnsi" w:eastAsiaTheme="minorHAnsi" w:hAnsiTheme="minorHAnsi" w:cstheme="minorHAnsi"/>
                <w:sz w:val="22"/>
                <w:szCs w:val="22"/>
              </w:rPr>
              <w:t>on credit transactions</w:t>
            </w:r>
            <w:r>
              <w:rPr>
                <w:rFonts w:asciiTheme="minorHAnsi" w:eastAsiaTheme="minorHAnsi" w:hAnsiTheme="minorHAnsi" w:cstheme="minorHAnsi"/>
                <w:sz w:val="22"/>
                <w:szCs w:val="22"/>
              </w:rPr>
              <w:t xml:space="preserve">.  </w:t>
            </w:r>
            <w:r w:rsidRPr="00EF2262">
              <w:rPr>
                <w:rFonts w:asciiTheme="minorHAnsi" w:eastAsiaTheme="minorHAnsi" w:hAnsiTheme="minorHAnsi" w:cstheme="minorHAnsi"/>
                <w:sz w:val="22"/>
                <w:szCs w:val="22"/>
              </w:rPr>
              <w:t xml:space="preserve">  </w:t>
            </w:r>
          </w:p>
          <w:p w14:paraId="5FC2F631" w14:textId="64893F01" w:rsidR="00590BF1" w:rsidRPr="00590BF1" w:rsidRDefault="00590BF1" w:rsidP="00590BF1">
            <w:pPr>
              <w:pStyle w:val="BodyText"/>
              <w:ind w:left="360"/>
              <w:rPr>
                <w:rFonts w:asciiTheme="minorHAnsi" w:eastAsiaTheme="minorHAnsi" w:hAnsiTheme="minorHAnsi" w:cstheme="minorHAnsi"/>
                <w:b/>
                <w:bCs/>
                <w:sz w:val="22"/>
                <w:szCs w:val="22"/>
              </w:rPr>
            </w:pPr>
            <w:r w:rsidRPr="00590BF1">
              <w:rPr>
                <w:rFonts w:asciiTheme="minorHAnsi" w:eastAsiaTheme="minorHAnsi" w:hAnsiTheme="minorHAnsi" w:cstheme="minorHAnsi"/>
                <w:b/>
                <w:bCs/>
                <w:sz w:val="22"/>
                <w:szCs w:val="22"/>
              </w:rPr>
              <w:lastRenderedPageBreak/>
              <w:t xml:space="preserve">Switching providers is time-consuming and costly </w:t>
            </w:r>
          </w:p>
          <w:p w14:paraId="4BA63C42" w14:textId="4FF33FDA" w:rsidR="003643A7" w:rsidRDefault="003643A7" w:rsidP="00CA691C">
            <w:pPr>
              <w:pStyle w:val="BodyText"/>
              <w:numPr>
                <w:ilvl w:val="0"/>
                <w:numId w:val="8"/>
              </w:numPr>
              <w:ind w:left="714" w:hanging="357"/>
              <w:rPr>
                <w:rFonts w:asciiTheme="minorHAnsi" w:eastAsiaTheme="minorHAnsi" w:hAnsiTheme="minorHAnsi" w:cstheme="minorHAnsi"/>
                <w:sz w:val="22"/>
                <w:szCs w:val="22"/>
              </w:rPr>
            </w:pPr>
            <w:r>
              <w:rPr>
                <w:rFonts w:asciiTheme="minorHAnsi" w:eastAsiaTheme="minorHAnsi" w:hAnsiTheme="minorHAnsi" w:cstheme="minorHAnsi"/>
                <w:sz w:val="22"/>
                <w:szCs w:val="22"/>
              </w:rPr>
              <w:t xml:space="preserve">One of the documented expected benefits of removing surcharging completely is the </w:t>
            </w:r>
            <w:r w:rsidRPr="003643A7">
              <w:rPr>
                <w:rFonts w:asciiTheme="minorHAnsi" w:eastAsiaTheme="minorHAnsi" w:hAnsiTheme="minorHAnsi" w:cstheme="minorHAnsi"/>
                <w:sz w:val="22"/>
                <w:szCs w:val="22"/>
              </w:rPr>
              <w:t>increased merchant incentive to shop around for lower-cost payments services</w:t>
            </w:r>
            <w:r>
              <w:rPr>
                <w:rFonts w:asciiTheme="minorHAnsi" w:eastAsiaTheme="minorHAnsi" w:hAnsiTheme="minorHAnsi" w:cstheme="minorHAnsi"/>
                <w:sz w:val="22"/>
                <w:szCs w:val="22"/>
              </w:rPr>
              <w:t xml:space="preserve">. </w:t>
            </w:r>
            <w:r w:rsidR="0020201F">
              <w:rPr>
                <w:rFonts w:asciiTheme="minorHAnsi" w:eastAsiaTheme="minorHAnsi" w:hAnsiTheme="minorHAnsi" w:cstheme="minorHAnsi"/>
                <w:sz w:val="22"/>
                <w:szCs w:val="22"/>
              </w:rPr>
              <w:t>We believe t</w:t>
            </w:r>
            <w:r>
              <w:rPr>
                <w:rFonts w:asciiTheme="minorHAnsi" w:eastAsiaTheme="minorHAnsi" w:hAnsiTheme="minorHAnsi" w:cstheme="minorHAnsi"/>
                <w:sz w:val="22"/>
                <w:szCs w:val="22"/>
              </w:rPr>
              <w:t xml:space="preserve">his </w:t>
            </w:r>
            <w:r w:rsidR="0020201F">
              <w:rPr>
                <w:rFonts w:asciiTheme="minorHAnsi" w:eastAsiaTheme="minorHAnsi" w:hAnsiTheme="minorHAnsi" w:cstheme="minorHAnsi"/>
                <w:sz w:val="22"/>
                <w:szCs w:val="22"/>
              </w:rPr>
              <w:t xml:space="preserve">rationale does not necessarily extend </w:t>
            </w:r>
            <w:r>
              <w:rPr>
                <w:rFonts w:asciiTheme="minorHAnsi" w:eastAsiaTheme="minorHAnsi" w:hAnsiTheme="minorHAnsi" w:cstheme="minorHAnsi"/>
                <w:sz w:val="22"/>
                <w:szCs w:val="22"/>
              </w:rPr>
              <w:t>to businesses with a large point-of sale networ</w:t>
            </w:r>
            <w:r w:rsidR="008A6592">
              <w:rPr>
                <w:rFonts w:asciiTheme="minorHAnsi" w:eastAsiaTheme="minorHAnsi" w:hAnsiTheme="minorHAnsi" w:cstheme="minorHAnsi"/>
                <w:sz w:val="22"/>
                <w:szCs w:val="22"/>
              </w:rPr>
              <w:t xml:space="preserve">k, </w:t>
            </w:r>
            <w:r w:rsidR="002558DF">
              <w:rPr>
                <w:rFonts w:asciiTheme="minorHAnsi" w:eastAsiaTheme="minorHAnsi" w:hAnsiTheme="minorHAnsi" w:cstheme="minorHAnsi"/>
                <w:sz w:val="22"/>
                <w:szCs w:val="22"/>
              </w:rPr>
              <w:t xml:space="preserve">or </w:t>
            </w:r>
            <w:r w:rsidR="008A6592">
              <w:rPr>
                <w:rFonts w:asciiTheme="minorHAnsi" w:eastAsiaTheme="minorHAnsi" w:hAnsiTheme="minorHAnsi" w:cstheme="minorHAnsi"/>
                <w:sz w:val="22"/>
                <w:szCs w:val="22"/>
              </w:rPr>
              <w:t xml:space="preserve">a large e-commerce presence </w:t>
            </w:r>
            <w:r w:rsidR="00EB1FB6">
              <w:rPr>
                <w:rFonts w:asciiTheme="minorHAnsi" w:eastAsiaTheme="minorHAnsi" w:hAnsiTheme="minorHAnsi" w:cstheme="minorHAnsi"/>
                <w:sz w:val="22"/>
                <w:szCs w:val="22"/>
              </w:rPr>
              <w:t xml:space="preserve">to </w:t>
            </w:r>
            <w:r w:rsidR="008A6592">
              <w:rPr>
                <w:rFonts w:asciiTheme="minorHAnsi" w:eastAsiaTheme="minorHAnsi" w:hAnsiTheme="minorHAnsi" w:cstheme="minorHAnsi"/>
                <w:sz w:val="22"/>
                <w:szCs w:val="22"/>
              </w:rPr>
              <w:t xml:space="preserve">receive card payments online. </w:t>
            </w:r>
            <w:r w:rsidR="0020201F">
              <w:rPr>
                <w:rFonts w:asciiTheme="minorHAnsi" w:eastAsiaTheme="minorHAnsi" w:hAnsiTheme="minorHAnsi" w:cstheme="minorHAnsi"/>
                <w:sz w:val="22"/>
                <w:szCs w:val="22"/>
              </w:rPr>
              <w:t>S</w:t>
            </w:r>
            <w:r w:rsidR="008A6592">
              <w:rPr>
                <w:rFonts w:asciiTheme="minorHAnsi" w:eastAsiaTheme="minorHAnsi" w:hAnsiTheme="minorHAnsi" w:cstheme="minorHAnsi"/>
                <w:sz w:val="22"/>
                <w:szCs w:val="22"/>
              </w:rPr>
              <w:t>witch</w:t>
            </w:r>
            <w:r w:rsidR="0020201F">
              <w:rPr>
                <w:rFonts w:asciiTheme="minorHAnsi" w:eastAsiaTheme="minorHAnsi" w:hAnsiTheme="minorHAnsi" w:cstheme="minorHAnsi"/>
                <w:sz w:val="22"/>
                <w:szCs w:val="22"/>
              </w:rPr>
              <w:t>ing</w:t>
            </w:r>
            <w:r w:rsidR="008A6592">
              <w:rPr>
                <w:rFonts w:asciiTheme="minorHAnsi" w:eastAsiaTheme="minorHAnsi" w:hAnsiTheme="minorHAnsi" w:cstheme="minorHAnsi"/>
                <w:sz w:val="22"/>
                <w:szCs w:val="22"/>
              </w:rPr>
              <w:t xml:space="preserve"> providers </w:t>
            </w:r>
            <w:r w:rsidR="008A5DC7">
              <w:rPr>
                <w:rFonts w:asciiTheme="minorHAnsi" w:eastAsiaTheme="minorHAnsi" w:hAnsiTheme="minorHAnsi" w:cstheme="minorHAnsi"/>
                <w:sz w:val="22"/>
                <w:szCs w:val="22"/>
              </w:rPr>
              <w:t>require</w:t>
            </w:r>
            <w:r w:rsidR="0020201F">
              <w:rPr>
                <w:rFonts w:asciiTheme="minorHAnsi" w:eastAsiaTheme="minorHAnsi" w:hAnsiTheme="minorHAnsi" w:cstheme="minorHAnsi"/>
                <w:sz w:val="22"/>
                <w:szCs w:val="22"/>
              </w:rPr>
              <w:t>s</w:t>
            </w:r>
            <w:r w:rsidR="008A5DC7">
              <w:rPr>
                <w:rFonts w:asciiTheme="minorHAnsi" w:eastAsiaTheme="minorHAnsi" w:hAnsiTheme="minorHAnsi" w:cstheme="minorHAnsi"/>
                <w:sz w:val="22"/>
                <w:szCs w:val="22"/>
              </w:rPr>
              <w:t xml:space="preserve"> procurement and substantial</w:t>
            </w:r>
            <w:r w:rsidR="008A6592">
              <w:rPr>
                <w:rFonts w:asciiTheme="minorHAnsi" w:eastAsiaTheme="minorHAnsi" w:hAnsiTheme="minorHAnsi" w:cstheme="minorHAnsi"/>
                <w:sz w:val="22"/>
                <w:szCs w:val="22"/>
              </w:rPr>
              <w:t xml:space="preserve"> </w:t>
            </w:r>
            <w:r w:rsidR="008A5DC7">
              <w:rPr>
                <w:rFonts w:asciiTheme="minorHAnsi" w:eastAsiaTheme="minorHAnsi" w:hAnsiTheme="minorHAnsi" w:cstheme="minorHAnsi"/>
                <w:sz w:val="22"/>
                <w:szCs w:val="22"/>
              </w:rPr>
              <w:t>effort and cost to migrate to a new provider</w:t>
            </w:r>
            <w:r w:rsidR="008A6592">
              <w:rPr>
                <w:rFonts w:asciiTheme="minorHAnsi" w:eastAsiaTheme="minorHAnsi" w:hAnsiTheme="minorHAnsi" w:cstheme="minorHAnsi"/>
                <w:sz w:val="22"/>
                <w:szCs w:val="22"/>
              </w:rPr>
              <w:t>.</w:t>
            </w:r>
            <w:r>
              <w:rPr>
                <w:rFonts w:asciiTheme="minorHAnsi" w:eastAsiaTheme="minorHAnsi" w:hAnsiTheme="minorHAnsi" w:cstheme="minorHAnsi"/>
                <w:sz w:val="22"/>
                <w:szCs w:val="22"/>
              </w:rPr>
              <w:t xml:space="preserve"> </w:t>
            </w:r>
          </w:p>
          <w:p w14:paraId="51EE0C9D" w14:textId="7A07DB60" w:rsidR="00590BF1" w:rsidRPr="00590BF1" w:rsidRDefault="00590BF1" w:rsidP="00590BF1">
            <w:pPr>
              <w:pStyle w:val="BodyText"/>
              <w:ind w:left="360"/>
              <w:rPr>
                <w:rFonts w:asciiTheme="minorHAnsi" w:eastAsiaTheme="minorHAnsi" w:hAnsiTheme="minorHAnsi" w:cstheme="minorHAnsi"/>
                <w:b/>
                <w:bCs/>
                <w:sz w:val="22"/>
                <w:szCs w:val="22"/>
              </w:rPr>
            </w:pPr>
            <w:r w:rsidRPr="00590BF1">
              <w:rPr>
                <w:rFonts w:asciiTheme="minorHAnsi" w:eastAsiaTheme="minorHAnsi" w:hAnsiTheme="minorHAnsi" w:cstheme="minorHAnsi"/>
                <w:b/>
                <w:bCs/>
                <w:sz w:val="22"/>
                <w:szCs w:val="22"/>
              </w:rPr>
              <w:t>Supported recommendations</w:t>
            </w:r>
          </w:p>
          <w:p w14:paraId="6A65B850" w14:textId="593B45B5" w:rsidR="00263044" w:rsidRDefault="00BE573D" w:rsidP="008B119A">
            <w:pPr>
              <w:pStyle w:val="BodyText"/>
              <w:numPr>
                <w:ilvl w:val="0"/>
                <w:numId w:val="8"/>
              </w:numPr>
              <w:rPr>
                <w:rFonts w:asciiTheme="minorHAnsi" w:eastAsiaTheme="minorHAnsi" w:hAnsiTheme="minorHAnsi" w:cstheme="minorHAnsi"/>
                <w:sz w:val="22"/>
                <w:szCs w:val="22"/>
              </w:rPr>
            </w:pPr>
            <w:r>
              <w:rPr>
                <w:rFonts w:asciiTheme="minorHAnsi" w:eastAsiaTheme="minorHAnsi" w:hAnsiTheme="minorHAnsi" w:cstheme="minorHAnsi"/>
                <w:sz w:val="22"/>
                <w:szCs w:val="22"/>
              </w:rPr>
              <w:t xml:space="preserve">RBA </w:t>
            </w:r>
            <w:r w:rsidR="00C33F6D">
              <w:rPr>
                <w:rFonts w:asciiTheme="minorHAnsi" w:eastAsiaTheme="minorHAnsi" w:hAnsiTheme="minorHAnsi" w:cstheme="minorHAnsi"/>
                <w:sz w:val="22"/>
                <w:szCs w:val="22"/>
              </w:rPr>
              <w:t xml:space="preserve">BK supports the </w:t>
            </w:r>
            <w:r w:rsidR="0020201F">
              <w:rPr>
                <w:rFonts w:asciiTheme="minorHAnsi" w:eastAsiaTheme="minorHAnsi" w:hAnsiTheme="minorHAnsi" w:cstheme="minorHAnsi"/>
                <w:sz w:val="22"/>
                <w:szCs w:val="22"/>
              </w:rPr>
              <w:t xml:space="preserve">elimination of surcharging on designated debit (and prepaid) cards. This would </w:t>
            </w:r>
            <w:r w:rsidR="009239D0">
              <w:rPr>
                <w:rFonts w:asciiTheme="minorHAnsi" w:eastAsiaTheme="minorHAnsi" w:hAnsiTheme="minorHAnsi" w:cstheme="minorHAnsi"/>
                <w:sz w:val="22"/>
                <w:szCs w:val="22"/>
              </w:rPr>
              <w:t xml:space="preserve">provide </w:t>
            </w:r>
            <w:r w:rsidR="009239D0" w:rsidRPr="003764EC">
              <w:rPr>
                <w:rFonts w:asciiTheme="minorHAnsi" w:eastAsiaTheme="minorHAnsi" w:hAnsiTheme="minorHAnsi" w:cstheme="minorHAnsi"/>
                <w:sz w:val="22"/>
                <w:szCs w:val="22"/>
              </w:rPr>
              <w:t>payers</w:t>
            </w:r>
            <w:r w:rsidR="003764EC" w:rsidRPr="003764EC">
              <w:rPr>
                <w:rFonts w:asciiTheme="minorHAnsi" w:eastAsiaTheme="minorHAnsi" w:hAnsiTheme="minorHAnsi" w:cstheme="minorHAnsi"/>
                <w:sz w:val="22"/>
                <w:szCs w:val="22"/>
              </w:rPr>
              <w:t xml:space="preserve"> with the option of using surcharge-free debit cards as opposed to higher-cost credit cards.</w:t>
            </w:r>
          </w:p>
          <w:p w14:paraId="75EEE887" w14:textId="65BBA364" w:rsidR="009E1A98" w:rsidRDefault="00BE573D" w:rsidP="008B119A">
            <w:pPr>
              <w:pStyle w:val="BodyText"/>
              <w:numPr>
                <w:ilvl w:val="0"/>
                <w:numId w:val="8"/>
              </w:numPr>
              <w:rPr>
                <w:rFonts w:asciiTheme="minorHAnsi" w:eastAsiaTheme="minorHAnsi" w:hAnsiTheme="minorHAnsi" w:cstheme="minorHAnsi"/>
                <w:sz w:val="22"/>
                <w:szCs w:val="22"/>
              </w:rPr>
            </w:pPr>
            <w:r>
              <w:rPr>
                <w:rFonts w:asciiTheme="minorHAnsi" w:eastAsiaTheme="minorHAnsi" w:hAnsiTheme="minorHAnsi" w:cstheme="minorHAnsi"/>
                <w:sz w:val="22"/>
                <w:szCs w:val="22"/>
              </w:rPr>
              <w:t xml:space="preserve">RBA </w:t>
            </w:r>
            <w:r w:rsidR="002C0EDC">
              <w:rPr>
                <w:rFonts w:asciiTheme="minorHAnsi" w:eastAsiaTheme="minorHAnsi" w:hAnsiTheme="minorHAnsi" w:cstheme="minorHAnsi"/>
                <w:sz w:val="22"/>
                <w:szCs w:val="22"/>
              </w:rPr>
              <w:t xml:space="preserve">BK also </w:t>
            </w:r>
            <w:r w:rsidR="0020201F">
              <w:rPr>
                <w:rFonts w:asciiTheme="minorHAnsi" w:eastAsiaTheme="minorHAnsi" w:hAnsiTheme="minorHAnsi" w:cstheme="minorHAnsi"/>
                <w:sz w:val="22"/>
                <w:szCs w:val="22"/>
              </w:rPr>
              <w:t xml:space="preserve">strongly </w:t>
            </w:r>
            <w:r w:rsidR="002C0EDC">
              <w:rPr>
                <w:rFonts w:asciiTheme="minorHAnsi" w:eastAsiaTheme="minorHAnsi" w:hAnsiTheme="minorHAnsi" w:cstheme="minorHAnsi"/>
                <w:sz w:val="22"/>
                <w:szCs w:val="22"/>
              </w:rPr>
              <w:t xml:space="preserve">supports the </w:t>
            </w:r>
            <w:r w:rsidR="003764EC">
              <w:rPr>
                <w:rFonts w:asciiTheme="minorHAnsi" w:eastAsiaTheme="minorHAnsi" w:hAnsiTheme="minorHAnsi" w:cstheme="minorHAnsi"/>
                <w:sz w:val="22"/>
                <w:szCs w:val="22"/>
              </w:rPr>
              <w:t>proposed cap on interchange fees</w:t>
            </w:r>
            <w:r w:rsidR="002C0EDC">
              <w:rPr>
                <w:rFonts w:asciiTheme="minorHAnsi" w:eastAsiaTheme="minorHAnsi" w:hAnsiTheme="minorHAnsi" w:cstheme="minorHAnsi"/>
                <w:sz w:val="22"/>
                <w:szCs w:val="22"/>
              </w:rPr>
              <w:t xml:space="preserve"> alongside the removal of debit (and prepaid) card surcharging</w:t>
            </w:r>
            <w:r w:rsidR="009E1A98">
              <w:rPr>
                <w:rFonts w:asciiTheme="minorHAnsi" w:eastAsiaTheme="minorHAnsi" w:hAnsiTheme="minorHAnsi" w:cstheme="minorHAnsi"/>
                <w:sz w:val="22"/>
                <w:szCs w:val="22"/>
              </w:rPr>
              <w:t>.</w:t>
            </w:r>
          </w:p>
          <w:p w14:paraId="2924C7FE" w14:textId="079B5AD7" w:rsidR="00310CC6" w:rsidRPr="00EF2262" w:rsidRDefault="00BE573D" w:rsidP="008B119A">
            <w:pPr>
              <w:pStyle w:val="BodyText"/>
              <w:numPr>
                <w:ilvl w:val="0"/>
                <w:numId w:val="8"/>
              </w:numPr>
              <w:rPr>
                <w:rFonts w:asciiTheme="minorHAnsi" w:eastAsiaTheme="minorHAnsi" w:hAnsiTheme="minorHAnsi" w:cstheme="minorHAnsi"/>
                <w:sz w:val="22"/>
                <w:szCs w:val="22"/>
              </w:rPr>
            </w:pPr>
            <w:r>
              <w:rPr>
                <w:rFonts w:asciiTheme="minorHAnsi" w:eastAsiaTheme="minorHAnsi" w:hAnsiTheme="minorHAnsi" w:cstheme="minorHAnsi"/>
                <w:sz w:val="22"/>
                <w:szCs w:val="22"/>
              </w:rPr>
              <w:t xml:space="preserve">RBA </w:t>
            </w:r>
            <w:r w:rsidR="00AB3E8F">
              <w:rPr>
                <w:rFonts w:asciiTheme="minorHAnsi" w:eastAsiaTheme="minorHAnsi" w:hAnsiTheme="minorHAnsi" w:cstheme="minorHAnsi"/>
                <w:sz w:val="22"/>
                <w:szCs w:val="22"/>
              </w:rPr>
              <w:t xml:space="preserve">BK agrees narrowing the definition of a permitted surcharge to include only wholesale fees would prevent PSPs from bundling in fees for ancillary or non-payment related services into the total cost of acceptance.  </w:t>
            </w:r>
            <w:r w:rsidR="003B55B6" w:rsidRPr="00EF2262">
              <w:rPr>
                <w:rFonts w:asciiTheme="minorHAnsi" w:eastAsiaTheme="minorHAnsi" w:hAnsiTheme="minorHAnsi" w:cstheme="minorHAnsi"/>
                <w:sz w:val="22"/>
                <w:szCs w:val="22"/>
              </w:rPr>
              <w:t xml:space="preserve"> </w:t>
            </w:r>
          </w:p>
        </w:tc>
      </w:tr>
      <w:tr w:rsidR="006A7771" w14:paraId="3BED96D3" w14:textId="77777777" w:rsidTr="00480012">
        <w:tc>
          <w:tcPr>
            <w:tcW w:w="8720" w:type="dxa"/>
            <w:shd w:val="clear" w:color="auto" w:fill="EDF7F9"/>
          </w:tcPr>
          <w:p w14:paraId="75FE6820" w14:textId="41E56C61" w:rsidR="006A7771" w:rsidRPr="00841345" w:rsidRDefault="00480012" w:rsidP="00480012">
            <w:pPr>
              <w:pStyle w:val="Default"/>
              <w:spacing w:after="190"/>
              <w:jc w:val="both"/>
              <w:rPr>
                <w:sz w:val="22"/>
                <w:szCs w:val="22"/>
              </w:rPr>
            </w:pPr>
            <w:r>
              <w:rPr>
                <w:sz w:val="22"/>
                <w:szCs w:val="22"/>
              </w:rPr>
              <w:lastRenderedPageBreak/>
              <w:t>Q</w:t>
            </w:r>
            <w:r w:rsidR="00E00B28">
              <w:rPr>
                <w:sz w:val="22"/>
                <w:szCs w:val="22"/>
              </w:rPr>
              <w:t>2</w:t>
            </w:r>
            <w:r w:rsidR="002558DF">
              <w:rPr>
                <w:sz w:val="22"/>
                <w:szCs w:val="22"/>
              </w:rPr>
              <w:t xml:space="preserve"> </w:t>
            </w:r>
            <w:r w:rsidR="00EE0A03">
              <w:rPr>
                <w:sz w:val="22"/>
                <w:szCs w:val="22"/>
              </w:rPr>
              <w:t>(</w:t>
            </w:r>
            <w:r w:rsidR="00EE0A03" w:rsidRPr="00EE0A03">
              <w:rPr>
                <w:sz w:val="22"/>
                <w:szCs w:val="22"/>
              </w:rPr>
              <w:t>Interchange Fees</w:t>
            </w:r>
            <w:r w:rsidR="00EE0A03">
              <w:rPr>
                <w:sz w:val="22"/>
                <w:szCs w:val="22"/>
              </w:rPr>
              <w:t>)</w:t>
            </w:r>
            <w:r>
              <w:rPr>
                <w:sz w:val="22"/>
                <w:szCs w:val="22"/>
              </w:rPr>
              <w:t xml:space="preserve">: </w:t>
            </w:r>
            <w:r w:rsidR="00133D64" w:rsidRPr="00133D64">
              <w:rPr>
                <w:sz w:val="22"/>
                <w:szCs w:val="22"/>
              </w:rPr>
              <w:t>Do the proposed changes to interchange regulation promote the public interest by improving competition and efficiency in the payments system?</w:t>
            </w:r>
            <w:r w:rsidR="00841345">
              <w:rPr>
                <w:sz w:val="22"/>
                <w:szCs w:val="22"/>
              </w:rPr>
              <w:t xml:space="preserve"> </w:t>
            </w:r>
          </w:p>
        </w:tc>
      </w:tr>
      <w:tr w:rsidR="006A7771" w14:paraId="73B08DD2" w14:textId="77777777" w:rsidTr="00480012">
        <w:tc>
          <w:tcPr>
            <w:tcW w:w="8720" w:type="dxa"/>
            <w:shd w:val="clear" w:color="auto" w:fill="92CDDC" w:themeFill="accent5" w:themeFillTint="99"/>
          </w:tcPr>
          <w:p w14:paraId="24BFF897" w14:textId="54F00C5B" w:rsidR="006A7771" w:rsidRPr="00DD1BF1" w:rsidRDefault="006A7771" w:rsidP="00371741">
            <w:pPr>
              <w:pStyle w:val="Default"/>
              <w:rPr>
                <w:sz w:val="22"/>
                <w:szCs w:val="22"/>
              </w:rPr>
            </w:pPr>
            <w:r w:rsidRPr="00DD1BF1">
              <w:rPr>
                <w:b/>
                <w:bCs/>
              </w:rPr>
              <w:t>Feedback</w:t>
            </w:r>
          </w:p>
        </w:tc>
      </w:tr>
      <w:tr w:rsidR="00841345" w14:paraId="74B241D0" w14:textId="77777777" w:rsidTr="00371741">
        <w:tc>
          <w:tcPr>
            <w:tcW w:w="8720" w:type="dxa"/>
          </w:tcPr>
          <w:p w14:paraId="75B387EB" w14:textId="1FAB20CF" w:rsidR="001E3433" w:rsidRPr="00FE789E" w:rsidRDefault="0020201F" w:rsidP="00FE789E">
            <w:pPr>
              <w:pStyle w:val="BodyText"/>
              <w:numPr>
                <w:ilvl w:val="0"/>
                <w:numId w:val="17"/>
              </w:numPr>
              <w:rPr>
                <w:rFonts w:asciiTheme="minorHAnsi" w:hAnsiTheme="minorHAnsi" w:cstheme="minorHAnsi"/>
                <w:sz w:val="22"/>
                <w:szCs w:val="22"/>
              </w:rPr>
            </w:pPr>
            <w:r>
              <w:rPr>
                <w:rFonts w:asciiTheme="minorHAnsi" w:hAnsiTheme="minorHAnsi" w:cstheme="minorHAnsi"/>
                <w:sz w:val="22"/>
                <w:szCs w:val="22"/>
              </w:rPr>
              <w:t>RBA BK agrees that t</w:t>
            </w:r>
            <w:r w:rsidR="001E3433" w:rsidRPr="00FE789E">
              <w:rPr>
                <w:rFonts w:asciiTheme="minorHAnsi" w:hAnsiTheme="minorHAnsi" w:cstheme="minorHAnsi"/>
                <w:sz w:val="22"/>
                <w:szCs w:val="22"/>
              </w:rPr>
              <w:t>he proposed interchange regulations detailed in items 1 to 3 of the Proposal Summary will help reduce the interchange costs for a merchant and allow for an even playing field as it relates to interchange.</w:t>
            </w:r>
          </w:p>
          <w:p w14:paraId="66A073E3" w14:textId="77777777" w:rsidR="004B58F5" w:rsidRPr="001012D0" w:rsidRDefault="001E3433" w:rsidP="00FE789E">
            <w:pPr>
              <w:pStyle w:val="BodyText"/>
              <w:numPr>
                <w:ilvl w:val="0"/>
                <w:numId w:val="17"/>
              </w:numPr>
            </w:pPr>
            <w:r w:rsidRPr="00FE789E">
              <w:rPr>
                <w:rFonts w:asciiTheme="minorHAnsi" w:hAnsiTheme="minorHAnsi" w:cstheme="minorHAnsi"/>
                <w:sz w:val="22"/>
                <w:szCs w:val="22"/>
              </w:rPr>
              <w:t xml:space="preserve">Improved competition and efficiency in the payment system cannot be achieved by addressing interchange alone. </w:t>
            </w:r>
            <w:r w:rsidR="007A3C6B" w:rsidRPr="00FE789E">
              <w:rPr>
                <w:rFonts w:asciiTheme="minorHAnsi" w:hAnsiTheme="minorHAnsi" w:cstheme="minorHAnsi"/>
                <w:sz w:val="22"/>
                <w:szCs w:val="22"/>
              </w:rPr>
              <w:t>There is no transparency of s</w:t>
            </w:r>
            <w:r w:rsidRPr="00FE789E">
              <w:rPr>
                <w:rFonts w:asciiTheme="minorHAnsi" w:hAnsiTheme="minorHAnsi" w:cstheme="minorHAnsi"/>
                <w:sz w:val="22"/>
                <w:szCs w:val="22"/>
              </w:rPr>
              <w:t>cheme fees and acquirer costs</w:t>
            </w:r>
            <w:r w:rsidR="0020201F">
              <w:rPr>
                <w:rFonts w:asciiTheme="minorHAnsi" w:hAnsiTheme="minorHAnsi" w:cstheme="minorHAnsi"/>
                <w:sz w:val="22"/>
                <w:szCs w:val="22"/>
              </w:rPr>
              <w:t>, which we observed have increased since 2017</w:t>
            </w:r>
            <w:r w:rsidR="00DD1BF1" w:rsidRPr="00FE789E">
              <w:rPr>
                <w:rFonts w:asciiTheme="minorHAnsi" w:hAnsiTheme="minorHAnsi" w:cstheme="minorHAnsi"/>
                <w:sz w:val="22"/>
                <w:szCs w:val="22"/>
              </w:rPr>
              <w:t xml:space="preserve">. </w:t>
            </w:r>
          </w:p>
          <w:p w14:paraId="573DB0BE" w14:textId="3E0854D3" w:rsidR="001012D0" w:rsidRPr="007A5C46" w:rsidRDefault="00965F9F" w:rsidP="00FE789E">
            <w:pPr>
              <w:pStyle w:val="BodyText"/>
              <w:numPr>
                <w:ilvl w:val="0"/>
                <w:numId w:val="17"/>
              </w:numPr>
            </w:pPr>
            <w:r>
              <w:rPr>
                <w:rFonts w:asciiTheme="minorHAnsi" w:hAnsiTheme="minorHAnsi" w:cstheme="minorHAnsi"/>
                <w:sz w:val="22"/>
                <w:szCs w:val="22"/>
              </w:rPr>
              <w:t>If</w:t>
            </w:r>
            <w:r w:rsidR="001012D0">
              <w:rPr>
                <w:rFonts w:asciiTheme="minorHAnsi" w:hAnsiTheme="minorHAnsi" w:cstheme="minorHAnsi"/>
                <w:sz w:val="22"/>
                <w:szCs w:val="22"/>
              </w:rPr>
              <w:t xml:space="preserve"> the interchange cap</w:t>
            </w:r>
            <w:r>
              <w:rPr>
                <w:rFonts w:asciiTheme="minorHAnsi" w:hAnsiTheme="minorHAnsi" w:cstheme="minorHAnsi"/>
                <w:sz w:val="22"/>
                <w:szCs w:val="22"/>
              </w:rPr>
              <w:t xml:space="preserve"> is not implemented</w:t>
            </w:r>
            <w:r w:rsidR="001012D0">
              <w:rPr>
                <w:rFonts w:asciiTheme="minorHAnsi" w:hAnsiTheme="minorHAnsi" w:cstheme="minorHAnsi"/>
                <w:sz w:val="22"/>
                <w:szCs w:val="22"/>
              </w:rPr>
              <w:t xml:space="preserve"> initially, there may be a need to consider the impact of the increase in premium card usage on the average cost of acceptance.</w:t>
            </w:r>
          </w:p>
        </w:tc>
      </w:tr>
      <w:tr w:rsidR="00841345" w14:paraId="441AE8D4" w14:textId="77777777" w:rsidTr="00480012">
        <w:tc>
          <w:tcPr>
            <w:tcW w:w="8720" w:type="dxa"/>
            <w:shd w:val="clear" w:color="auto" w:fill="EDF7F9"/>
          </w:tcPr>
          <w:p w14:paraId="2BDFCF28" w14:textId="44C2904C" w:rsidR="00841345" w:rsidRPr="00480012" w:rsidRDefault="00480012" w:rsidP="00AE584A">
            <w:pPr>
              <w:spacing w:after="120"/>
              <w:rPr>
                <w:rFonts w:ascii="Calibri" w:hAnsi="Calibri" w:cs="Calibri"/>
                <w:color w:val="000000"/>
                <w:sz w:val="22"/>
                <w:szCs w:val="22"/>
              </w:rPr>
            </w:pPr>
            <w:r w:rsidRPr="00480012">
              <w:rPr>
                <w:rFonts w:ascii="Calibri" w:hAnsi="Calibri" w:cs="Calibri"/>
                <w:color w:val="000000"/>
                <w:sz w:val="22"/>
                <w:szCs w:val="22"/>
              </w:rPr>
              <w:t>Q</w:t>
            </w:r>
            <w:r w:rsidR="00133D64">
              <w:rPr>
                <w:rFonts w:ascii="Calibri" w:hAnsi="Calibri" w:cs="Calibri"/>
                <w:color w:val="000000"/>
                <w:sz w:val="22"/>
                <w:szCs w:val="22"/>
              </w:rPr>
              <w:t>3</w:t>
            </w:r>
            <w:r w:rsidR="00EE0A03">
              <w:rPr>
                <w:rFonts w:ascii="Calibri" w:hAnsi="Calibri" w:cs="Calibri"/>
                <w:color w:val="000000"/>
                <w:sz w:val="22"/>
                <w:szCs w:val="22"/>
              </w:rPr>
              <w:t xml:space="preserve"> (</w:t>
            </w:r>
            <w:r w:rsidR="00EE0A03" w:rsidRPr="00EE0A03">
              <w:rPr>
                <w:rFonts w:ascii="Calibri" w:hAnsi="Calibri" w:cs="Calibri"/>
                <w:color w:val="000000"/>
                <w:sz w:val="22"/>
                <w:szCs w:val="22"/>
              </w:rPr>
              <w:t>Interchange Fees</w:t>
            </w:r>
            <w:r w:rsidR="00EE0A03">
              <w:rPr>
                <w:rFonts w:ascii="Calibri" w:hAnsi="Calibri" w:cs="Calibri"/>
                <w:color w:val="000000"/>
                <w:sz w:val="22"/>
                <w:szCs w:val="22"/>
              </w:rPr>
              <w:t>)</w:t>
            </w:r>
            <w:r w:rsidRPr="00480012">
              <w:rPr>
                <w:rFonts w:ascii="Calibri" w:hAnsi="Calibri" w:cs="Calibri"/>
                <w:color w:val="000000"/>
                <w:sz w:val="22"/>
                <w:szCs w:val="22"/>
              </w:rPr>
              <w:t xml:space="preserve">: </w:t>
            </w:r>
            <w:r w:rsidR="00133D64" w:rsidRPr="00133D64">
              <w:rPr>
                <w:rFonts w:ascii="Calibri" w:hAnsi="Calibri" w:cs="Calibri"/>
                <w:color w:val="000000"/>
                <w:sz w:val="22"/>
                <w:szCs w:val="22"/>
              </w:rPr>
              <w:t>Are there further considerations for smaller issuers that the RBA should take into account to enhance competition and efficiency in the payments system?</w:t>
            </w:r>
            <w:r w:rsidR="00877046" w:rsidRPr="00480012">
              <w:rPr>
                <w:rFonts w:ascii="Calibri" w:hAnsi="Calibri" w:cs="Calibri"/>
                <w:color w:val="000000"/>
                <w:sz w:val="22"/>
                <w:szCs w:val="22"/>
              </w:rPr>
              <w:t xml:space="preserve"> </w:t>
            </w:r>
          </w:p>
        </w:tc>
      </w:tr>
      <w:tr w:rsidR="00841345" w14:paraId="0889EDDF" w14:textId="77777777" w:rsidTr="00480012">
        <w:tc>
          <w:tcPr>
            <w:tcW w:w="8720" w:type="dxa"/>
            <w:shd w:val="clear" w:color="auto" w:fill="92CDDC" w:themeFill="accent5" w:themeFillTint="99"/>
          </w:tcPr>
          <w:p w14:paraId="5762E8CD" w14:textId="40F607EF" w:rsidR="00841345" w:rsidRDefault="00841345" w:rsidP="00841345">
            <w:pPr>
              <w:pStyle w:val="Default"/>
              <w:rPr>
                <w:sz w:val="22"/>
                <w:szCs w:val="22"/>
              </w:rPr>
            </w:pPr>
            <w:r w:rsidRPr="00AD2616">
              <w:rPr>
                <w:b/>
                <w:bCs/>
              </w:rPr>
              <w:t>Feedback</w:t>
            </w:r>
          </w:p>
        </w:tc>
      </w:tr>
      <w:tr w:rsidR="00841345" w14:paraId="2FB7FB27" w14:textId="77777777" w:rsidTr="00371741">
        <w:tc>
          <w:tcPr>
            <w:tcW w:w="8720" w:type="dxa"/>
          </w:tcPr>
          <w:p w14:paraId="2E773EFB" w14:textId="0737DA3F" w:rsidR="00841345" w:rsidRDefault="0020201F" w:rsidP="008B119A">
            <w:pPr>
              <w:pStyle w:val="BodyText"/>
              <w:numPr>
                <w:ilvl w:val="0"/>
                <w:numId w:val="7"/>
              </w:numPr>
              <w:rPr>
                <w:sz w:val="22"/>
                <w:szCs w:val="22"/>
              </w:rPr>
            </w:pPr>
            <w:r w:rsidRPr="001B2674">
              <w:rPr>
                <w:rFonts w:asciiTheme="minorHAnsi" w:hAnsiTheme="minorHAnsi" w:cstheme="minorHAnsi"/>
                <w:sz w:val="22"/>
                <w:szCs w:val="22"/>
              </w:rPr>
              <w:t>RBA BK has no response here</w:t>
            </w:r>
            <w:r>
              <w:rPr>
                <w:sz w:val="22"/>
                <w:szCs w:val="22"/>
              </w:rPr>
              <w:t>.</w:t>
            </w:r>
          </w:p>
        </w:tc>
      </w:tr>
      <w:tr w:rsidR="00841345" w14:paraId="2A62425F" w14:textId="77777777" w:rsidTr="00480012">
        <w:tc>
          <w:tcPr>
            <w:tcW w:w="8720" w:type="dxa"/>
            <w:shd w:val="clear" w:color="auto" w:fill="EDF7F9"/>
          </w:tcPr>
          <w:p w14:paraId="03F007A7" w14:textId="28CA9570" w:rsidR="00841345" w:rsidRDefault="00480012" w:rsidP="00AE584A">
            <w:pPr>
              <w:pStyle w:val="Default"/>
              <w:spacing w:after="120"/>
              <w:jc w:val="both"/>
              <w:rPr>
                <w:sz w:val="22"/>
                <w:szCs w:val="22"/>
              </w:rPr>
            </w:pPr>
            <w:r>
              <w:rPr>
                <w:sz w:val="22"/>
                <w:szCs w:val="22"/>
              </w:rPr>
              <w:t>Q</w:t>
            </w:r>
            <w:r w:rsidR="00133D64">
              <w:rPr>
                <w:sz w:val="22"/>
                <w:szCs w:val="22"/>
              </w:rPr>
              <w:t>4</w:t>
            </w:r>
            <w:r w:rsidR="00EE0A03">
              <w:rPr>
                <w:sz w:val="22"/>
                <w:szCs w:val="22"/>
              </w:rPr>
              <w:t xml:space="preserve"> (</w:t>
            </w:r>
            <w:r w:rsidR="00EE0A03" w:rsidRPr="00EE0A03">
              <w:rPr>
                <w:sz w:val="22"/>
                <w:szCs w:val="22"/>
              </w:rPr>
              <w:t>Interchange Fees</w:t>
            </w:r>
            <w:r w:rsidR="00EE0A03">
              <w:rPr>
                <w:sz w:val="22"/>
                <w:szCs w:val="22"/>
              </w:rPr>
              <w:t>)</w:t>
            </w:r>
            <w:r>
              <w:rPr>
                <w:sz w:val="22"/>
                <w:szCs w:val="22"/>
              </w:rPr>
              <w:t xml:space="preserve">: </w:t>
            </w:r>
            <w:r w:rsidR="00133D64" w:rsidRPr="00133D64">
              <w:rPr>
                <w:sz w:val="22"/>
                <w:szCs w:val="22"/>
              </w:rPr>
              <w:t>Do the proposed changes to the net compensation provisions effectively achieve the RBA’s objectives and promote the public interest? Will Australian issuers sponsored by overseas entities be able to comply with the changes?</w:t>
            </w:r>
            <w:r w:rsidR="00877046">
              <w:rPr>
                <w:sz w:val="22"/>
                <w:szCs w:val="22"/>
              </w:rPr>
              <w:t xml:space="preserve"> </w:t>
            </w:r>
          </w:p>
        </w:tc>
      </w:tr>
      <w:tr w:rsidR="00841345" w14:paraId="0976D9F9" w14:textId="77777777" w:rsidTr="00480012">
        <w:tc>
          <w:tcPr>
            <w:tcW w:w="8720" w:type="dxa"/>
            <w:shd w:val="clear" w:color="auto" w:fill="92CDDC" w:themeFill="accent5" w:themeFillTint="99"/>
          </w:tcPr>
          <w:p w14:paraId="169912E7" w14:textId="13A59E14" w:rsidR="00841345" w:rsidRDefault="00841345" w:rsidP="00841345">
            <w:pPr>
              <w:pStyle w:val="Default"/>
              <w:rPr>
                <w:sz w:val="22"/>
                <w:szCs w:val="22"/>
              </w:rPr>
            </w:pPr>
            <w:r w:rsidRPr="00AD2616">
              <w:rPr>
                <w:b/>
                <w:bCs/>
              </w:rPr>
              <w:t>Feedback</w:t>
            </w:r>
          </w:p>
        </w:tc>
      </w:tr>
      <w:tr w:rsidR="00841345" w14:paraId="7E418440" w14:textId="77777777" w:rsidTr="00371741">
        <w:tc>
          <w:tcPr>
            <w:tcW w:w="8720" w:type="dxa"/>
          </w:tcPr>
          <w:p w14:paraId="1CCF4617" w14:textId="77777777" w:rsidR="00841345" w:rsidRPr="00DD44C0" w:rsidRDefault="0020201F" w:rsidP="008B119A">
            <w:pPr>
              <w:pStyle w:val="BodyText"/>
              <w:numPr>
                <w:ilvl w:val="0"/>
                <w:numId w:val="7"/>
              </w:numPr>
              <w:rPr>
                <w:rFonts w:asciiTheme="minorHAnsi" w:hAnsiTheme="minorHAnsi" w:cstheme="minorHAnsi"/>
                <w:sz w:val="22"/>
                <w:szCs w:val="22"/>
              </w:rPr>
            </w:pPr>
            <w:r w:rsidRPr="001B2674">
              <w:rPr>
                <w:rFonts w:asciiTheme="minorHAnsi" w:hAnsiTheme="minorHAnsi" w:cstheme="minorHAnsi"/>
                <w:sz w:val="22"/>
                <w:szCs w:val="22"/>
              </w:rPr>
              <w:t>RBA BK has no response here</w:t>
            </w:r>
            <w:r w:rsidRPr="00A851E7">
              <w:rPr>
                <w:rFonts w:cstheme="minorHAnsi"/>
                <w:sz w:val="22"/>
                <w:szCs w:val="22"/>
              </w:rPr>
              <w:t>.</w:t>
            </w:r>
          </w:p>
          <w:p w14:paraId="37FF2101" w14:textId="77777777" w:rsidR="00DD44C0" w:rsidRDefault="00DD44C0" w:rsidP="00DD44C0">
            <w:pPr>
              <w:pStyle w:val="BodyText"/>
              <w:rPr>
                <w:rFonts w:asciiTheme="minorHAnsi" w:hAnsiTheme="minorHAnsi" w:cstheme="minorHAnsi"/>
                <w:sz w:val="22"/>
                <w:szCs w:val="22"/>
              </w:rPr>
            </w:pPr>
          </w:p>
          <w:p w14:paraId="4DC66DB6" w14:textId="77777777" w:rsidR="00DD44C0" w:rsidRDefault="00DD44C0" w:rsidP="00DD44C0">
            <w:pPr>
              <w:pStyle w:val="BodyText"/>
              <w:rPr>
                <w:rFonts w:asciiTheme="minorHAnsi" w:hAnsiTheme="minorHAnsi" w:cstheme="minorHAnsi"/>
                <w:sz w:val="22"/>
                <w:szCs w:val="22"/>
              </w:rPr>
            </w:pPr>
          </w:p>
          <w:p w14:paraId="4E3C10D7" w14:textId="77777777" w:rsidR="00DD44C0" w:rsidRDefault="00DD44C0" w:rsidP="00DD44C0">
            <w:pPr>
              <w:pStyle w:val="BodyText"/>
              <w:rPr>
                <w:rFonts w:asciiTheme="minorHAnsi" w:hAnsiTheme="minorHAnsi" w:cstheme="minorHAnsi"/>
                <w:sz w:val="22"/>
                <w:szCs w:val="22"/>
              </w:rPr>
            </w:pPr>
          </w:p>
          <w:p w14:paraId="2F94E5D2" w14:textId="51B6ED2A" w:rsidR="00DD44C0" w:rsidRPr="009239D0" w:rsidRDefault="00DD44C0" w:rsidP="00DD44C0">
            <w:pPr>
              <w:pStyle w:val="BodyText"/>
              <w:rPr>
                <w:rFonts w:asciiTheme="minorHAnsi" w:hAnsiTheme="minorHAnsi" w:cstheme="minorHAnsi"/>
                <w:sz w:val="22"/>
                <w:szCs w:val="22"/>
              </w:rPr>
            </w:pPr>
          </w:p>
        </w:tc>
      </w:tr>
      <w:tr w:rsidR="00133D64" w14:paraId="6BEAB69D" w14:textId="77777777" w:rsidTr="00366CEE">
        <w:tc>
          <w:tcPr>
            <w:tcW w:w="8720" w:type="dxa"/>
            <w:shd w:val="clear" w:color="auto" w:fill="EDF7F9"/>
          </w:tcPr>
          <w:p w14:paraId="43C80814" w14:textId="215ADE10" w:rsidR="00133D64" w:rsidRDefault="00133D64" w:rsidP="00366CEE">
            <w:pPr>
              <w:pStyle w:val="Default"/>
              <w:spacing w:after="120"/>
              <w:jc w:val="both"/>
              <w:rPr>
                <w:sz w:val="22"/>
                <w:szCs w:val="22"/>
              </w:rPr>
            </w:pPr>
            <w:r>
              <w:rPr>
                <w:sz w:val="22"/>
                <w:szCs w:val="22"/>
              </w:rPr>
              <w:lastRenderedPageBreak/>
              <w:t>Q5</w:t>
            </w:r>
            <w:r w:rsidR="00EE0A03">
              <w:rPr>
                <w:sz w:val="22"/>
                <w:szCs w:val="22"/>
              </w:rPr>
              <w:t xml:space="preserve"> (</w:t>
            </w:r>
            <w:r w:rsidR="00EE0A03" w:rsidRPr="00EE0A03">
              <w:rPr>
                <w:sz w:val="22"/>
                <w:szCs w:val="22"/>
              </w:rPr>
              <w:t>Transparency of Wholesale Fees</w:t>
            </w:r>
            <w:r w:rsidR="00EE0A03">
              <w:rPr>
                <w:sz w:val="22"/>
                <w:szCs w:val="22"/>
              </w:rPr>
              <w:t>)</w:t>
            </w:r>
            <w:r>
              <w:rPr>
                <w:sz w:val="22"/>
                <w:szCs w:val="22"/>
              </w:rPr>
              <w:t xml:space="preserve">: </w:t>
            </w:r>
            <w:r w:rsidRPr="00133D64">
              <w:rPr>
                <w:sz w:val="22"/>
                <w:szCs w:val="22"/>
              </w:rPr>
              <w:t>Does the proposal for card networks to publish aggregate wholesale fee data achieve the RBA’s objectives of improving competition and efficiency among the card networks? Does the proposal adequately balance the information needs of the market with commercial concerns?</w:t>
            </w:r>
            <w:r>
              <w:rPr>
                <w:sz w:val="22"/>
                <w:szCs w:val="22"/>
              </w:rPr>
              <w:t xml:space="preserve"> </w:t>
            </w:r>
          </w:p>
        </w:tc>
      </w:tr>
      <w:tr w:rsidR="00133D64" w14:paraId="2D5A3188" w14:textId="77777777" w:rsidTr="00366CEE">
        <w:tc>
          <w:tcPr>
            <w:tcW w:w="8720" w:type="dxa"/>
            <w:shd w:val="clear" w:color="auto" w:fill="92CDDC" w:themeFill="accent5" w:themeFillTint="99"/>
          </w:tcPr>
          <w:p w14:paraId="266C8C97" w14:textId="77777777" w:rsidR="00133D64" w:rsidRDefault="00133D64" w:rsidP="00366CEE">
            <w:pPr>
              <w:pStyle w:val="Default"/>
              <w:rPr>
                <w:sz w:val="22"/>
                <w:szCs w:val="22"/>
              </w:rPr>
            </w:pPr>
            <w:r w:rsidRPr="00AD2616">
              <w:rPr>
                <w:b/>
                <w:bCs/>
              </w:rPr>
              <w:t>Feedback</w:t>
            </w:r>
          </w:p>
        </w:tc>
      </w:tr>
      <w:tr w:rsidR="005B0B57" w14:paraId="2424DEDD" w14:textId="77777777" w:rsidTr="006B641D">
        <w:trPr>
          <w:trHeight w:val="2259"/>
        </w:trPr>
        <w:tc>
          <w:tcPr>
            <w:tcW w:w="8720" w:type="dxa"/>
          </w:tcPr>
          <w:p w14:paraId="328A7B92" w14:textId="798CA330" w:rsidR="001B6FE7" w:rsidRPr="002D2BC2" w:rsidRDefault="00BE573D" w:rsidP="008B119A">
            <w:pPr>
              <w:pStyle w:val="BodyText"/>
              <w:numPr>
                <w:ilvl w:val="0"/>
                <w:numId w:val="9"/>
              </w:numPr>
              <w:rPr>
                <w:rFonts w:asciiTheme="minorHAnsi" w:hAnsiTheme="minorHAnsi" w:cstheme="minorHAnsi"/>
                <w:color w:val="000000"/>
                <w:sz w:val="22"/>
                <w:szCs w:val="22"/>
              </w:rPr>
            </w:pPr>
            <w:r>
              <w:rPr>
                <w:rFonts w:asciiTheme="minorHAnsi" w:hAnsiTheme="minorHAnsi" w:cstheme="minorHAnsi"/>
                <w:color w:val="000000"/>
                <w:sz w:val="22"/>
                <w:szCs w:val="22"/>
              </w:rPr>
              <w:t xml:space="preserve">RBA </w:t>
            </w:r>
            <w:r w:rsidR="001B6FE7" w:rsidRPr="002D2BC2">
              <w:rPr>
                <w:rFonts w:asciiTheme="minorHAnsi" w:hAnsiTheme="minorHAnsi" w:cstheme="minorHAnsi"/>
                <w:color w:val="000000"/>
                <w:sz w:val="22"/>
                <w:szCs w:val="22"/>
              </w:rPr>
              <w:t>BK supports the proposal to improve transparency through the publication of aggregate wholesale fee data. However, aggregate data alone may not be sufficient to drive meaningful competition or efficiency, particularly for merchants who face complex and varied fee structures.</w:t>
            </w:r>
          </w:p>
          <w:p w14:paraId="05B36576" w14:textId="7C4D376D" w:rsidR="001B6FE7" w:rsidRPr="002D2BC2" w:rsidRDefault="00BE573D" w:rsidP="008B119A">
            <w:pPr>
              <w:pStyle w:val="BodyText"/>
              <w:numPr>
                <w:ilvl w:val="0"/>
                <w:numId w:val="9"/>
              </w:numPr>
              <w:rPr>
                <w:rFonts w:asciiTheme="minorHAnsi" w:hAnsiTheme="minorHAnsi" w:cstheme="minorHAnsi"/>
                <w:color w:val="000000"/>
                <w:sz w:val="22"/>
                <w:szCs w:val="22"/>
              </w:rPr>
            </w:pPr>
            <w:r>
              <w:rPr>
                <w:rFonts w:asciiTheme="minorHAnsi" w:hAnsiTheme="minorHAnsi" w:cstheme="minorHAnsi"/>
                <w:color w:val="000000"/>
                <w:sz w:val="22"/>
                <w:szCs w:val="22"/>
              </w:rPr>
              <w:t xml:space="preserve">RBA </w:t>
            </w:r>
            <w:r w:rsidR="008D07E2" w:rsidRPr="002D2BC2">
              <w:rPr>
                <w:rFonts w:asciiTheme="minorHAnsi" w:hAnsiTheme="minorHAnsi" w:cstheme="minorHAnsi"/>
                <w:color w:val="000000"/>
                <w:sz w:val="22"/>
                <w:szCs w:val="22"/>
              </w:rPr>
              <w:t>BK’s customers</w:t>
            </w:r>
            <w:r w:rsidR="001B6FE7" w:rsidRPr="002D2BC2">
              <w:rPr>
                <w:rFonts w:asciiTheme="minorHAnsi" w:hAnsiTheme="minorHAnsi" w:cstheme="minorHAnsi"/>
                <w:color w:val="000000"/>
                <w:sz w:val="22"/>
                <w:szCs w:val="22"/>
              </w:rPr>
              <w:t xml:space="preserve"> are often unable to build </w:t>
            </w:r>
            <w:r w:rsidR="008D07E2" w:rsidRPr="002D2BC2">
              <w:rPr>
                <w:rFonts w:asciiTheme="minorHAnsi" w:hAnsiTheme="minorHAnsi" w:cstheme="minorHAnsi"/>
                <w:color w:val="000000"/>
                <w:sz w:val="22"/>
                <w:szCs w:val="22"/>
              </w:rPr>
              <w:t>the cost of acceptance</w:t>
            </w:r>
            <w:r w:rsidR="001B6FE7" w:rsidRPr="002D2BC2">
              <w:rPr>
                <w:rFonts w:asciiTheme="minorHAnsi" w:hAnsiTheme="minorHAnsi" w:cstheme="minorHAnsi"/>
                <w:color w:val="000000"/>
                <w:sz w:val="22"/>
                <w:szCs w:val="22"/>
              </w:rPr>
              <w:t xml:space="preserve"> into their pricing models, even with capped fees. Without detailed, disaggregated data, it remains difficult to assess the true cost drivers and identify opportunities for cost reduction. This is especially important given that </w:t>
            </w:r>
            <w:r w:rsidR="008D07E2" w:rsidRPr="002D2BC2">
              <w:rPr>
                <w:rFonts w:asciiTheme="minorHAnsi" w:hAnsiTheme="minorHAnsi" w:cstheme="minorHAnsi"/>
                <w:color w:val="000000"/>
                <w:sz w:val="22"/>
                <w:szCs w:val="22"/>
              </w:rPr>
              <w:t>the a</w:t>
            </w:r>
            <w:r w:rsidR="001B6FE7" w:rsidRPr="002D2BC2">
              <w:rPr>
                <w:rFonts w:asciiTheme="minorHAnsi" w:hAnsiTheme="minorHAnsi" w:cstheme="minorHAnsi"/>
                <w:color w:val="000000"/>
                <w:sz w:val="22"/>
                <w:szCs w:val="22"/>
              </w:rPr>
              <w:t xml:space="preserve">verage </w:t>
            </w:r>
            <w:r w:rsidR="008D07E2" w:rsidRPr="002D2BC2">
              <w:rPr>
                <w:rFonts w:asciiTheme="minorHAnsi" w:hAnsiTheme="minorHAnsi" w:cstheme="minorHAnsi"/>
                <w:color w:val="000000"/>
                <w:sz w:val="22"/>
                <w:szCs w:val="22"/>
              </w:rPr>
              <w:t>c</w:t>
            </w:r>
            <w:r w:rsidR="001B6FE7" w:rsidRPr="002D2BC2">
              <w:rPr>
                <w:rFonts w:asciiTheme="minorHAnsi" w:hAnsiTheme="minorHAnsi" w:cstheme="minorHAnsi"/>
                <w:color w:val="000000"/>
                <w:sz w:val="22"/>
                <w:szCs w:val="22"/>
              </w:rPr>
              <w:t xml:space="preserve">ost of </w:t>
            </w:r>
            <w:r w:rsidR="008D07E2" w:rsidRPr="002D2BC2">
              <w:rPr>
                <w:rFonts w:asciiTheme="minorHAnsi" w:hAnsiTheme="minorHAnsi" w:cstheme="minorHAnsi"/>
                <w:color w:val="000000"/>
                <w:sz w:val="22"/>
                <w:szCs w:val="22"/>
              </w:rPr>
              <w:t>a</w:t>
            </w:r>
            <w:r w:rsidR="001B6FE7" w:rsidRPr="002D2BC2">
              <w:rPr>
                <w:rFonts w:asciiTheme="minorHAnsi" w:hAnsiTheme="minorHAnsi" w:cstheme="minorHAnsi"/>
                <w:color w:val="000000"/>
                <w:sz w:val="22"/>
                <w:szCs w:val="22"/>
              </w:rPr>
              <w:t>cceptance has increased over time, despite earlier reforms.</w:t>
            </w:r>
          </w:p>
          <w:p w14:paraId="4E48160A" w14:textId="0DF54B6B" w:rsidR="001B6FE7" w:rsidRPr="002D2BC2" w:rsidRDefault="001B6FE7" w:rsidP="008B119A">
            <w:pPr>
              <w:pStyle w:val="BodyText"/>
              <w:numPr>
                <w:ilvl w:val="0"/>
                <w:numId w:val="9"/>
              </w:numPr>
              <w:rPr>
                <w:rFonts w:asciiTheme="minorHAnsi" w:hAnsiTheme="minorHAnsi" w:cstheme="minorHAnsi"/>
                <w:color w:val="000000"/>
                <w:sz w:val="22"/>
                <w:szCs w:val="22"/>
              </w:rPr>
            </w:pPr>
            <w:r w:rsidRPr="002D2BC2">
              <w:rPr>
                <w:rFonts w:asciiTheme="minorHAnsi" w:hAnsiTheme="minorHAnsi" w:cstheme="minorHAnsi"/>
                <w:color w:val="000000"/>
                <w:sz w:val="22"/>
                <w:szCs w:val="22"/>
              </w:rPr>
              <w:t>Card usage continues to grow, particularly in the online space, suggesting that consumers</w:t>
            </w:r>
            <w:r w:rsidR="008D07E2" w:rsidRPr="002D2BC2">
              <w:rPr>
                <w:rFonts w:asciiTheme="minorHAnsi" w:hAnsiTheme="minorHAnsi" w:cstheme="minorHAnsi"/>
                <w:color w:val="000000"/>
                <w:sz w:val="22"/>
                <w:szCs w:val="22"/>
              </w:rPr>
              <w:t>, businesses</w:t>
            </w:r>
            <w:r w:rsidRPr="002D2BC2">
              <w:rPr>
                <w:rFonts w:asciiTheme="minorHAnsi" w:hAnsiTheme="minorHAnsi" w:cstheme="minorHAnsi"/>
                <w:color w:val="000000"/>
                <w:sz w:val="22"/>
                <w:szCs w:val="22"/>
              </w:rPr>
              <w:t xml:space="preserve"> and corporate payers value the convenience</w:t>
            </w:r>
            <w:r w:rsidR="009265DD">
              <w:rPr>
                <w:rFonts w:asciiTheme="minorHAnsi" w:hAnsiTheme="minorHAnsi" w:cstheme="minorHAnsi"/>
                <w:color w:val="000000"/>
                <w:sz w:val="22"/>
                <w:szCs w:val="22"/>
              </w:rPr>
              <w:t xml:space="preserve"> </w:t>
            </w:r>
            <w:r w:rsidR="0020201F">
              <w:rPr>
                <w:rFonts w:asciiTheme="minorHAnsi" w:hAnsiTheme="minorHAnsi" w:cstheme="minorHAnsi"/>
                <w:color w:val="000000"/>
                <w:sz w:val="22"/>
                <w:szCs w:val="22"/>
              </w:rPr>
              <w:t xml:space="preserve">or other ancillary benefits </w:t>
            </w:r>
            <w:r w:rsidRPr="002D2BC2">
              <w:rPr>
                <w:rFonts w:asciiTheme="minorHAnsi" w:hAnsiTheme="minorHAnsi" w:cstheme="minorHAnsi"/>
                <w:color w:val="000000"/>
                <w:sz w:val="22"/>
                <w:szCs w:val="22"/>
              </w:rPr>
              <w:t>even when surcharges apply</w:t>
            </w:r>
            <w:r w:rsidR="0020201F">
              <w:rPr>
                <w:rFonts w:asciiTheme="minorHAnsi" w:hAnsiTheme="minorHAnsi" w:cstheme="minorHAnsi"/>
                <w:color w:val="000000"/>
                <w:sz w:val="22"/>
                <w:szCs w:val="22"/>
              </w:rPr>
              <w:t xml:space="preserve"> despite surcharge-free payment options being available</w:t>
            </w:r>
            <w:r w:rsidRPr="002D2BC2">
              <w:rPr>
                <w:rFonts w:asciiTheme="minorHAnsi" w:hAnsiTheme="minorHAnsi" w:cstheme="minorHAnsi"/>
                <w:color w:val="000000"/>
                <w:sz w:val="22"/>
                <w:szCs w:val="22"/>
              </w:rPr>
              <w:t>. This reinforces the need for clear, comparable fee data to support informed decision-making and maintain service delivery in digital channels.</w:t>
            </w:r>
          </w:p>
          <w:p w14:paraId="3E8263FC" w14:textId="77777777" w:rsidR="001B6FE7" w:rsidRPr="002D2BC2" w:rsidRDefault="001B6FE7" w:rsidP="008B119A">
            <w:pPr>
              <w:pStyle w:val="BodyText"/>
              <w:numPr>
                <w:ilvl w:val="0"/>
                <w:numId w:val="9"/>
              </w:numPr>
              <w:rPr>
                <w:rFonts w:asciiTheme="minorHAnsi" w:hAnsiTheme="minorHAnsi" w:cstheme="minorHAnsi"/>
                <w:color w:val="000000"/>
                <w:sz w:val="22"/>
                <w:szCs w:val="22"/>
              </w:rPr>
            </w:pPr>
            <w:r w:rsidRPr="002D2BC2">
              <w:rPr>
                <w:rFonts w:asciiTheme="minorHAnsi" w:hAnsiTheme="minorHAnsi" w:cstheme="minorHAnsi"/>
                <w:color w:val="000000"/>
                <w:sz w:val="22"/>
                <w:szCs w:val="22"/>
              </w:rPr>
              <w:t>While we understand the need to balance transparency with commercial confidentiality, we believe the current proposal could be strengthened by:</w:t>
            </w:r>
          </w:p>
          <w:p w14:paraId="2B429908" w14:textId="77777777" w:rsidR="001B6FE7" w:rsidRPr="002D2BC2" w:rsidRDefault="001B6FE7" w:rsidP="008B119A">
            <w:pPr>
              <w:pStyle w:val="BodyText"/>
              <w:numPr>
                <w:ilvl w:val="0"/>
                <w:numId w:val="10"/>
              </w:numPr>
              <w:rPr>
                <w:rFonts w:asciiTheme="minorHAnsi" w:hAnsiTheme="minorHAnsi" w:cstheme="minorHAnsi"/>
                <w:color w:val="000000"/>
                <w:sz w:val="22"/>
                <w:szCs w:val="22"/>
              </w:rPr>
            </w:pPr>
            <w:r w:rsidRPr="002D2BC2">
              <w:rPr>
                <w:rFonts w:asciiTheme="minorHAnsi" w:hAnsiTheme="minorHAnsi" w:cstheme="minorHAnsi"/>
                <w:color w:val="000000"/>
                <w:sz w:val="22"/>
                <w:szCs w:val="22"/>
              </w:rPr>
              <w:t>Requiring more granular breakdowns of fee categories (e.g., scheme fees, cross-border fees).</w:t>
            </w:r>
          </w:p>
          <w:p w14:paraId="34F5A39F" w14:textId="77777777" w:rsidR="001B6FE7" w:rsidRPr="002D2BC2" w:rsidRDefault="001B6FE7" w:rsidP="008B119A">
            <w:pPr>
              <w:pStyle w:val="BodyText"/>
              <w:numPr>
                <w:ilvl w:val="0"/>
                <w:numId w:val="10"/>
              </w:numPr>
              <w:rPr>
                <w:rFonts w:asciiTheme="minorHAnsi" w:hAnsiTheme="minorHAnsi" w:cstheme="minorHAnsi"/>
                <w:color w:val="000000"/>
                <w:sz w:val="22"/>
                <w:szCs w:val="22"/>
              </w:rPr>
            </w:pPr>
            <w:r w:rsidRPr="002D2BC2">
              <w:rPr>
                <w:rFonts w:asciiTheme="minorHAnsi" w:hAnsiTheme="minorHAnsi" w:cstheme="minorHAnsi"/>
                <w:color w:val="000000"/>
                <w:sz w:val="22"/>
                <w:szCs w:val="22"/>
              </w:rPr>
              <w:t>Publishing trend data over time to track the impact of reforms.</w:t>
            </w:r>
          </w:p>
          <w:p w14:paraId="782AFC7A" w14:textId="2E20F1F8" w:rsidR="005B0B57" w:rsidRPr="006B641D" w:rsidRDefault="001B6FE7" w:rsidP="006B641D">
            <w:pPr>
              <w:pStyle w:val="BodyText"/>
              <w:numPr>
                <w:ilvl w:val="0"/>
                <w:numId w:val="10"/>
              </w:numPr>
              <w:rPr>
                <w:rFonts w:ascii="Calibri" w:hAnsi="Calibri" w:cs="Calibri"/>
                <w:color w:val="000000"/>
                <w:sz w:val="22"/>
                <w:szCs w:val="22"/>
              </w:rPr>
            </w:pPr>
            <w:r w:rsidRPr="002D2BC2">
              <w:rPr>
                <w:rFonts w:asciiTheme="minorHAnsi" w:hAnsiTheme="minorHAnsi" w:cstheme="minorHAnsi"/>
                <w:color w:val="000000"/>
                <w:sz w:val="22"/>
                <w:szCs w:val="22"/>
              </w:rPr>
              <w:t xml:space="preserve">Ensuring that </w:t>
            </w:r>
            <w:r w:rsidR="00B962AB" w:rsidRPr="002D2BC2">
              <w:rPr>
                <w:rFonts w:asciiTheme="minorHAnsi" w:hAnsiTheme="minorHAnsi" w:cstheme="minorHAnsi"/>
                <w:color w:val="000000"/>
                <w:sz w:val="22"/>
                <w:szCs w:val="22"/>
              </w:rPr>
              <w:t>industry</w:t>
            </w:r>
            <w:r w:rsidRPr="002D2BC2">
              <w:rPr>
                <w:rFonts w:asciiTheme="minorHAnsi" w:hAnsiTheme="minorHAnsi" w:cstheme="minorHAnsi"/>
                <w:color w:val="000000"/>
                <w:sz w:val="22"/>
                <w:szCs w:val="22"/>
              </w:rPr>
              <w:t xml:space="preserve"> stakeholders are consulted on data formats and usability.</w:t>
            </w:r>
          </w:p>
        </w:tc>
      </w:tr>
      <w:tr w:rsidR="005B0B57" w14:paraId="1D7465E6" w14:textId="77777777" w:rsidTr="00366CEE">
        <w:tc>
          <w:tcPr>
            <w:tcW w:w="8720" w:type="dxa"/>
            <w:shd w:val="clear" w:color="auto" w:fill="EDF7F9"/>
          </w:tcPr>
          <w:p w14:paraId="310B66D2" w14:textId="506809FE" w:rsidR="005B0B57" w:rsidRDefault="005B0B57" w:rsidP="005B0B57">
            <w:pPr>
              <w:pStyle w:val="Default"/>
              <w:spacing w:after="120"/>
              <w:jc w:val="both"/>
              <w:rPr>
                <w:sz w:val="22"/>
                <w:szCs w:val="22"/>
              </w:rPr>
            </w:pPr>
            <w:r>
              <w:rPr>
                <w:sz w:val="22"/>
                <w:szCs w:val="22"/>
              </w:rPr>
              <w:t>Q6 (</w:t>
            </w:r>
            <w:r w:rsidRPr="00EE0A03">
              <w:rPr>
                <w:sz w:val="22"/>
                <w:szCs w:val="22"/>
              </w:rPr>
              <w:t>Transparency of Wholesale Fees</w:t>
            </w:r>
            <w:r>
              <w:rPr>
                <w:sz w:val="22"/>
                <w:szCs w:val="22"/>
              </w:rPr>
              <w:t xml:space="preserve">): </w:t>
            </w:r>
            <w:r w:rsidRPr="00133D64">
              <w:rPr>
                <w:sz w:val="22"/>
                <w:szCs w:val="22"/>
              </w:rPr>
              <w:t>Does the proposal for card networks to work with industry to reduce the complexity and improve the transparency of their scheme fee schedules enhance the competitiveness and efficiency of the card payments system?</w:t>
            </w:r>
            <w:r>
              <w:rPr>
                <w:sz w:val="22"/>
                <w:szCs w:val="22"/>
              </w:rPr>
              <w:t xml:space="preserve"> </w:t>
            </w:r>
          </w:p>
        </w:tc>
      </w:tr>
      <w:tr w:rsidR="005B0B57" w14:paraId="69F93D5D" w14:textId="77777777" w:rsidTr="00366CEE">
        <w:tc>
          <w:tcPr>
            <w:tcW w:w="8720" w:type="dxa"/>
            <w:shd w:val="clear" w:color="auto" w:fill="92CDDC" w:themeFill="accent5" w:themeFillTint="99"/>
          </w:tcPr>
          <w:p w14:paraId="1575F9B4" w14:textId="77777777" w:rsidR="005B0B57" w:rsidRDefault="005B0B57" w:rsidP="005B0B57">
            <w:pPr>
              <w:pStyle w:val="Default"/>
              <w:rPr>
                <w:sz w:val="22"/>
                <w:szCs w:val="22"/>
              </w:rPr>
            </w:pPr>
            <w:r w:rsidRPr="00AD2616">
              <w:rPr>
                <w:b/>
                <w:bCs/>
              </w:rPr>
              <w:t>Feedback</w:t>
            </w:r>
          </w:p>
        </w:tc>
      </w:tr>
      <w:tr w:rsidR="001B6FE7" w14:paraId="2A04D80E" w14:textId="77777777" w:rsidTr="00366CEE">
        <w:tc>
          <w:tcPr>
            <w:tcW w:w="8720" w:type="dxa"/>
          </w:tcPr>
          <w:p w14:paraId="6459B46E" w14:textId="7F772794" w:rsidR="001B6FE7" w:rsidRDefault="00BE573D" w:rsidP="008B119A">
            <w:pPr>
              <w:pStyle w:val="BodyText"/>
              <w:numPr>
                <w:ilvl w:val="0"/>
                <w:numId w:val="12"/>
              </w:numPr>
              <w:ind w:left="720"/>
              <w:rPr>
                <w:rFonts w:asciiTheme="minorHAnsi" w:hAnsiTheme="minorHAnsi" w:cstheme="minorHAnsi"/>
                <w:color w:val="000000"/>
                <w:sz w:val="22"/>
                <w:szCs w:val="22"/>
              </w:rPr>
            </w:pPr>
            <w:r>
              <w:rPr>
                <w:rFonts w:asciiTheme="minorHAnsi" w:hAnsiTheme="minorHAnsi" w:cstheme="minorHAnsi"/>
                <w:color w:val="000000"/>
                <w:sz w:val="22"/>
                <w:szCs w:val="22"/>
              </w:rPr>
              <w:t xml:space="preserve">RBA </w:t>
            </w:r>
            <w:r w:rsidR="001B6FE7" w:rsidRPr="002D2BC2">
              <w:rPr>
                <w:rFonts w:asciiTheme="minorHAnsi" w:hAnsiTheme="minorHAnsi" w:cstheme="minorHAnsi"/>
                <w:color w:val="000000"/>
                <w:sz w:val="22"/>
                <w:szCs w:val="22"/>
              </w:rPr>
              <w:t xml:space="preserve">BK supports the proposal noting that the current complexity of scheme fee schedules is a significant barrier to transparency and efficiency. </w:t>
            </w:r>
            <w:r w:rsidR="00CB2C1D">
              <w:rPr>
                <w:rFonts w:asciiTheme="minorHAnsi" w:hAnsiTheme="minorHAnsi" w:cstheme="minorHAnsi"/>
                <w:color w:val="000000"/>
                <w:sz w:val="22"/>
                <w:szCs w:val="22"/>
              </w:rPr>
              <w:t xml:space="preserve">The current </w:t>
            </w:r>
            <w:r w:rsidR="001B6FE7" w:rsidRPr="002D2BC2">
              <w:rPr>
                <w:rFonts w:asciiTheme="minorHAnsi" w:hAnsiTheme="minorHAnsi" w:cstheme="minorHAnsi"/>
                <w:color w:val="000000"/>
                <w:sz w:val="22"/>
                <w:szCs w:val="22"/>
              </w:rPr>
              <w:t>complexity makes it difficult to forecast costs, manage budgets, and explain fees to payers.</w:t>
            </w:r>
          </w:p>
          <w:p w14:paraId="19B403DC" w14:textId="6C86DF04" w:rsidR="001B6FE7" w:rsidRPr="006B641D" w:rsidRDefault="005B6251" w:rsidP="006B641D">
            <w:pPr>
              <w:pStyle w:val="BodyText"/>
              <w:numPr>
                <w:ilvl w:val="0"/>
                <w:numId w:val="12"/>
              </w:numPr>
              <w:ind w:left="720"/>
              <w:rPr>
                <w:rFonts w:ascii="Calibri" w:hAnsi="Calibri" w:cs="Calibri"/>
                <w:color w:val="000000"/>
                <w:sz w:val="22"/>
                <w:szCs w:val="22"/>
              </w:rPr>
            </w:pPr>
            <w:r>
              <w:rPr>
                <w:rFonts w:asciiTheme="minorHAnsi" w:hAnsiTheme="minorHAnsi" w:cstheme="minorHAnsi"/>
                <w:color w:val="000000"/>
                <w:sz w:val="22"/>
                <w:szCs w:val="22"/>
              </w:rPr>
              <w:t>Fee</w:t>
            </w:r>
            <w:r w:rsidRPr="005B6251">
              <w:rPr>
                <w:rFonts w:asciiTheme="minorHAnsi" w:hAnsiTheme="minorHAnsi" w:cstheme="minorHAnsi"/>
                <w:color w:val="000000"/>
                <w:sz w:val="22"/>
                <w:szCs w:val="22"/>
              </w:rPr>
              <w:t xml:space="preserve"> structures must still accommodate diverse transaction types and merchant profiles. A balance must be struck between clarity and flexibility.</w:t>
            </w:r>
          </w:p>
        </w:tc>
      </w:tr>
      <w:tr w:rsidR="005B0B57" w14:paraId="2C4CD727" w14:textId="77777777" w:rsidTr="00366CEE">
        <w:tc>
          <w:tcPr>
            <w:tcW w:w="8720" w:type="dxa"/>
            <w:shd w:val="clear" w:color="auto" w:fill="EDF7F9"/>
          </w:tcPr>
          <w:p w14:paraId="66D8F571" w14:textId="4981C404" w:rsidR="005B0B57" w:rsidRDefault="005B0B57" w:rsidP="005B0B57">
            <w:pPr>
              <w:pStyle w:val="Default"/>
              <w:spacing w:after="120"/>
              <w:jc w:val="both"/>
              <w:rPr>
                <w:sz w:val="22"/>
                <w:szCs w:val="22"/>
              </w:rPr>
            </w:pPr>
            <w:r>
              <w:rPr>
                <w:sz w:val="22"/>
                <w:szCs w:val="22"/>
              </w:rPr>
              <w:t>Q7 (</w:t>
            </w:r>
            <w:r w:rsidRPr="00EE0A03">
              <w:rPr>
                <w:sz w:val="22"/>
                <w:szCs w:val="22"/>
              </w:rPr>
              <w:t>Scheme Fees</w:t>
            </w:r>
            <w:r>
              <w:rPr>
                <w:sz w:val="22"/>
                <w:szCs w:val="22"/>
              </w:rPr>
              <w:t xml:space="preserve">): </w:t>
            </w:r>
            <w:r w:rsidRPr="00133D64">
              <w:rPr>
                <w:sz w:val="22"/>
                <w:szCs w:val="22"/>
              </w:rPr>
              <w:t>Does the proposed expectation on scheme fees achieve the RBA’s objectives of competition and efficiency in the payments system?</w:t>
            </w:r>
            <w:r>
              <w:rPr>
                <w:sz w:val="22"/>
                <w:szCs w:val="22"/>
              </w:rPr>
              <w:t xml:space="preserve"> </w:t>
            </w:r>
          </w:p>
        </w:tc>
      </w:tr>
      <w:tr w:rsidR="005B0B57" w14:paraId="22F79B8A" w14:textId="77777777" w:rsidTr="00366CEE">
        <w:tc>
          <w:tcPr>
            <w:tcW w:w="8720" w:type="dxa"/>
            <w:shd w:val="clear" w:color="auto" w:fill="92CDDC" w:themeFill="accent5" w:themeFillTint="99"/>
          </w:tcPr>
          <w:p w14:paraId="1AE6CA9D" w14:textId="77777777" w:rsidR="005B0B57" w:rsidRDefault="005B0B57" w:rsidP="005B0B57">
            <w:pPr>
              <w:pStyle w:val="Default"/>
              <w:rPr>
                <w:sz w:val="22"/>
                <w:szCs w:val="22"/>
              </w:rPr>
            </w:pPr>
            <w:r w:rsidRPr="00AD2616">
              <w:rPr>
                <w:b/>
                <w:bCs/>
              </w:rPr>
              <w:t>Feedback</w:t>
            </w:r>
          </w:p>
        </w:tc>
      </w:tr>
      <w:tr w:rsidR="005B0B57" w14:paraId="53F4C626" w14:textId="77777777" w:rsidTr="00366CEE">
        <w:tc>
          <w:tcPr>
            <w:tcW w:w="8720" w:type="dxa"/>
          </w:tcPr>
          <w:p w14:paraId="1016C0F2" w14:textId="36688C21" w:rsidR="005B0B57" w:rsidRPr="009E3F34" w:rsidRDefault="009A20B4" w:rsidP="008B119A">
            <w:pPr>
              <w:pStyle w:val="BodyText"/>
              <w:numPr>
                <w:ilvl w:val="0"/>
                <w:numId w:val="7"/>
              </w:numPr>
              <w:rPr>
                <w:rFonts w:asciiTheme="minorHAnsi" w:hAnsiTheme="minorHAnsi" w:cstheme="minorHAnsi"/>
                <w:color w:val="000000"/>
                <w:sz w:val="22"/>
                <w:szCs w:val="22"/>
              </w:rPr>
            </w:pPr>
            <w:r w:rsidRPr="009E3F34">
              <w:rPr>
                <w:rFonts w:asciiTheme="minorHAnsi" w:hAnsiTheme="minorHAnsi" w:cstheme="minorHAnsi"/>
                <w:sz w:val="22"/>
                <w:szCs w:val="22"/>
              </w:rPr>
              <w:t>RBA BK has no response here.</w:t>
            </w:r>
          </w:p>
        </w:tc>
      </w:tr>
      <w:tr w:rsidR="005B0B57" w14:paraId="13016326" w14:textId="77777777" w:rsidTr="00366CEE">
        <w:tc>
          <w:tcPr>
            <w:tcW w:w="8720" w:type="dxa"/>
            <w:shd w:val="clear" w:color="auto" w:fill="EDF7F9"/>
          </w:tcPr>
          <w:p w14:paraId="5275F9EA" w14:textId="4FAA221E" w:rsidR="005B0B57" w:rsidRDefault="005B0B57" w:rsidP="005B0B57">
            <w:pPr>
              <w:pStyle w:val="Default"/>
              <w:spacing w:after="120"/>
              <w:jc w:val="both"/>
              <w:rPr>
                <w:sz w:val="22"/>
                <w:szCs w:val="22"/>
              </w:rPr>
            </w:pPr>
            <w:r>
              <w:rPr>
                <w:sz w:val="22"/>
                <w:szCs w:val="22"/>
              </w:rPr>
              <w:t>Q8 (</w:t>
            </w:r>
            <w:r w:rsidRPr="00EE0A03">
              <w:rPr>
                <w:sz w:val="22"/>
                <w:szCs w:val="22"/>
              </w:rPr>
              <w:t>Scheme Fees</w:t>
            </w:r>
            <w:r>
              <w:rPr>
                <w:sz w:val="22"/>
                <w:szCs w:val="22"/>
              </w:rPr>
              <w:t xml:space="preserve">): </w:t>
            </w:r>
            <w:r w:rsidRPr="00133D64">
              <w:rPr>
                <w:sz w:val="22"/>
                <w:szCs w:val="22"/>
              </w:rPr>
              <w:t>Should the PSB consider further regulatory measures in relation to the level of scheme fees to promote competition and efficiency in the payments system?</w:t>
            </w:r>
            <w:r>
              <w:rPr>
                <w:sz w:val="22"/>
                <w:szCs w:val="22"/>
              </w:rPr>
              <w:t xml:space="preserve"> </w:t>
            </w:r>
          </w:p>
        </w:tc>
      </w:tr>
      <w:tr w:rsidR="005B0B57" w14:paraId="79AD3670" w14:textId="77777777" w:rsidTr="00366CEE">
        <w:tc>
          <w:tcPr>
            <w:tcW w:w="8720" w:type="dxa"/>
            <w:shd w:val="clear" w:color="auto" w:fill="92CDDC" w:themeFill="accent5" w:themeFillTint="99"/>
          </w:tcPr>
          <w:p w14:paraId="374553D0" w14:textId="77777777" w:rsidR="005B0B57" w:rsidRDefault="005B0B57" w:rsidP="005B0B57">
            <w:pPr>
              <w:pStyle w:val="Default"/>
              <w:rPr>
                <w:sz w:val="22"/>
                <w:szCs w:val="22"/>
              </w:rPr>
            </w:pPr>
            <w:r w:rsidRPr="00AD2616">
              <w:rPr>
                <w:b/>
                <w:bCs/>
              </w:rPr>
              <w:t>Feedback</w:t>
            </w:r>
          </w:p>
        </w:tc>
      </w:tr>
      <w:tr w:rsidR="005B0B57" w14:paraId="1548E219" w14:textId="77777777" w:rsidTr="00366CEE">
        <w:tc>
          <w:tcPr>
            <w:tcW w:w="8720" w:type="dxa"/>
          </w:tcPr>
          <w:p w14:paraId="050E6BC4" w14:textId="1464E8DA" w:rsidR="005B0B57" w:rsidRPr="009239D0" w:rsidRDefault="009A20B4" w:rsidP="008B119A">
            <w:pPr>
              <w:pStyle w:val="BodyText"/>
              <w:numPr>
                <w:ilvl w:val="0"/>
                <w:numId w:val="7"/>
              </w:numPr>
              <w:rPr>
                <w:rFonts w:asciiTheme="minorHAnsi" w:hAnsiTheme="minorHAnsi" w:cstheme="minorHAnsi"/>
                <w:color w:val="000000"/>
                <w:sz w:val="22"/>
                <w:szCs w:val="22"/>
              </w:rPr>
            </w:pPr>
            <w:r w:rsidRPr="009E3F34">
              <w:rPr>
                <w:rFonts w:asciiTheme="minorHAnsi" w:hAnsiTheme="minorHAnsi" w:cstheme="minorHAnsi"/>
                <w:sz w:val="22"/>
                <w:szCs w:val="22"/>
              </w:rPr>
              <w:t>RBA BK has no response here</w:t>
            </w:r>
            <w:r w:rsidRPr="009239D0">
              <w:rPr>
                <w:rFonts w:cstheme="minorHAnsi"/>
                <w:sz w:val="22"/>
                <w:szCs w:val="22"/>
              </w:rPr>
              <w:t>.</w:t>
            </w:r>
          </w:p>
        </w:tc>
      </w:tr>
      <w:tr w:rsidR="005B0B57" w14:paraId="05D82800" w14:textId="77777777" w:rsidTr="00366CEE">
        <w:tc>
          <w:tcPr>
            <w:tcW w:w="8720" w:type="dxa"/>
            <w:shd w:val="clear" w:color="auto" w:fill="EDF7F9"/>
          </w:tcPr>
          <w:p w14:paraId="3A1695BB" w14:textId="30C45ED4" w:rsidR="005B0B57" w:rsidRPr="00133D64" w:rsidRDefault="005B0B57" w:rsidP="005B0B57">
            <w:pPr>
              <w:pStyle w:val="Default"/>
              <w:spacing w:after="120"/>
              <w:jc w:val="both"/>
              <w:rPr>
                <w:sz w:val="22"/>
                <w:szCs w:val="22"/>
              </w:rPr>
            </w:pPr>
            <w:r>
              <w:rPr>
                <w:sz w:val="22"/>
                <w:szCs w:val="22"/>
              </w:rPr>
              <w:lastRenderedPageBreak/>
              <w:t>Q9 (</w:t>
            </w:r>
            <w:r w:rsidRPr="00EE0A03">
              <w:rPr>
                <w:sz w:val="22"/>
                <w:szCs w:val="22"/>
              </w:rPr>
              <w:t>Transparency of Merchant Fees</w:t>
            </w:r>
            <w:r>
              <w:rPr>
                <w:sz w:val="22"/>
                <w:szCs w:val="22"/>
              </w:rPr>
              <w:t xml:space="preserve">): </w:t>
            </w:r>
            <w:r w:rsidRPr="00133D64">
              <w:rPr>
                <w:sz w:val="22"/>
                <w:szCs w:val="22"/>
              </w:rPr>
              <w:t>Does the proposed requirement for acquirers to publish their merchants’ cost of acceptance enhance competition and efficiency by helping merchants search for a better plan? In particular, the RBA welcomes feedback on:</w:t>
            </w:r>
          </w:p>
          <w:p w14:paraId="0F7AE760" w14:textId="77777777" w:rsidR="005B0B57" w:rsidRPr="00133D64" w:rsidRDefault="005B0B57" w:rsidP="005B0B57">
            <w:pPr>
              <w:pStyle w:val="Default"/>
              <w:spacing w:after="120"/>
              <w:jc w:val="both"/>
              <w:rPr>
                <w:sz w:val="22"/>
                <w:szCs w:val="22"/>
              </w:rPr>
            </w:pPr>
            <w:r>
              <w:rPr>
                <w:sz w:val="22"/>
                <w:szCs w:val="22"/>
              </w:rPr>
              <w:t>-</w:t>
            </w:r>
            <w:r w:rsidRPr="00133D64">
              <w:rPr>
                <w:sz w:val="22"/>
                <w:szCs w:val="22"/>
              </w:rPr>
              <w:t xml:space="preserve"> whether the size threshold for acquirers is appropriate</w:t>
            </w:r>
          </w:p>
          <w:p w14:paraId="790B0971" w14:textId="77777777" w:rsidR="005B0B57" w:rsidRPr="00133D64" w:rsidRDefault="005B0B57" w:rsidP="005B0B57">
            <w:pPr>
              <w:pStyle w:val="Default"/>
              <w:spacing w:after="120"/>
              <w:jc w:val="both"/>
              <w:rPr>
                <w:sz w:val="22"/>
                <w:szCs w:val="22"/>
              </w:rPr>
            </w:pPr>
            <w:r>
              <w:rPr>
                <w:rFonts w:eastAsia="Calibri"/>
                <w:sz w:val="22"/>
                <w:szCs w:val="22"/>
              </w:rPr>
              <w:t>-</w:t>
            </w:r>
            <w:r w:rsidRPr="00133D64">
              <w:rPr>
                <w:sz w:val="22"/>
                <w:szCs w:val="22"/>
              </w:rPr>
              <w:t xml:space="preserve"> whether the category breakdowns (merchant size and card type) are likely to be useful to merchants without compromising commercial sensitivity</w:t>
            </w:r>
          </w:p>
          <w:p w14:paraId="37761D67" w14:textId="77777777" w:rsidR="005B0B57" w:rsidRPr="00133D64" w:rsidRDefault="005B0B57" w:rsidP="005B0B57">
            <w:pPr>
              <w:pStyle w:val="Default"/>
              <w:spacing w:after="120"/>
              <w:jc w:val="both"/>
              <w:rPr>
                <w:sz w:val="22"/>
                <w:szCs w:val="22"/>
              </w:rPr>
            </w:pPr>
            <w:r>
              <w:rPr>
                <w:rFonts w:eastAsia="Calibri"/>
                <w:sz w:val="22"/>
                <w:szCs w:val="22"/>
              </w:rPr>
              <w:t>-</w:t>
            </w:r>
            <w:r w:rsidRPr="00133D64">
              <w:rPr>
                <w:sz w:val="22"/>
                <w:szCs w:val="22"/>
              </w:rPr>
              <w:t xml:space="preserve"> whether the quarterly frequency of publication is appropriate</w:t>
            </w:r>
          </w:p>
          <w:p w14:paraId="4952BAE1" w14:textId="77777777" w:rsidR="005B0B57" w:rsidRDefault="005B0B57" w:rsidP="005B0B57">
            <w:pPr>
              <w:pStyle w:val="Default"/>
              <w:spacing w:after="120"/>
              <w:jc w:val="both"/>
              <w:rPr>
                <w:sz w:val="22"/>
                <w:szCs w:val="22"/>
              </w:rPr>
            </w:pPr>
            <w:r>
              <w:rPr>
                <w:rFonts w:eastAsia="Calibri"/>
                <w:sz w:val="22"/>
                <w:szCs w:val="22"/>
              </w:rPr>
              <w:t>-</w:t>
            </w:r>
            <w:r w:rsidRPr="00133D64">
              <w:rPr>
                <w:sz w:val="22"/>
                <w:szCs w:val="22"/>
              </w:rPr>
              <w:t xml:space="preserve"> what an appropriate implementation timeline would be.</w:t>
            </w:r>
            <w:r>
              <w:rPr>
                <w:sz w:val="22"/>
                <w:szCs w:val="22"/>
              </w:rPr>
              <w:t xml:space="preserve"> </w:t>
            </w:r>
          </w:p>
        </w:tc>
      </w:tr>
      <w:tr w:rsidR="005B0B57" w14:paraId="587327A0" w14:textId="77777777" w:rsidTr="00366CEE">
        <w:tc>
          <w:tcPr>
            <w:tcW w:w="8720" w:type="dxa"/>
            <w:shd w:val="clear" w:color="auto" w:fill="92CDDC" w:themeFill="accent5" w:themeFillTint="99"/>
          </w:tcPr>
          <w:p w14:paraId="50834ECE" w14:textId="77777777" w:rsidR="005B0B57" w:rsidRDefault="005B0B57" w:rsidP="005B0B57">
            <w:pPr>
              <w:pStyle w:val="Default"/>
              <w:rPr>
                <w:sz w:val="22"/>
                <w:szCs w:val="22"/>
              </w:rPr>
            </w:pPr>
            <w:r w:rsidRPr="00AD2616">
              <w:rPr>
                <w:b/>
                <w:bCs/>
              </w:rPr>
              <w:t>Feedback</w:t>
            </w:r>
          </w:p>
        </w:tc>
      </w:tr>
      <w:tr w:rsidR="005B0B57" w14:paraId="7FAB894B" w14:textId="77777777" w:rsidTr="00366CEE">
        <w:tc>
          <w:tcPr>
            <w:tcW w:w="8720" w:type="dxa"/>
          </w:tcPr>
          <w:p w14:paraId="1E8D85C4" w14:textId="2714B76E" w:rsidR="001B6FE7" w:rsidRPr="009E3F34" w:rsidRDefault="00BE573D" w:rsidP="00DC5604">
            <w:pPr>
              <w:pStyle w:val="BodyText"/>
              <w:numPr>
                <w:ilvl w:val="0"/>
                <w:numId w:val="7"/>
              </w:numPr>
              <w:rPr>
                <w:rFonts w:asciiTheme="minorHAnsi" w:hAnsiTheme="minorHAnsi" w:cstheme="minorHAnsi"/>
                <w:sz w:val="22"/>
                <w:szCs w:val="22"/>
              </w:rPr>
            </w:pPr>
            <w:r w:rsidRPr="009E3F34">
              <w:rPr>
                <w:rFonts w:asciiTheme="minorHAnsi" w:hAnsiTheme="minorHAnsi" w:cstheme="minorHAnsi"/>
                <w:sz w:val="22"/>
                <w:szCs w:val="22"/>
              </w:rPr>
              <w:t xml:space="preserve">RBA </w:t>
            </w:r>
            <w:r w:rsidR="001B6FE7" w:rsidRPr="009E3F34">
              <w:rPr>
                <w:rFonts w:asciiTheme="minorHAnsi" w:hAnsiTheme="minorHAnsi" w:cstheme="minorHAnsi"/>
                <w:sz w:val="22"/>
                <w:szCs w:val="22"/>
              </w:rPr>
              <w:t>BK largely supports the proposal to require acquirers to publish merchants’ cost of acceptance data</w:t>
            </w:r>
            <w:r w:rsidRPr="009E3F34">
              <w:rPr>
                <w:rFonts w:asciiTheme="minorHAnsi" w:hAnsiTheme="minorHAnsi" w:cstheme="minorHAnsi"/>
                <w:sz w:val="22"/>
                <w:szCs w:val="22"/>
              </w:rPr>
              <w:t xml:space="preserve"> at</w:t>
            </w:r>
            <w:r w:rsidR="00605492" w:rsidRPr="009E3F34">
              <w:rPr>
                <w:rFonts w:asciiTheme="minorHAnsi" w:hAnsiTheme="minorHAnsi" w:cstheme="minorHAnsi"/>
                <w:sz w:val="22"/>
                <w:szCs w:val="22"/>
              </w:rPr>
              <w:t xml:space="preserve"> </w:t>
            </w:r>
            <w:r w:rsidR="00A77BF2" w:rsidRPr="009E3F34">
              <w:rPr>
                <w:rFonts w:asciiTheme="minorHAnsi" w:hAnsiTheme="minorHAnsi" w:cstheme="minorHAnsi"/>
                <w:sz w:val="22"/>
                <w:szCs w:val="22"/>
              </w:rPr>
              <w:t xml:space="preserve">the </w:t>
            </w:r>
            <w:r w:rsidR="009239D0" w:rsidRPr="009E3F34">
              <w:rPr>
                <w:rFonts w:asciiTheme="minorHAnsi" w:hAnsiTheme="minorHAnsi" w:cstheme="minorHAnsi"/>
                <w:sz w:val="22"/>
                <w:szCs w:val="22"/>
              </w:rPr>
              <w:t>proposed aggregate</w:t>
            </w:r>
            <w:r w:rsidRPr="009E3F34">
              <w:rPr>
                <w:rFonts w:asciiTheme="minorHAnsi" w:hAnsiTheme="minorHAnsi" w:cstheme="minorHAnsi"/>
                <w:sz w:val="22"/>
                <w:szCs w:val="22"/>
              </w:rPr>
              <w:t xml:space="preserve"> level</w:t>
            </w:r>
            <w:r w:rsidR="00A77BF2" w:rsidRPr="009E3F34">
              <w:rPr>
                <w:rFonts w:asciiTheme="minorHAnsi" w:hAnsiTheme="minorHAnsi" w:cstheme="minorHAnsi"/>
                <w:sz w:val="22"/>
                <w:szCs w:val="22"/>
              </w:rPr>
              <w:t>s</w:t>
            </w:r>
            <w:r w:rsidR="001B6FE7" w:rsidRPr="009E3F34">
              <w:rPr>
                <w:rFonts w:asciiTheme="minorHAnsi" w:hAnsiTheme="minorHAnsi" w:cstheme="minorHAnsi"/>
                <w:sz w:val="22"/>
                <w:szCs w:val="22"/>
              </w:rPr>
              <w:t xml:space="preserve"> as a step toward enhancing transparency and promoting competition. </w:t>
            </w:r>
          </w:p>
          <w:p w14:paraId="55D83FEF" w14:textId="3195D3A7" w:rsidR="00FE789E" w:rsidRPr="009E3F34" w:rsidRDefault="00A77BF2" w:rsidP="009239D0">
            <w:pPr>
              <w:pStyle w:val="BodyText"/>
              <w:numPr>
                <w:ilvl w:val="0"/>
                <w:numId w:val="7"/>
              </w:numPr>
              <w:rPr>
                <w:rFonts w:asciiTheme="minorHAnsi" w:hAnsiTheme="minorHAnsi" w:cstheme="minorHAnsi"/>
                <w:sz w:val="22"/>
                <w:szCs w:val="22"/>
              </w:rPr>
            </w:pPr>
            <w:r w:rsidRPr="009E3F34">
              <w:rPr>
                <w:rFonts w:asciiTheme="minorHAnsi" w:hAnsiTheme="minorHAnsi" w:cstheme="minorHAnsi"/>
              </w:rPr>
              <w:t>We support:</w:t>
            </w:r>
          </w:p>
          <w:p w14:paraId="6DBFC0FB" w14:textId="5BE56F87" w:rsidR="001B6FE7" w:rsidRPr="006B641D" w:rsidRDefault="001B6FE7" w:rsidP="006B641D">
            <w:pPr>
              <w:pStyle w:val="BodyText"/>
              <w:numPr>
                <w:ilvl w:val="0"/>
                <w:numId w:val="10"/>
              </w:numPr>
              <w:rPr>
                <w:rFonts w:asciiTheme="minorHAnsi" w:hAnsiTheme="minorHAnsi" w:cstheme="minorHAnsi"/>
                <w:color w:val="000000"/>
                <w:sz w:val="22"/>
                <w:szCs w:val="22"/>
              </w:rPr>
            </w:pPr>
            <w:r w:rsidRPr="006B641D">
              <w:rPr>
                <w:rFonts w:asciiTheme="minorHAnsi" w:hAnsiTheme="minorHAnsi" w:cstheme="minorHAnsi"/>
                <w:color w:val="000000"/>
                <w:sz w:val="22"/>
                <w:szCs w:val="22"/>
              </w:rPr>
              <w:t>The proposed size threshold for acquirers</w:t>
            </w:r>
            <w:r w:rsidR="00BE573D" w:rsidRPr="006B641D">
              <w:rPr>
                <w:rFonts w:asciiTheme="minorHAnsi" w:hAnsiTheme="minorHAnsi" w:cstheme="minorHAnsi"/>
                <w:color w:val="000000"/>
                <w:sz w:val="22"/>
                <w:szCs w:val="22"/>
              </w:rPr>
              <w:t>.</w:t>
            </w:r>
          </w:p>
          <w:p w14:paraId="705B4FBF" w14:textId="594B431B" w:rsidR="001B6FE7" w:rsidRPr="006B641D" w:rsidRDefault="001B6FE7" w:rsidP="006B641D">
            <w:pPr>
              <w:pStyle w:val="BodyText"/>
              <w:numPr>
                <w:ilvl w:val="0"/>
                <w:numId w:val="10"/>
              </w:numPr>
              <w:rPr>
                <w:rFonts w:asciiTheme="minorHAnsi" w:hAnsiTheme="minorHAnsi" w:cstheme="minorHAnsi"/>
                <w:color w:val="000000"/>
                <w:sz w:val="22"/>
                <w:szCs w:val="22"/>
              </w:rPr>
            </w:pPr>
            <w:bookmarkStart w:id="0" w:name="_Hlk206568278"/>
            <w:r w:rsidRPr="006B641D">
              <w:rPr>
                <w:rFonts w:asciiTheme="minorHAnsi" w:hAnsiTheme="minorHAnsi" w:cstheme="minorHAnsi"/>
                <w:color w:val="000000"/>
                <w:sz w:val="22"/>
                <w:szCs w:val="22"/>
              </w:rPr>
              <w:t xml:space="preserve">The category breakdowns by card </w:t>
            </w:r>
            <w:r w:rsidR="009E3F34" w:rsidRPr="006B641D">
              <w:rPr>
                <w:rFonts w:asciiTheme="minorHAnsi" w:hAnsiTheme="minorHAnsi" w:cstheme="minorHAnsi"/>
                <w:color w:val="000000"/>
                <w:sz w:val="22"/>
                <w:szCs w:val="22"/>
              </w:rPr>
              <w:t>type because</w:t>
            </w:r>
            <w:r w:rsidR="00A77BF2" w:rsidRPr="006B641D">
              <w:rPr>
                <w:rFonts w:asciiTheme="minorHAnsi" w:hAnsiTheme="minorHAnsi" w:cstheme="minorHAnsi"/>
                <w:color w:val="000000"/>
                <w:sz w:val="22"/>
                <w:szCs w:val="22"/>
              </w:rPr>
              <w:t xml:space="preserve"> they </w:t>
            </w:r>
            <w:r w:rsidRPr="006B641D">
              <w:rPr>
                <w:rFonts w:asciiTheme="minorHAnsi" w:hAnsiTheme="minorHAnsi" w:cstheme="minorHAnsi"/>
                <w:color w:val="000000"/>
                <w:sz w:val="22"/>
                <w:szCs w:val="22"/>
              </w:rPr>
              <w:t>distinguish between debit and credit cards. These payment types have different cost structures and usage patterns and treating them as a single category risk obscur</w:t>
            </w:r>
            <w:r w:rsidR="00392D1D">
              <w:rPr>
                <w:rFonts w:asciiTheme="minorHAnsi" w:hAnsiTheme="minorHAnsi" w:cstheme="minorHAnsi"/>
                <w:color w:val="000000"/>
                <w:sz w:val="22"/>
                <w:szCs w:val="22"/>
              </w:rPr>
              <w:t>es</w:t>
            </w:r>
            <w:r w:rsidRPr="006B641D">
              <w:rPr>
                <w:rFonts w:asciiTheme="minorHAnsi" w:hAnsiTheme="minorHAnsi" w:cstheme="minorHAnsi"/>
                <w:color w:val="000000"/>
                <w:sz w:val="22"/>
                <w:szCs w:val="22"/>
              </w:rPr>
              <w:t xml:space="preserve"> important cost drivers.</w:t>
            </w:r>
          </w:p>
          <w:bookmarkEnd w:id="0"/>
          <w:p w14:paraId="37538E73" w14:textId="744AE196" w:rsidR="001B6FE7" w:rsidRPr="006B641D" w:rsidRDefault="001B6FE7" w:rsidP="006B641D">
            <w:pPr>
              <w:pStyle w:val="BodyText"/>
              <w:numPr>
                <w:ilvl w:val="0"/>
                <w:numId w:val="10"/>
              </w:numPr>
              <w:rPr>
                <w:rFonts w:asciiTheme="minorHAnsi" w:hAnsiTheme="minorHAnsi" w:cstheme="minorHAnsi"/>
                <w:color w:val="000000"/>
                <w:sz w:val="22"/>
                <w:szCs w:val="22"/>
              </w:rPr>
            </w:pPr>
            <w:r w:rsidRPr="006B641D">
              <w:rPr>
                <w:rFonts w:asciiTheme="minorHAnsi" w:hAnsiTheme="minorHAnsi" w:cstheme="minorHAnsi"/>
                <w:color w:val="000000"/>
                <w:sz w:val="22"/>
                <w:szCs w:val="22"/>
              </w:rPr>
              <w:t>Quarterly publication</w:t>
            </w:r>
            <w:r w:rsidR="00A77BF2" w:rsidRPr="006B641D">
              <w:rPr>
                <w:rFonts w:asciiTheme="minorHAnsi" w:hAnsiTheme="minorHAnsi" w:cstheme="minorHAnsi"/>
                <w:color w:val="000000"/>
                <w:sz w:val="22"/>
                <w:szCs w:val="22"/>
              </w:rPr>
              <w:t xml:space="preserve">. This </w:t>
            </w:r>
            <w:r w:rsidRPr="006B641D">
              <w:rPr>
                <w:rFonts w:asciiTheme="minorHAnsi" w:hAnsiTheme="minorHAnsi" w:cstheme="minorHAnsi"/>
                <w:color w:val="000000"/>
                <w:sz w:val="22"/>
                <w:szCs w:val="22"/>
              </w:rPr>
              <w:t>is appropriate for tracking trends</w:t>
            </w:r>
            <w:r w:rsidR="00A77BF2" w:rsidRPr="006B641D">
              <w:rPr>
                <w:rFonts w:asciiTheme="minorHAnsi" w:hAnsiTheme="minorHAnsi" w:cstheme="minorHAnsi"/>
                <w:color w:val="000000"/>
                <w:sz w:val="22"/>
                <w:szCs w:val="22"/>
              </w:rPr>
              <w:t xml:space="preserve"> </w:t>
            </w:r>
            <w:r w:rsidR="00BE573D" w:rsidRPr="006B641D">
              <w:rPr>
                <w:rFonts w:asciiTheme="minorHAnsi" w:hAnsiTheme="minorHAnsi" w:cstheme="minorHAnsi"/>
                <w:color w:val="000000"/>
                <w:sz w:val="22"/>
                <w:szCs w:val="22"/>
              </w:rPr>
              <w:t>and the</w:t>
            </w:r>
            <w:r w:rsidRPr="006B641D">
              <w:rPr>
                <w:rFonts w:asciiTheme="minorHAnsi" w:hAnsiTheme="minorHAnsi" w:cstheme="minorHAnsi"/>
                <w:color w:val="000000"/>
                <w:sz w:val="22"/>
                <w:szCs w:val="22"/>
              </w:rPr>
              <w:t xml:space="preserve"> data </w:t>
            </w:r>
            <w:r w:rsidR="00A77BF2" w:rsidRPr="006B641D">
              <w:rPr>
                <w:rFonts w:asciiTheme="minorHAnsi" w:hAnsiTheme="minorHAnsi" w:cstheme="minorHAnsi"/>
                <w:color w:val="000000"/>
                <w:sz w:val="22"/>
                <w:szCs w:val="22"/>
              </w:rPr>
              <w:t xml:space="preserve">are </w:t>
            </w:r>
            <w:r w:rsidRPr="006B641D">
              <w:rPr>
                <w:rFonts w:asciiTheme="minorHAnsi" w:hAnsiTheme="minorHAnsi" w:cstheme="minorHAnsi"/>
                <w:color w:val="000000"/>
                <w:sz w:val="22"/>
                <w:szCs w:val="22"/>
              </w:rPr>
              <w:t xml:space="preserve">presented in a format that is accessible and actionable for </w:t>
            </w:r>
            <w:r w:rsidR="00BE573D" w:rsidRPr="006B641D">
              <w:rPr>
                <w:rFonts w:asciiTheme="minorHAnsi" w:hAnsiTheme="minorHAnsi" w:cstheme="minorHAnsi"/>
                <w:color w:val="000000"/>
                <w:sz w:val="22"/>
                <w:szCs w:val="22"/>
              </w:rPr>
              <w:t>private and public</w:t>
            </w:r>
            <w:r w:rsidRPr="006B641D">
              <w:rPr>
                <w:rFonts w:asciiTheme="minorHAnsi" w:hAnsiTheme="minorHAnsi" w:cstheme="minorHAnsi"/>
                <w:color w:val="000000"/>
                <w:sz w:val="22"/>
                <w:szCs w:val="22"/>
              </w:rPr>
              <w:t xml:space="preserve"> sector stakeholders.</w:t>
            </w:r>
          </w:p>
          <w:p w14:paraId="54C40974" w14:textId="035F7E6F" w:rsidR="005B0B57" w:rsidRPr="006B641D" w:rsidRDefault="001B6FE7" w:rsidP="006B641D">
            <w:pPr>
              <w:pStyle w:val="BodyText"/>
              <w:numPr>
                <w:ilvl w:val="0"/>
                <w:numId w:val="10"/>
              </w:numPr>
              <w:rPr>
                <w:rFonts w:asciiTheme="minorHAnsi" w:hAnsiTheme="minorHAnsi" w:cstheme="minorHAnsi"/>
                <w:sz w:val="22"/>
                <w:szCs w:val="22"/>
              </w:rPr>
            </w:pPr>
            <w:r w:rsidRPr="006B641D">
              <w:rPr>
                <w:rFonts w:asciiTheme="minorHAnsi" w:hAnsiTheme="minorHAnsi" w:cstheme="minorHAnsi"/>
                <w:color w:val="000000"/>
                <w:sz w:val="22"/>
                <w:szCs w:val="22"/>
              </w:rPr>
              <w:t>Improved transparency</w:t>
            </w:r>
            <w:r w:rsidR="00A77BF2" w:rsidRPr="006B641D">
              <w:rPr>
                <w:rFonts w:asciiTheme="minorHAnsi" w:hAnsiTheme="minorHAnsi" w:cstheme="minorHAnsi"/>
                <w:color w:val="000000"/>
                <w:sz w:val="22"/>
                <w:szCs w:val="22"/>
              </w:rPr>
              <w:t xml:space="preserve">. This </w:t>
            </w:r>
            <w:r w:rsidRPr="006B641D">
              <w:rPr>
                <w:rFonts w:asciiTheme="minorHAnsi" w:hAnsiTheme="minorHAnsi" w:cstheme="minorHAnsi"/>
                <w:color w:val="000000"/>
                <w:sz w:val="22"/>
                <w:szCs w:val="22"/>
              </w:rPr>
              <w:t xml:space="preserve">will help </w:t>
            </w:r>
            <w:r w:rsidR="00A77BF2" w:rsidRPr="006B641D">
              <w:rPr>
                <w:rFonts w:asciiTheme="minorHAnsi" w:hAnsiTheme="minorHAnsi" w:cstheme="minorHAnsi"/>
                <w:color w:val="000000"/>
                <w:sz w:val="22"/>
                <w:szCs w:val="22"/>
              </w:rPr>
              <w:t xml:space="preserve">merchants </w:t>
            </w:r>
            <w:r w:rsidRPr="006B641D">
              <w:rPr>
                <w:rFonts w:asciiTheme="minorHAnsi" w:hAnsiTheme="minorHAnsi" w:cstheme="minorHAnsi"/>
                <w:color w:val="000000"/>
                <w:sz w:val="22"/>
                <w:szCs w:val="22"/>
              </w:rPr>
              <w:t>assess their cost exposure and avoid the risk of withdrawing from online payment channels, which would be detrimental to digital service delivery and payer convenience.</w:t>
            </w:r>
          </w:p>
        </w:tc>
      </w:tr>
      <w:tr w:rsidR="005B0B57" w14:paraId="0CFD8E95" w14:textId="77777777" w:rsidTr="00366CEE">
        <w:tc>
          <w:tcPr>
            <w:tcW w:w="8720" w:type="dxa"/>
            <w:shd w:val="clear" w:color="auto" w:fill="EDF7F9"/>
          </w:tcPr>
          <w:p w14:paraId="2C928B7A" w14:textId="351A88A8" w:rsidR="005B0B57" w:rsidRDefault="005B0B57" w:rsidP="005B0B57">
            <w:pPr>
              <w:pStyle w:val="Default"/>
              <w:spacing w:after="120"/>
              <w:jc w:val="both"/>
              <w:rPr>
                <w:sz w:val="22"/>
                <w:szCs w:val="22"/>
              </w:rPr>
            </w:pPr>
            <w:r>
              <w:rPr>
                <w:sz w:val="22"/>
                <w:szCs w:val="22"/>
              </w:rPr>
              <w:t>Q10 (</w:t>
            </w:r>
            <w:r w:rsidRPr="00EE0A03">
              <w:rPr>
                <w:sz w:val="22"/>
                <w:szCs w:val="22"/>
              </w:rPr>
              <w:t>Transparency of Merchant Fees</w:t>
            </w:r>
            <w:r>
              <w:rPr>
                <w:sz w:val="22"/>
                <w:szCs w:val="22"/>
              </w:rPr>
              <w:t xml:space="preserve">): </w:t>
            </w:r>
            <w:r w:rsidRPr="00DD1165">
              <w:rPr>
                <w:sz w:val="22"/>
                <w:szCs w:val="22"/>
              </w:rPr>
              <w:t>Does the proposal to amend the cost of acceptance reporting on merchant statements to include a breakdown for domestic and international cards promote competition by helping merchants receive more information about the fees they pay? Is there a public interest case to exempt taxi fares from this requirement?</w:t>
            </w:r>
          </w:p>
        </w:tc>
      </w:tr>
      <w:tr w:rsidR="005B0B57" w14:paraId="7F53C62D" w14:textId="77777777" w:rsidTr="00366CEE">
        <w:tc>
          <w:tcPr>
            <w:tcW w:w="8720" w:type="dxa"/>
            <w:shd w:val="clear" w:color="auto" w:fill="92CDDC" w:themeFill="accent5" w:themeFillTint="99"/>
          </w:tcPr>
          <w:p w14:paraId="765393A3" w14:textId="77777777" w:rsidR="005B0B57" w:rsidRDefault="005B0B57" w:rsidP="005B0B57">
            <w:pPr>
              <w:pStyle w:val="Default"/>
              <w:rPr>
                <w:sz w:val="22"/>
                <w:szCs w:val="22"/>
              </w:rPr>
            </w:pPr>
            <w:r w:rsidRPr="00AD2616">
              <w:rPr>
                <w:b/>
                <w:bCs/>
              </w:rPr>
              <w:t>Feedback</w:t>
            </w:r>
          </w:p>
        </w:tc>
      </w:tr>
      <w:tr w:rsidR="005B0B57" w14:paraId="6D0E9C9A" w14:textId="77777777" w:rsidTr="00366CEE">
        <w:tc>
          <w:tcPr>
            <w:tcW w:w="8720" w:type="dxa"/>
          </w:tcPr>
          <w:p w14:paraId="4B5F286B" w14:textId="32CDB495" w:rsidR="00E57F69" w:rsidRPr="006B641D" w:rsidRDefault="001B6FE7" w:rsidP="00FE789E">
            <w:pPr>
              <w:pStyle w:val="BodyText"/>
              <w:rPr>
                <w:rFonts w:asciiTheme="minorHAnsi" w:hAnsiTheme="minorHAnsi" w:cstheme="minorHAnsi"/>
                <w:b/>
                <w:bCs/>
                <w:sz w:val="22"/>
                <w:szCs w:val="22"/>
              </w:rPr>
            </w:pPr>
            <w:r w:rsidRPr="006B641D">
              <w:rPr>
                <w:rFonts w:asciiTheme="minorHAnsi" w:hAnsiTheme="minorHAnsi" w:cstheme="minorHAnsi"/>
                <w:b/>
                <w:bCs/>
                <w:sz w:val="22"/>
                <w:szCs w:val="22"/>
              </w:rPr>
              <w:t>Breakdown of Domestic vs International Card Fees</w:t>
            </w:r>
          </w:p>
          <w:p w14:paraId="5A7ADE74" w14:textId="13060F03" w:rsidR="00C07218" w:rsidRPr="006B641D" w:rsidRDefault="00AD4918" w:rsidP="00A77BF2">
            <w:pPr>
              <w:pStyle w:val="BodyText"/>
              <w:numPr>
                <w:ilvl w:val="0"/>
                <w:numId w:val="19"/>
              </w:numPr>
              <w:rPr>
                <w:rFonts w:asciiTheme="minorHAnsi" w:hAnsiTheme="minorHAnsi" w:cstheme="minorHAnsi"/>
                <w:sz w:val="22"/>
                <w:szCs w:val="22"/>
              </w:rPr>
            </w:pPr>
            <w:r w:rsidRPr="006B641D">
              <w:rPr>
                <w:rFonts w:asciiTheme="minorHAnsi" w:hAnsiTheme="minorHAnsi" w:cstheme="minorHAnsi"/>
                <w:sz w:val="22"/>
                <w:szCs w:val="22"/>
              </w:rPr>
              <w:t xml:space="preserve">RBA </w:t>
            </w:r>
            <w:r w:rsidR="001B6FE7" w:rsidRPr="006B641D">
              <w:rPr>
                <w:rFonts w:asciiTheme="minorHAnsi" w:hAnsiTheme="minorHAnsi" w:cstheme="minorHAnsi"/>
                <w:sz w:val="22"/>
                <w:szCs w:val="22"/>
              </w:rPr>
              <w:t>BK supports the proposal to amend cost of acceptance reporting on merchant statements to include a breakdown for domestic and international cards. This change will provide merchants with more granular insights into their payment costs.</w:t>
            </w:r>
            <w:r w:rsidR="00A77BF2" w:rsidRPr="006B641D">
              <w:rPr>
                <w:rFonts w:asciiTheme="minorHAnsi" w:hAnsiTheme="minorHAnsi" w:cstheme="minorHAnsi"/>
                <w:sz w:val="22"/>
                <w:szCs w:val="22"/>
              </w:rPr>
              <w:t xml:space="preserve"> Our experience is that this </w:t>
            </w:r>
            <w:r w:rsidR="00A479F4" w:rsidRPr="006B641D">
              <w:rPr>
                <w:rFonts w:asciiTheme="minorHAnsi" w:hAnsiTheme="minorHAnsi" w:cstheme="minorHAnsi"/>
                <w:sz w:val="22"/>
                <w:szCs w:val="22"/>
              </w:rPr>
              <w:t xml:space="preserve">is </w:t>
            </w:r>
            <w:r w:rsidR="001B6FE7" w:rsidRPr="006B641D">
              <w:rPr>
                <w:rFonts w:asciiTheme="minorHAnsi" w:hAnsiTheme="minorHAnsi" w:cstheme="minorHAnsi"/>
                <w:sz w:val="22"/>
                <w:szCs w:val="22"/>
              </w:rPr>
              <w:t>feasib</w:t>
            </w:r>
            <w:r w:rsidR="00A77BF2" w:rsidRPr="006B641D">
              <w:rPr>
                <w:rFonts w:asciiTheme="minorHAnsi" w:hAnsiTheme="minorHAnsi" w:cstheme="minorHAnsi"/>
                <w:sz w:val="22"/>
                <w:szCs w:val="22"/>
              </w:rPr>
              <w:t>le and valuable.</w:t>
            </w:r>
          </w:p>
          <w:p w14:paraId="7A76A494" w14:textId="05713A98" w:rsidR="00C07218" w:rsidRPr="006B641D" w:rsidRDefault="001B6FE7" w:rsidP="0023363D">
            <w:pPr>
              <w:pStyle w:val="BodyText"/>
              <w:numPr>
                <w:ilvl w:val="0"/>
                <w:numId w:val="19"/>
              </w:numPr>
              <w:rPr>
                <w:rFonts w:asciiTheme="minorHAnsi" w:hAnsiTheme="minorHAnsi" w:cstheme="minorHAnsi"/>
                <w:sz w:val="22"/>
                <w:szCs w:val="22"/>
              </w:rPr>
            </w:pPr>
            <w:r w:rsidRPr="006B641D">
              <w:rPr>
                <w:rFonts w:asciiTheme="minorHAnsi" w:hAnsiTheme="minorHAnsi" w:cstheme="minorHAnsi"/>
                <w:sz w:val="22"/>
                <w:szCs w:val="22"/>
              </w:rPr>
              <w:t>It is particularly important that the breakdown distinguishes between debit and credit cards, as these have significantly different cost implications. Without this distinction, merchants may be unable to make informed decisions about pricing, surcharging, or service delivery.</w:t>
            </w:r>
          </w:p>
          <w:p w14:paraId="0A43D4EC" w14:textId="2CE193CD" w:rsidR="00C07218" w:rsidRPr="006B641D" w:rsidRDefault="00C07218" w:rsidP="004126CF">
            <w:pPr>
              <w:pStyle w:val="BodyText"/>
              <w:numPr>
                <w:ilvl w:val="0"/>
                <w:numId w:val="19"/>
              </w:numPr>
              <w:rPr>
                <w:rFonts w:asciiTheme="minorHAnsi" w:hAnsiTheme="minorHAnsi" w:cstheme="minorHAnsi"/>
                <w:sz w:val="22"/>
                <w:szCs w:val="22"/>
              </w:rPr>
            </w:pPr>
            <w:r w:rsidRPr="006B641D">
              <w:rPr>
                <w:rFonts w:asciiTheme="minorHAnsi" w:hAnsiTheme="minorHAnsi" w:cstheme="minorHAnsi"/>
                <w:sz w:val="22"/>
                <w:szCs w:val="22"/>
              </w:rPr>
              <w:t>For some merchants, such transparency is critical to maintaining online payment services. Rising costs, if not clearly understood and managed, could lead to withdrawal from digital platforms, undermining public access and digital transformation goals.</w:t>
            </w:r>
          </w:p>
          <w:p w14:paraId="4BE6B730" w14:textId="57AE5C1F" w:rsidR="005B0B57" w:rsidRPr="006B641D" w:rsidRDefault="00AD4918" w:rsidP="006B641D">
            <w:pPr>
              <w:pStyle w:val="BodyText"/>
              <w:numPr>
                <w:ilvl w:val="0"/>
                <w:numId w:val="19"/>
              </w:numPr>
              <w:rPr>
                <w:rFonts w:ascii="Calibri" w:hAnsi="Calibri" w:cs="Calibri"/>
                <w:color w:val="000000"/>
              </w:rPr>
            </w:pPr>
            <w:r w:rsidRPr="006B641D">
              <w:rPr>
                <w:rFonts w:asciiTheme="minorHAnsi" w:hAnsiTheme="minorHAnsi" w:cstheme="minorHAnsi"/>
                <w:sz w:val="22"/>
                <w:szCs w:val="22"/>
              </w:rPr>
              <w:lastRenderedPageBreak/>
              <w:t xml:space="preserve">RBA </w:t>
            </w:r>
            <w:r w:rsidR="001B6FE7" w:rsidRPr="006B641D">
              <w:rPr>
                <w:rFonts w:asciiTheme="minorHAnsi" w:hAnsiTheme="minorHAnsi" w:cstheme="minorHAnsi"/>
                <w:sz w:val="22"/>
                <w:szCs w:val="22"/>
              </w:rPr>
              <w:t xml:space="preserve">BK recommends that the </w:t>
            </w:r>
            <w:r w:rsidRPr="006B641D">
              <w:rPr>
                <w:rFonts w:asciiTheme="minorHAnsi" w:hAnsiTheme="minorHAnsi" w:cstheme="minorHAnsi"/>
                <w:sz w:val="22"/>
                <w:szCs w:val="22"/>
              </w:rPr>
              <w:t xml:space="preserve">PSB </w:t>
            </w:r>
            <w:r w:rsidR="001B6FE7" w:rsidRPr="006B641D">
              <w:rPr>
                <w:rFonts w:asciiTheme="minorHAnsi" w:hAnsiTheme="minorHAnsi" w:cstheme="minorHAnsi"/>
                <w:sz w:val="22"/>
                <w:szCs w:val="22"/>
              </w:rPr>
              <w:t>work closely with industry to ensure that the revised reporting format is standardised, user-friendly, and aligned with the needs of both private and public sector merchants.</w:t>
            </w:r>
          </w:p>
        </w:tc>
      </w:tr>
      <w:tr w:rsidR="005B0B57" w14:paraId="74BBF079" w14:textId="77777777" w:rsidTr="00366CEE">
        <w:tc>
          <w:tcPr>
            <w:tcW w:w="8720" w:type="dxa"/>
            <w:shd w:val="clear" w:color="auto" w:fill="EDF7F9"/>
          </w:tcPr>
          <w:p w14:paraId="75A9234B" w14:textId="0083FB9B" w:rsidR="005B0B57" w:rsidRDefault="005B0B57" w:rsidP="005B0B57">
            <w:pPr>
              <w:pStyle w:val="Default"/>
              <w:spacing w:after="120"/>
              <w:jc w:val="both"/>
              <w:rPr>
                <w:sz w:val="22"/>
                <w:szCs w:val="22"/>
              </w:rPr>
            </w:pPr>
            <w:r>
              <w:rPr>
                <w:sz w:val="22"/>
                <w:szCs w:val="22"/>
              </w:rPr>
              <w:lastRenderedPageBreak/>
              <w:t>Q11 (</w:t>
            </w:r>
            <w:r w:rsidRPr="00EE0A03">
              <w:rPr>
                <w:sz w:val="22"/>
                <w:szCs w:val="22"/>
              </w:rPr>
              <w:t>Least-cost Routing of Debit Card Transactions</w:t>
            </w:r>
            <w:r>
              <w:rPr>
                <w:sz w:val="22"/>
                <w:szCs w:val="22"/>
              </w:rPr>
              <w:t xml:space="preserve">): </w:t>
            </w:r>
            <w:r w:rsidRPr="00DD1165">
              <w:rPr>
                <w:sz w:val="22"/>
                <w:szCs w:val="22"/>
              </w:rPr>
              <w:t>Are there any changes that should be made to the RBA’s existing industry expectation on LCR implementation to improve competition and efficiency in the debit card market?</w:t>
            </w:r>
          </w:p>
        </w:tc>
      </w:tr>
      <w:tr w:rsidR="005B0B57" w14:paraId="0D1F35C8" w14:textId="77777777" w:rsidTr="00366CEE">
        <w:tc>
          <w:tcPr>
            <w:tcW w:w="8720" w:type="dxa"/>
            <w:shd w:val="clear" w:color="auto" w:fill="92CDDC" w:themeFill="accent5" w:themeFillTint="99"/>
          </w:tcPr>
          <w:p w14:paraId="69055873" w14:textId="77777777" w:rsidR="005B0B57" w:rsidRDefault="005B0B57" w:rsidP="005B0B57">
            <w:pPr>
              <w:pStyle w:val="Default"/>
              <w:rPr>
                <w:sz w:val="22"/>
                <w:szCs w:val="22"/>
              </w:rPr>
            </w:pPr>
            <w:r w:rsidRPr="00AD2616">
              <w:rPr>
                <w:b/>
                <w:bCs/>
              </w:rPr>
              <w:t>Feedback</w:t>
            </w:r>
          </w:p>
        </w:tc>
      </w:tr>
      <w:tr w:rsidR="005B0B57" w14:paraId="32939953" w14:textId="77777777" w:rsidTr="00366CEE">
        <w:tc>
          <w:tcPr>
            <w:tcW w:w="8720" w:type="dxa"/>
          </w:tcPr>
          <w:p w14:paraId="7EE96621" w14:textId="2BF9FD1E" w:rsidR="005B0B57" w:rsidRPr="002D2BC2" w:rsidRDefault="005B0B57" w:rsidP="008B119A">
            <w:pPr>
              <w:pStyle w:val="BodyText"/>
              <w:numPr>
                <w:ilvl w:val="0"/>
                <w:numId w:val="7"/>
              </w:numPr>
              <w:rPr>
                <w:rFonts w:asciiTheme="minorHAnsi" w:hAnsiTheme="minorHAnsi" w:cstheme="minorHAnsi"/>
                <w:color w:val="000000"/>
                <w:sz w:val="22"/>
                <w:szCs w:val="22"/>
              </w:rPr>
            </w:pPr>
            <w:r w:rsidRPr="002D2BC2">
              <w:rPr>
                <w:rFonts w:asciiTheme="minorHAnsi" w:hAnsiTheme="minorHAnsi" w:cstheme="minorHAnsi"/>
                <w:color w:val="000000"/>
                <w:sz w:val="22"/>
                <w:szCs w:val="22"/>
              </w:rPr>
              <w:t xml:space="preserve">As mentioned in the response to question 1 above, the analysis in the paper focuses on card present transactions. The value of card payments collected via card-not-present or online is far greater than in-person or card present for </w:t>
            </w:r>
            <w:r w:rsidR="00AD4918">
              <w:rPr>
                <w:rFonts w:asciiTheme="minorHAnsi" w:hAnsiTheme="minorHAnsi" w:cstheme="minorHAnsi"/>
                <w:color w:val="000000"/>
                <w:sz w:val="22"/>
                <w:szCs w:val="22"/>
              </w:rPr>
              <w:t xml:space="preserve">RBA </w:t>
            </w:r>
            <w:r w:rsidRPr="002D2BC2">
              <w:rPr>
                <w:rFonts w:asciiTheme="minorHAnsi" w:hAnsiTheme="minorHAnsi" w:cstheme="minorHAnsi"/>
                <w:color w:val="000000"/>
                <w:sz w:val="22"/>
                <w:szCs w:val="22"/>
              </w:rPr>
              <w:t xml:space="preserve">BK’s customer base. </w:t>
            </w:r>
          </w:p>
          <w:p w14:paraId="5EFDB3F7" w14:textId="77777777" w:rsidR="005B0B57" w:rsidRPr="002D2BC2" w:rsidRDefault="005B0B57" w:rsidP="008B119A">
            <w:pPr>
              <w:pStyle w:val="BodyText"/>
              <w:numPr>
                <w:ilvl w:val="0"/>
                <w:numId w:val="7"/>
              </w:numPr>
              <w:rPr>
                <w:rFonts w:asciiTheme="minorHAnsi" w:hAnsiTheme="minorHAnsi" w:cstheme="minorHAnsi"/>
                <w:color w:val="000000"/>
                <w:sz w:val="22"/>
                <w:szCs w:val="22"/>
              </w:rPr>
            </w:pPr>
            <w:r w:rsidRPr="002D2BC2">
              <w:rPr>
                <w:rFonts w:asciiTheme="minorHAnsi" w:hAnsiTheme="minorHAnsi" w:cstheme="minorHAnsi"/>
                <w:color w:val="000000"/>
                <w:sz w:val="22"/>
                <w:szCs w:val="22"/>
              </w:rPr>
              <w:t xml:space="preserve">Issues relating to LCR for card payments in the online space should be considered as part of LCR implementation.    </w:t>
            </w:r>
          </w:p>
          <w:p w14:paraId="0B8DEA74" w14:textId="2C538D16" w:rsidR="005B0B57" w:rsidRPr="002D2BC2" w:rsidRDefault="005B0B57" w:rsidP="008B119A">
            <w:pPr>
              <w:pStyle w:val="BodyText"/>
              <w:numPr>
                <w:ilvl w:val="0"/>
                <w:numId w:val="7"/>
              </w:numPr>
              <w:rPr>
                <w:rFonts w:asciiTheme="minorHAnsi" w:hAnsiTheme="minorHAnsi" w:cstheme="minorHAnsi"/>
                <w:color w:val="000000"/>
                <w:sz w:val="22"/>
                <w:szCs w:val="22"/>
              </w:rPr>
            </w:pPr>
            <w:r w:rsidRPr="002D2BC2">
              <w:rPr>
                <w:rFonts w:asciiTheme="minorHAnsi" w:hAnsiTheme="minorHAnsi" w:cstheme="minorHAnsi"/>
                <w:color w:val="000000"/>
                <w:sz w:val="22"/>
                <w:szCs w:val="22"/>
              </w:rPr>
              <w:t xml:space="preserve">Unless dynamic LCR (which evaluates and routes each individual transaction to the lowest cost network) is implemented, LCR for in-person transactions will differ for different merchants. Routing through the international debit networks is </w:t>
            </w:r>
            <w:r w:rsidR="00A77BF2">
              <w:rPr>
                <w:rFonts w:asciiTheme="minorHAnsi" w:hAnsiTheme="minorHAnsi" w:cstheme="minorHAnsi"/>
                <w:color w:val="000000"/>
                <w:sz w:val="22"/>
                <w:szCs w:val="22"/>
              </w:rPr>
              <w:t>lower cost</w:t>
            </w:r>
            <w:r w:rsidR="00A77BF2" w:rsidRPr="002D2BC2">
              <w:rPr>
                <w:rFonts w:asciiTheme="minorHAnsi" w:hAnsiTheme="minorHAnsi" w:cstheme="minorHAnsi"/>
                <w:color w:val="000000"/>
                <w:sz w:val="22"/>
                <w:szCs w:val="22"/>
              </w:rPr>
              <w:t xml:space="preserve"> </w:t>
            </w:r>
            <w:r w:rsidRPr="002D2BC2">
              <w:rPr>
                <w:rFonts w:asciiTheme="minorHAnsi" w:hAnsiTheme="minorHAnsi" w:cstheme="minorHAnsi"/>
                <w:color w:val="000000"/>
                <w:sz w:val="22"/>
                <w:szCs w:val="22"/>
              </w:rPr>
              <w:t>only in scenarios with high volumes and low values.</w:t>
            </w:r>
          </w:p>
          <w:p w14:paraId="015EF2C1" w14:textId="376B04CD" w:rsidR="005B0B57" w:rsidRPr="00877046" w:rsidRDefault="005B0B57" w:rsidP="00392D1D">
            <w:pPr>
              <w:pStyle w:val="BodyText"/>
              <w:numPr>
                <w:ilvl w:val="0"/>
                <w:numId w:val="7"/>
              </w:numPr>
              <w:rPr>
                <w:rFonts w:ascii="Calibri" w:hAnsi="Calibri" w:cs="Calibri"/>
                <w:color w:val="000000"/>
                <w:sz w:val="22"/>
                <w:szCs w:val="22"/>
              </w:rPr>
            </w:pPr>
            <w:r w:rsidRPr="00392D1D">
              <w:rPr>
                <w:rFonts w:asciiTheme="minorHAnsi" w:hAnsiTheme="minorHAnsi" w:cstheme="minorHAnsi"/>
                <w:color w:val="000000"/>
                <w:sz w:val="22"/>
                <w:szCs w:val="22"/>
              </w:rPr>
              <w:t xml:space="preserve">eftpos, which may often be the cheaper debit network, does not </w:t>
            </w:r>
            <w:r w:rsidR="00A77BF2" w:rsidRPr="00392D1D">
              <w:rPr>
                <w:rFonts w:asciiTheme="minorHAnsi" w:hAnsiTheme="minorHAnsi" w:cstheme="minorHAnsi"/>
                <w:color w:val="000000"/>
                <w:sz w:val="22"/>
                <w:szCs w:val="22"/>
              </w:rPr>
              <w:t xml:space="preserve">currently </w:t>
            </w:r>
            <w:r w:rsidRPr="00392D1D">
              <w:rPr>
                <w:rFonts w:asciiTheme="minorHAnsi" w:hAnsiTheme="minorHAnsi" w:cstheme="minorHAnsi"/>
                <w:color w:val="000000"/>
                <w:sz w:val="22"/>
                <w:szCs w:val="22"/>
              </w:rPr>
              <w:t xml:space="preserve">have all the necessary functionality required for a merchant’s business. For example, eftpos does not have the ability to take pre-authorisations. </w:t>
            </w:r>
            <w:r w:rsidR="00FB7607" w:rsidRPr="00392D1D">
              <w:rPr>
                <w:rFonts w:asciiTheme="minorHAnsi" w:hAnsiTheme="minorHAnsi" w:cstheme="minorHAnsi"/>
                <w:color w:val="000000"/>
                <w:sz w:val="22"/>
                <w:szCs w:val="22"/>
              </w:rPr>
              <w:t xml:space="preserve">For some merchants </w:t>
            </w:r>
            <w:r w:rsidRPr="00392D1D">
              <w:rPr>
                <w:rFonts w:asciiTheme="minorHAnsi" w:hAnsiTheme="minorHAnsi" w:cstheme="minorHAnsi"/>
                <w:color w:val="000000"/>
                <w:sz w:val="22"/>
                <w:szCs w:val="22"/>
              </w:rPr>
              <w:t xml:space="preserve">this </w:t>
            </w:r>
            <w:r w:rsidR="00FB7607" w:rsidRPr="00392D1D">
              <w:rPr>
                <w:rFonts w:asciiTheme="minorHAnsi" w:hAnsiTheme="minorHAnsi" w:cstheme="minorHAnsi"/>
                <w:color w:val="000000"/>
                <w:sz w:val="22"/>
                <w:szCs w:val="22"/>
              </w:rPr>
              <w:t xml:space="preserve">is important </w:t>
            </w:r>
            <w:r w:rsidRPr="00392D1D">
              <w:rPr>
                <w:rFonts w:asciiTheme="minorHAnsi" w:hAnsiTheme="minorHAnsi" w:cstheme="minorHAnsi"/>
                <w:color w:val="000000"/>
                <w:sz w:val="22"/>
                <w:szCs w:val="22"/>
              </w:rPr>
              <w:t xml:space="preserve">functionality </w:t>
            </w:r>
            <w:r w:rsidR="00E07CCA">
              <w:rPr>
                <w:rFonts w:asciiTheme="minorHAnsi" w:hAnsiTheme="minorHAnsi" w:cstheme="minorHAnsi"/>
                <w:color w:val="000000"/>
                <w:sz w:val="22"/>
                <w:szCs w:val="22"/>
              </w:rPr>
              <w:t xml:space="preserve">when </w:t>
            </w:r>
            <w:r w:rsidR="00FB7607" w:rsidRPr="00392D1D">
              <w:rPr>
                <w:rFonts w:asciiTheme="minorHAnsi" w:hAnsiTheme="minorHAnsi" w:cstheme="minorHAnsi"/>
                <w:color w:val="000000"/>
                <w:sz w:val="22"/>
                <w:szCs w:val="22"/>
              </w:rPr>
              <w:t>accepting payments</w:t>
            </w:r>
            <w:r w:rsidRPr="00392D1D">
              <w:rPr>
                <w:rFonts w:asciiTheme="minorHAnsi" w:hAnsiTheme="minorHAnsi" w:cstheme="minorHAnsi"/>
                <w:color w:val="000000"/>
                <w:sz w:val="22"/>
                <w:szCs w:val="22"/>
              </w:rPr>
              <w:t>.</w:t>
            </w:r>
            <w:r w:rsidRPr="00FE789E">
              <w:rPr>
                <w:rFonts w:asciiTheme="minorHAnsi" w:hAnsiTheme="minorHAnsi" w:cstheme="minorHAnsi"/>
                <w:sz w:val="22"/>
                <w:szCs w:val="22"/>
              </w:rPr>
              <w:t xml:space="preserve"> </w:t>
            </w:r>
          </w:p>
        </w:tc>
      </w:tr>
      <w:tr w:rsidR="005B0B57" w14:paraId="6B94FDD3" w14:textId="77777777" w:rsidTr="00366CEE">
        <w:tc>
          <w:tcPr>
            <w:tcW w:w="8720" w:type="dxa"/>
            <w:shd w:val="clear" w:color="auto" w:fill="EDF7F9"/>
          </w:tcPr>
          <w:p w14:paraId="12F21179" w14:textId="77777777" w:rsidR="005B0B57" w:rsidRDefault="005B0B57" w:rsidP="005B0B57">
            <w:pPr>
              <w:pStyle w:val="Default"/>
              <w:spacing w:after="120"/>
              <w:jc w:val="both"/>
              <w:rPr>
                <w:sz w:val="22"/>
                <w:szCs w:val="22"/>
              </w:rPr>
            </w:pPr>
            <w:r>
              <w:rPr>
                <w:sz w:val="22"/>
                <w:szCs w:val="22"/>
              </w:rPr>
              <w:t xml:space="preserve">Q12: </w:t>
            </w:r>
            <w:r w:rsidRPr="00DD1165">
              <w:rPr>
                <w:sz w:val="22"/>
                <w:szCs w:val="22"/>
              </w:rPr>
              <w:t>Does the PSB’s preferred package meet its objectives of competition, efficiency and safety in the payments system? Are there any variations to the package that the PSB should consider that would yield higher net public benefits? Is there any additional evidence that the RBA should consider before finalising its decision?</w:t>
            </w:r>
          </w:p>
        </w:tc>
      </w:tr>
      <w:tr w:rsidR="005B0B57" w14:paraId="4E85F8DD" w14:textId="77777777" w:rsidTr="00366CEE">
        <w:tc>
          <w:tcPr>
            <w:tcW w:w="8720" w:type="dxa"/>
            <w:shd w:val="clear" w:color="auto" w:fill="92CDDC" w:themeFill="accent5" w:themeFillTint="99"/>
          </w:tcPr>
          <w:p w14:paraId="4DDA65F3" w14:textId="77777777" w:rsidR="005B0B57" w:rsidRDefault="005B0B57" w:rsidP="005B0B57">
            <w:pPr>
              <w:pStyle w:val="Default"/>
              <w:rPr>
                <w:sz w:val="22"/>
                <w:szCs w:val="22"/>
              </w:rPr>
            </w:pPr>
            <w:r w:rsidRPr="00AD2616">
              <w:rPr>
                <w:b/>
                <w:bCs/>
              </w:rPr>
              <w:t>Feedback</w:t>
            </w:r>
          </w:p>
        </w:tc>
      </w:tr>
      <w:tr w:rsidR="005B0B57" w14:paraId="641BD5F6" w14:textId="77777777" w:rsidTr="00366CEE">
        <w:tc>
          <w:tcPr>
            <w:tcW w:w="8720" w:type="dxa"/>
          </w:tcPr>
          <w:p w14:paraId="522EC6F2" w14:textId="755AEDEF" w:rsidR="001C669C" w:rsidRPr="002D2BC2" w:rsidRDefault="00AD4918" w:rsidP="008B119A">
            <w:pPr>
              <w:pStyle w:val="BodyText"/>
              <w:numPr>
                <w:ilvl w:val="0"/>
                <w:numId w:val="7"/>
              </w:numPr>
              <w:rPr>
                <w:rFonts w:asciiTheme="minorHAnsi" w:hAnsiTheme="minorHAnsi" w:cstheme="minorHAnsi"/>
                <w:color w:val="000000"/>
                <w:sz w:val="22"/>
                <w:szCs w:val="22"/>
              </w:rPr>
            </w:pPr>
            <w:r>
              <w:rPr>
                <w:rFonts w:asciiTheme="minorHAnsi" w:hAnsiTheme="minorHAnsi" w:cstheme="minorHAnsi"/>
                <w:color w:val="000000"/>
                <w:sz w:val="22"/>
                <w:szCs w:val="22"/>
              </w:rPr>
              <w:t xml:space="preserve">RBA </w:t>
            </w:r>
            <w:r w:rsidR="001C669C" w:rsidRPr="002D2BC2">
              <w:rPr>
                <w:rFonts w:asciiTheme="minorHAnsi" w:hAnsiTheme="minorHAnsi" w:cstheme="minorHAnsi"/>
                <w:color w:val="000000"/>
                <w:sz w:val="22"/>
                <w:szCs w:val="22"/>
              </w:rPr>
              <w:t xml:space="preserve">BK believes the Paper is heavily focused on retail and in-person transactions. </w:t>
            </w:r>
            <w:r w:rsidR="00A77BF2">
              <w:rPr>
                <w:rFonts w:asciiTheme="minorHAnsi" w:hAnsiTheme="minorHAnsi" w:cstheme="minorHAnsi"/>
                <w:color w:val="000000"/>
                <w:sz w:val="22"/>
                <w:szCs w:val="22"/>
              </w:rPr>
              <w:t>It is not clear whether the same level of analysis was undertaken for online (card not present) use cases.</w:t>
            </w:r>
          </w:p>
          <w:p w14:paraId="7AFAC440" w14:textId="03BD5BED" w:rsidR="004F5ACE" w:rsidRPr="002D2BC2" w:rsidRDefault="00AD4918" w:rsidP="008B119A">
            <w:pPr>
              <w:pStyle w:val="BodyText"/>
              <w:numPr>
                <w:ilvl w:val="0"/>
                <w:numId w:val="7"/>
              </w:numPr>
              <w:rPr>
                <w:rFonts w:asciiTheme="minorHAnsi" w:hAnsiTheme="minorHAnsi" w:cstheme="minorHAnsi"/>
                <w:color w:val="000000"/>
                <w:sz w:val="22"/>
                <w:szCs w:val="22"/>
              </w:rPr>
            </w:pPr>
            <w:r>
              <w:rPr>
                <w:rFonts w:asciiTheme="minorHAnsi" w:hAnsiTheme="minorHAnsi" w:cstheme="minorHAnsi"/>
                <w:color w:val="000000"/>
                <w:sz w:val="22"/>
                <w:szCs w:val="22"/>
              </w:rPr>
              <w:t xml:space="preserve">RBA </w:t>
            </w:r>
            <w:r w:rsidR="001C669C" w:rsidRPr="002D2BC2">
              <w:rPr>
                <w:rFonts w:asciiTheme="minorHAnsi" w:hAnsiTheme="minorHAnsi" w:cstheme="minorHAnsi"/>
                <w:color w:val="000000"/>
                <w:sz w:val="22"/>
                <w:szCs w:val="22"/>
              </w:rPr>
              <w:t>BK</w:t>
            </w:r>
            <w:r w:rsidR="00491AA5" w:rsidRPr="002D2BC2">
              <w:rPr>
                <w:rFonts w:asciiTheme="minorHAnsi" w:hAnsiTheme="minorHAnsi" w:cstheme="minorHAnsi"/>
                <w:color w:val="000000"/>
                <w:sz w:val="22"/>
                <w:szCs w:val="22"/>
              </w:rPr>
              <w:t xml:space="preserve"> </w:t>
            </w:r>
            <w:r w:rsidR="00A77BF2">
              <w:rPr>
                <w:rFonts w:asciiTheme="minorHAnsi" w:hAnsiTheme="minorHAnsi" w:cstheme="minorHAnsi"/>
                <w:color w:val="000000"/>
                <w:sz w:val="22"/>
                <w:szCs w:val="22"/>
              </w:rPr>
              <w:t>supports</w:t>
            </w:r>
            <w:r w:rsidR="00491AA5" w:rsidRPr="002D2BC2">
              <w:rPr>
                <w:rFonts w:asciiTheme="minorHAnsi" w:hAnsiTheme="minorHAnsi" w:cstheme="minorHAnsi"/>
                <w:color w:val="000000"/>
                <w:sz w:val="22"/>
                <w:szCs w:val="22"/>
              </w:rPr>
              <w:t xml:space="preserve"> the removal of debit surcharging</w:t>
            </w:r>
            <w:r w:rsidR="00A77BF2">
              <w:rPr>
                <w:rFonts w:asciiTheme="minorHAnsi" w:hAnsiTheme="minorHAnsi" w:cstheme="minorHAnsi"/>
                <w:color w:val="000000"/>
                <w:sz w:val="22"/>
                <w:szCs w:val="22"/>
              </w:rPr>
              <w:t>.</w:t>
            </w:r>
          </w:p>
          <w:p w14:paraId="78D714B4" w14:textId="127C581C" w:rsidR="001C669C" w:rsidRPr="002D2BC2" w:rsidRDefault="00AD4918" w:rsidP="008B119A">
            <w:pPr>
              <w:pStyle w:val="BodyText"/>
              <w:numPr>
                <w:ilvl w:val="0"/>
                <w:numId w:val="7"/>
              </w:numPr>
              <w:rPr>
                <w:rFonts w:asciiTheme="minorHAnsi" w:hAnsiTheme="minorHAnsi" w:cstheme="minorHAnsi"/>
                <w:color w:val="000000"/>
                <w:sz w:val="22"/>
                <w:szCs w:val="22"/>
              </w:rPr>
            </w:pPr>
            <w:r>
              <w:rPr>
                <w:rFonts w:asciiTheme="minorHAnsi" w:hAnsiTheme="minorHAnsi" w:cstheme="minorHAnsi"/>
                <w:color w:val="000000"/>
                <w:sz w:val="22"/>
                <w:szCs w:val="22"/>
              </w:rPr>
              <w:t xml:space="preserve">RBA </w:t>
            </w:r>
            <w:r w:rsidR="00491AA5" w:rsidRPr="002D2BC2">
              <w:rPr>
                <w:rFonts w:asciiTheme="minorHAnsi" w:hAnsiTheme="minorHAnsi" w:cstheme="minorHAnsi"/>
                <w:color w:val="000000"/>
                <w:sz w:val="22"/>
                <w:szCs w:val="22"/>
              </w:rPr>
              <w:t xml:space="preserve">BK supports the capping of interchange but does not believe the removal of credit surcharging will </w:t>
            </w:r>
            <w:r w:rsidR="00A77BF2">
              <w:rPr>
                <w:rFonts w:asciiTheme="minorHAnsi" w:hAnsiTheme="minorHAnsi" w:cstheme="minorHAnsi"/>
                <w:color w:val="000000"/>
                <w:sz w:val="22"/>
                <w:szCs w:val="22"/>
              </w:rPr>
              <w:t xml:space="preserve">necessarily </w:t>
            </w:r>
            <w:r w:rsidR="00491AA5" w:rsidRPr="002D2BC2">
              <w:rPr>
                <w:rFonts w:asciiTheme="minorHAnsi" w:hAnsiTheme="minorHAnsi" w:cstheme="minorHAnsi"/>
                <w:color w:val="000000"/>
                <w:sz w:val="22"/>
                <w:szCs w:val="22"/>
              </w:rPr>
              <w:t>provide efficiency and safety in the payment system</w:t>
            </w:r>
            <w:r w:rsidR="00A77BF2">
              <w:rPr>
                <w:rFonts w:asciiTheme="minorHAnsi" w:hAnsiTheme="minorHAnsi" w:cstheme="minorHAnsi"/>
                <w:color w:val="000000"/>
                <w:sz w:val="22"/>
                <w:szCs w:val="22"/>
              </w:rPr>
              <w:t xml:space="preserve"> in all use cases, particularly in online channels where other lower cost and surcharge-free payment choices are </w:t>
            </w:r>
            <w:r w:rsidR="00A77BF2" w:rsidRPr="00F84A83">
              <w:rPr>
                <w:rFonts w:asciiTheme="minorHAnsi" w:hAnsiTheme="minorHAnsi" w:cstheme="minorHAnsi"/>
                <w:color w:val="000000"/>
                <w:sz w:val="22"/>
                <w:szCs w:val="22"/>
              </w:rPr>
              <w:t>provided</w:t>
            </w:r>
            <w:r w:rsidR="009A20B4" w:rsidRPr="00F84A83">
              <w:rPr>
                <w:rFonts w:asciiTheme="minorHAnsi" w:hAnsiTheme="minorHAnsi" w:cstheme="minorHAnsi"/>
                <w:color w:val="000000"/>
                <w:sz w:val="22"/>
                <w:szCs w:val="22"/>
              </w:rPr>
              <w:t xml:space="preserve"> or when commercial credit cards are used</w:t>
            </w:r>
            <w:r w:rsidR="00491AA5" w:rsidRPr="00F84A83">
              <w:rPr>
                <w:rFonts w:asciiTheme="minorHAnsi" w:hAnsiTheme="minorHAnsi" w:cstheme="minorHAnsi"/>
                <w:color w:val="000000"/>
                <w:sz w:val="22"/>
                <w:szCs w:val="22"/>
              </w:rPr>
              <w:t xml:space="preserve">. </w:t>
            </w:r>
            <w:r w:rsidR="00A77BF2" w:rsidRPr="00F84A83">
              <w:rPr>
                <w:rFonts w:asciiTheme="minorHAnsi" w:hAnsiTheme="minorHAnsi" w:cstheme="minorHAnsi"/>
                <w:color w:val="000000"/>
                <w:sz w:val="22"/>
                <w:szCs w:val="22"/>
              </w:rPr>
              <w:t xml:space="preserve">Some </w:t>
            </w:r>
            <w:r w:rsidR="00491AA5" w:rsidRPr="00F84A83">
              <w:rPr>
                <w:rFonts w:asciiTheme="minorHAnsi" w:hAnsiTheme="minorHAnsi" w:cstheme="minorHAnsi"/>
                <w:color w:val="000000"/>
                <w:sz w:val="22"/>
                <w:szCs w:val="22"/>
              </w:rPr>
              <w:t xml:space="preserve">merchants are restricted in their ability to recover costs by increasing their fees </w:t>
            </w:r>
            <w:r w:rsidR="001C669C" w:rsidRPr="00F84A83">
              <w:rPr>
                <w:rFonts w:asciiTheme="minorHAnsi" w:hAnsiTheme="minorHAnsi" w:cstheme="minorHAnsi"/>
                <w:color w:val="000000"/>
                <w:sz w:val="22"/>
                <w:szCs w:val="22"/>
              </w:rPr>
              <w:t>as they are not actually selling a good or service</w:t>
            </w:r>
            <w:r w:rsidR="00491AA5" w:rsidRPr="00F84A83">
              <w:rPr>
                <w:rFonts w:asciiTheme="minorHAnsi" w:hAnsiTheme="minorHAnsi" w:cstheme="minorHAnsi"/>
                <w:color w:val="000000"/>
                <w:sz w:val="22"/>
                <w:szCs w:val="22"/>
              </w:rPr>
              <w:t>.</w:t>
            </w:r>
            <w:r w:rsidR="00491AA5" w:rsidRPr="002D2BC2">
              <w:rPr>
                <w:rFonts w:asciiTheme="minorHAnsi" w:hAnsiTheme="minorHAnsi" w:cstheme="minorHAnsi"/>
                <w:color w:val="000000"/>
                <w:sz w:val="22"/>
                <w:szCs w:val="22"/>
              </w:rPr>
              <w:t xml:space="preserve"> </w:t>
            </w:r>
          </w:p>
          <w:p w14:paraId="7C08BC52" w14:textId="5903FDC1" w:rsidR="00202BEA" w:rsidRPr="002D2BC2" w:rsidRDefault="004F5ACE" w:rsidP="008B119A">
            <w:pPr>
              <w:pStyle w:val="BodyText"/>
              <w:numPr>
                <w:ilvl w:val="0"/>
                <w:numId w:val="7"/>
              </w:numPr>
              <w:rPr>
                <w:rFonts w:asciiTheme="minorHAnsi" w:hAnsiTheme="minorHAnsi" w:cstheme="minorHAnsi"/>
                <w:color w:val="000000"/>
                <w:sz w:val="22"/>
                <w:szCs w:val="22"/>
              </w:rPr>
            </w:pPr>
            <w:r w:rsidRPr="002D2BC2">
              <w:rPr>
                <w:rFonts w:asciiTheme="minorHAnsi" w:hAnsiTheme="minorHAnsi" w:cstheme="minorHAnsi"/>
                <w:color w:val="000000"/>
                <w:sz w:val="22"/>
                <w:szCs w:val="22"/>
              </w:rPr>
              <w:t xml:space="preserve">Based on </w:t>
            </w:r>
            <w:r w:rsidR="00AD4918">
              <w:rPr>
                <w:rFonts w:asciiTheme="minorHAnsi" w:hAnsiTheme="minorHAnsi" w:cstheme="minorHAnsi"/>
                <w:color w:val="000000"/>
                <w:sz w:val="22"/>
                <w:szCs w:val="22"/>
              </w:rPr>
              <w:t xml:space="preserve">RBA </w:t>
            </w:r>
            <w:r w:rsidR="00491AA5" w:rsidRPr="002D2BC2">
              <w:rPr>
                <w:rFonts w:asciiTheme="minorHAnsi" w:hAnsiTheme="minorHAnsi" w:cstheme="minorHAnsi"/>
                <w:color w:val="000000"/>
                <w:sz w:val="22"/>
                <w:szCs w:val="22"/>
              </w:rPr>
              <w:t>BK’s observation</w:t>
            </w:r>
            <w:r w:rsidRPr="002D2BC2">
              <w:rPr>
                <w:rFonts w:asciiTheme="minorHAnsi" w:hAnsiTheme="minorHAnsi" w:cstheme="minorHAnsi"/>
                <w:color w:val="000000"/>
                <w:sz w:val="22"/>
                <w:szCs w:val="22"/>
              </w:rPr>
              <w:t>s and data analysis</w:t>
            </w:r>
            <w:r w:rsidR="001C669C" w:rsidRPr="002D2BC2">
              <w:rPr>
                <w:rFonts w:asciiTheme="minorHAnsi" w:hAnsiTheme="minorHAnsi" w:cstheme="minorHAnsi"/>
                <w:color w:val="000000"/>
                <w:sz w:val="22"/>
                <w:szCs w:val="22"/>
              </w:rPr>
              <w:t xml:space="preserve"> of its customers</w:t>
            </w:r>
            <w:r w:rsidR="009A20B4">
              <w:rPr>
                <w:rFonts w:asciiTheme="minorHAnsi" w:hAnsiTheme="minorHAnsi" w:cstheme="minorHAnsi"/>
                <w:color w:val="000000"/>
                <w:sz w:val="22"/>
                <w:szCs w:val="22"/>
              </w:rPr>
              <w:t>’</w:t>
            </w:r>
            <w:r w:rsidR="001C669C" w:rsidRPr="002D2BC2">
              <w:rPr>
                <w:rFonts w:asciiTheme="minorHAnsi" w:hAnsiTheme="minorHAnsi" w:cstheme="minorHAnsi"/>
                <w:color w:val="000000"/>
                <w:sz w:val="22"/>
                <w:szCs w:val="22"/>
              </w:rPr>
              <w:t xml:space="preserve"> transactions</w:t>
            </w:r>
            <w:r w:rsidRPr="002D2BC2">
              <w:rPr>
                <w:rFonts w:asciiTheme="minorHAnsi" w:hAnsiTheme="minorHAnsi" w:cstheme="minorHAnsi"/>
                <w:color w:val="000000"/>
                <w:sz w:val="22"/>
                <w:szCs w:val="22"/>
              </w:rPr>
              <w:t xml:space="preserve">, the proportion of credit card payments to debit card payments continues to grow despite the substantial difference in the surcharge rates since </w:t>
            </w:r>
            <w:r w:rsidR="00AD4918">
              <w:rPr>
                <w:rFonts w:asciiTheme="minorHAnsi" w:hAnsiTheme="minorHAnsi" w:cstheme="minorHAnsi"/>
                <w:color w:val="000000"/>
                <w:sz w:val="22"/>
                <w:szCs w:val="22"/>
              </w:rPr>
              <w:t xml:space="preserve">RBA </w:t>
            </w:r>
            <w:r w:rsidR="001C669C" w:rsidRPr="002D2BC2">
              <w:rPr>
                <w:rFonts w:asciiTheme="minorHAnsi" w:hAnsiTheme="minorHAnsi" w:cstheme="minorHAnsi"/>
                <w:color w:val="000000"/>
                <w:sz w:val="22"/>
                <w:szCs w:val="22"/>
              </w:rPr>
              <w:t>BK</w:t>
            </w:r>
            <w:r w:rsidRPr="002D2BC2">
              <w:rPr>
                <w:rFonts w:asciiTheme="minorHAnsi" w:hAnsiTheme="minorHAnsi" w:cstheme="minorHAnsi"/>
                <w:color w:val="000000"/>
                <w:sz w:val="22"/>
                <w:szCs w:val="22"/>
              </w:rPr>
              <w:t xml:space="preserve"> implement</w:t>
            </w:r>
            <w:r w:rsidR="001C669C" w:rsidRPr="002D2BC2">
              <w:rPr>
                <w:rFonts w:asciiTheme="minorHAnsi" w:hAnsiTheme="minorHAnsi" w:cstheme="minorHAnsi"/>
                <w:color w:val="000000"/>
                <w:sz w:val="22"/>
                <w:szCs w:val="22"/>
              </w:rPr>
              <w:t>ed</w:t>
            </w:r>
            <w:r w:rsidRPr="002D2BC2">
              <w:rPr>
                <w:rFonts w:asciiTheme="minorHAnsi" w:hAnsiTheme="minorHAnsi" w:cstheme="minorHAnsi"/>
                <w:color w:val="000000"/>
                <w:sz w:val="22"/>
                <w:szCs w:val="22"/>
              </w:rPr>
              <w:t xml:space="preserve"> differential </w:t>
            </w:r>
            <w:r w:rsidR="001C669C" w:rsidRPr="002D2BC2">
              <w:rPr>
                <w:rFonts w:asciiTheme="minorHAnsi" w:hAnsiTheme="minorHAnsi" w:cstheme="minorHAnsi"/>
                <w:color w:val="000000"/>
                <w:sz w:val="22"/>
                <w:szCs w:val="22"/>
              </w:rPr>
              <w:t xml:space="preserve">pricing and </w:t>
            </w:r>
            <w:r w:rsidRPr="002D2BC2">
              <w:rPr>
                <w:rFonts w:asciiTheme="minorHAnsi" w:hAnsiTheme="minorHAnsi" w:cstheme="minorHAnsi"/>
                <w:color w:val="000000"/>
                <w:sz w:val="22"/>
                <w:szCs w:val="22"/>
              </w:rPr>
              <w:t xml:space="preserve">surcharging </w:t>
            </w:r>
            <w:r w:rsidR="001C669C" w:rsidRPr="002D2BC2">
              <w:rPr>
                <w:rFonts w:asciiTheme="minorHAnsi" w:hAnsiTheme="minorHAnsi" w:cstheme="minorHAnsi"/>
                <w:color w:val="000000"/>
                <w:sz w:val="22"/>
                <w:szCs w:val="22"/>
              </w:rPr>
              <w:t xml:space="preserve">(debit and credit) </w:t>
            </w:r>
            <w:r w:rsidRPr="002D2BC2">
              <w:rPr>
                <w:rFonts w:asciiTheme="minorHAnsi" w:hAnsiTheme="minorHAnsi" w:cstheme="minorHAnsi"/>
                <w:color w:val="000000"/>
                <w:sz w:val="22"/>
                <w:szCs w:val="22"/>
              </w:rPr>
              <w:t>for our customers.</w:t>
            </w:r>
          </w:p>
          <w:p w14:paraId="6273170A" w14:textId="77777777" w:rsidR="005B0B57" w:rsidRDefault="009A20B4" w:rsidP="008B119A">
            <w:pPr>
              <w:pStyle w:val="BodyText"/>
              <w:numPr>
                <w:ilvl w:val="0"/>
                <w:numId w:val="7"/>
              </w:numPr>
              <w:rPr>
                <w:rFonts w:ascii="Calibri" w:hAnsi="Calibri" w:cs="Calibri"/>
                <w:color w:val="000000"/>
                <w:sz w:val="22"/>
                <w:szCs w:val="22"/>
              </w:rPr>
            </w:pPr>
            <w:r>
              <w:rPr>
                <w:rFonts w:asciiTheme="minorHAnsi" w:hAnsiTheme="minorHAnsi" w:cstheme="minorHAnsi"/>
                <w:color w:val="000000"/>
                <w:sz w:val="22"/>
                <w:szCs w:val="22"/>
              </w:rPr>
              <w:t>Some merchants should c</w:t>
            </w:r>
            <w:r w:rsidR="00202BEA" w:rsidRPr="002D2BC2">
              <w:rPr>
                <w:rFonts w:asciiTheme="minorHAnsi" w:hAnsiTheme="minorHAnsi" w:cstheme="minorHAnsi"/>
                <w:color w:val="000000"/>
                <w:sz w:val="22"/>
                <w:szCs w:val="22"/>
              </w:rPr>
              <w:t xml:space="preserve">ontinue to </w:t>
            </w:r>
            <w:r>
              <w:rPr>
                <w:rFonts w:asciiTheme="minorHAnsi" w:hAnsiTheme="minorHAnsi" w:cstheme="minorHAnsi"/>
                <w:color w:val="000000"/>
                <w:sz w:val="22"/>
                <w:szCs w:val="22"/>
              </w:rPr>
              <w:t xml:space="preserve">be permitted to </w:t>
            </w:r>
            <w:r w:rsidR="00202BEA" w:rsidRPr="002D2BC2">
              <w:rPr>
                <w:rFonts w:asciiTheme="minorHAnsi" w:hAnsiTheme="minorHAnsi" w:cstheme="minorHAnsi"/>
                <w:color w:val="000000"/>
                <w:sz w:val="22"/>
                <w:szCs w:val="22"/>
              </w:rPr>
              <w:t xml:space="preserve">surcharge for credit card payments </w:t>
            </w:r>
            <w:r>
              <w:rPr>
                <w:rFonts w:asciiTheme="minorHAnsi" w:hAnsiTheme="minorHAnsi" w:cstheme="minorHAnsi"/>
                <w:color w:val="000000"/>
                <w:sz w:val="22"/>
                <w:szCs w:val="22"/>
              </w:rPr>
              <w:t xml:space="preserve">for certain use cases particularly when surcharge free payment choices are also provided, </w:t>
            </w:r>
            <w:r w:rsidR="001C669C" w:rsidRPr="002D2BC2">
              <w:rPr>
                <w:rFonts w:asciiTheme="minorHAnsi" w:hAnsiTheme="minorHAnsi" w:cstheme="minorHAnsi"/>
                <w:color w:val="000000"/>
                <w:sz w:val="22"/>
                <w:szCs w:val="22"/>
              </w:rPr>
              <w:t xml:space="preserve">as was </w:t>
            </w:r>
            <w:r>
              <w:rPr>
                <w:rFonts w:asciiTheme="minorHAnsi" w:hAnsiTheme="minorHAnsi" w:cstheme="minorHAnsi"/>
                <w:color w:val="000000"/>
                <w:sz w:val="22"/>
                <w:szCs w:val="22"/>
              </w:rPr>
              <w:t xml:space="preserve">the case for </w:t>
            </w:r>
            <w:r w:rsidR="001C669C" w:rsidRPr="002D2BC2">
              <w:rPr>
                <w:rFonts w:asciiTheme="minorHAnsi" w:hAnsiTheme="minorHAnsi" w:cstheme="minorHAnsi"/>
                <w:color w:val="000000"/>
                <w:sz w:val="22"/>
                <w:szCs w:val="22"/>
              </w:rPr>
              <w:t xml:space="preserve">some cards for </w:t>
            </w:r>
            <w:r w:rsidR="00202BEA" w:rsidRPr="002D2BC2">
              <w:rPr>
                <w:rFonts w:asciiTheme="minorHAnsi" w:hAnsiTheme="minorHAnsi" w:cstheme="minorHAnsi"/>
                <w:color w:val="000000"/>
                <w:sz w:val="22"/>
                <w:szCs w:val="22"/>
              </w:rPr>
              <w:t>taxi fares</w:t>
            </w:r>
            <w:r w:rsidR="001C669C" w:rsidRPr="002D2BC2">
              <w:rPr>
                <w:rFonts w:asciiTheme="minorHAnsi" w:hAnsiTheme="minorHAnsi" w:cstheme="minorHAnsi"/>
                <w:color w:val="000000"/>
                <w:sz w:val="22"/>
                <w:szCs w:val="22"/>
              </w:rPr>
              <w:t>.</w:t>
            </w:r>
            <w:r w:rsidR="00202BEA">
              <w:rPr>
                <w:rFonts w:ascii="Calibri" w:hAnsi="Calibri" w:cs="Calibri"/>
                <w:color w:val="000000"/>
                <w:sz w:val="22"/>
                <w:szCs w:val="22"/>
              </w:rPr>
              <w:t xml:space="preserve">  </w:t>
            </w:r>
            <w:r w:rsidR="004F5ACE">
              <w:rPr>
                <w:rFonts w:ascii="Calibri" w:hAnsi="Calibri" w:cs="Calibri"/>
                <w:color w:val="000000"/>
                <w:sz w:val="22"/>
                <w:szCs w:val="22"/>
              </w:rPr>
              <w:t xml:space="preserve"> </w:t>
            </w:r>
          </w:p>
          <w:p w14:paraId="04A90B1C" w14:textId="1F30D487" w:rsidR="00DD44C0" w:rsidRPr="00877046" w:rsidRDefault="00DD44C0" w:rsidP="00DD44C0">
            <w:pPr>
              <w:pStyle w:val="BodyText"/>
              <w:rPr>
                <w:rFonts w:ascii="Calibri" w:hAnsi="Calibri" w:cs="Calibri"/>
                <w:color w:val="000000"/>
                <w:sz w:val="22"/>
                <w:szCs w:val="22"/>
              </w:rPr>
            </w:pPr>
          </w:p>
        </w:tc>
      </w:tr>
      <w:tr w:rsidR="005B0B57" w14:paraId="0E659F9D" w14:textId="77777777" w:rsidTr="00366CEE">
        <w:tc>
          <w:tcPr>
            <w:tcW w:w="8720" w:type="dxa"/>
            <w:shd w:val="clear" w:color="auto" w:fill="EDF7F9"/>
          </w:tcPr>
          <w:p w14:paraId="306ADB23" w14:textId="77777777" w:rsidR="005B0B57" w:rsidRDefault="005B0B57" w:rsidP="005B0B57">
            <w:pPr>
              <w:pStyle w:val="Default"/>
              <w:spacing w:after="120"/>
              <w:jc w:val="both"/>
              <w:rPr>
                <w:sz w:val="22"/>
                <w:szCs w:val="22"/>
              </w:rPr>
            </w:pPr>
            <w:r>
              <w:rPr>
                <w:sz w:val="22"/>
                <w:szCs w:val="22"/>
              </w:rPr>
              <w:lastRenderedPageBreak/>
              <w:t xml:space="preserve">Q13: </w:t>
            </w:r>
            <w:r w:rsidRPr="00DD1165">
              <w:rPr>
                <w:sz w:val="22"/>
                <w:szCs w:val="22"/>
              </w:rPr>
              <w:t>What is your feedback on the proposed implementation timeline for these reforms?</w:t>
            </w:r>
          </w:p>
        </w:tc>
      </w:tr>
      <w:tr w:rsidR="005B0B57" w14:paraId="502318F4" w14:textId="77777777" w:rsidTr="00366CEE">
        <w:tc>
          <w:tcPr>
            <w:tcW w:w="8720" w:type="dxa"/>
            <w:shd w:val="clear" w:color="auto" w:fill="92CDDC" w:themeFill="accent5" w:themeFillTint="99"/>
          </w:tcPr>
          <w:p w14:paraId="6BA911F7" w14:textId="77777777" w:rsidR="005B0B57" w:rsidRDefault="005B0B57" w:rsidP="005B0B57">
            <w:pPr>
              <w:pStyle w:val="Default"/>
              <w:rPr>
                <w:sz w:val="22"/>
                <w:szCs w:val="22"/>
              </w:rPr>
            </w:pPr>
            <w:r w:rsidRPr="00AD2616">
              <w:rPr>
                <w:b/>
                <w:bCs/>
              </w:rPr>
              <w:t>Feedback</w:t>
            </w:r>
          </w:p>
        </w:tc>
      </w:tr>
      <w:tr w:rsidR="005B0B57" w14:paraId="11E5EE63" w14:textId="77777777" w:rsidTr="00366CEE">
        <w:tc>
          <w:tcPr>
            <w:tcW w:w="8720" w:type="dxa"/>
          </w:tcPr>
          <w:p w14:paraId="6D813BF4" w14:textId="5520FC22" w:rsidR="005B0B57" w:rsidRPr="00877046" w:rsidRDefault="00D0161F" w:rsidP="008B119A">
            <w:pPr>
              <w:pStyle w:val="BodyText"/>
              <w:numPr>
                <w:ilvl w:val="0"/>
                <w:numId w:val="7"/>
              </w:numPr>
              <w:rPr>
                <w:rFonts w:ascii="Calibri" w:hAnsi="Calibri" w:cs="Calibri"/>
                <w:color w:val="000000"/>
                <w:sz w:val="22"/>
                <w:szCs w:val="22"/>
              </w:rPr>
            </w:pPr>
            <w:r>
              <w:rPr>
                <w:rFonts w:ascii="Calibri" w:hAnsi="Calibri" w:cs="Calibri"/>
                <w:color w:val="000000"/>
                <w:sz w:val="22"/>
                <w:szCs w:val="22"/>
              </w:rPr>
              <w:t>RBA BK believes the implementation timelines are ambitious considering other</w:t>
            </w:r>
            <w:r w:rsidR="00E07CCA">
              <w:rPr>
                <w:rFonts w:ascii="Calibri" w:hAnsi="Calibri" w:cs="Calibri"/>
                <w:color w:val="000000"/>
                <w:sz w:val="22"/>
                <w:szCs w:val="22"/>
              </w:rPr>
              <w:t xml:space="preserve"> significant</w:t>
            </w:r>
            <w:r>
              <w:rPr>
                <w:rFonts w:ascii="Calibri" w:hAnsi="Calibri" w:cs="Calibri"/>
                <w:color w:val="000000"/>
                <w:sz w:val="22"/>
                <w:szCs w:val="22"/>
              </w:rPr>
              <w:t xml:space="preserve"> industry changes in the payments landscape (e.g</w:t>
            </w:r>
            <w:r w:rsidR="00E07CCA">
              <w:rPr>
                <w:rFonts w:ascii="Calibri" w:hAnsi="Calibri" w:cs="Calibri"/>
                <w:color w:val="000000"/>
                <w:sz w:val="22"/>
                <w:szCs w:val="22"/>
              </w:rPr>
              <w:t>.</w:t>
            </w:r>
            <w:r>
              <w:rPr>
                <w:rFonts w:ascii="Calibri" w:hAnsi="Calibri" w:cs="Calibri"/>
                <w:color w:val="000000"/>
                <w:sz w:val="22"/>
                <w:szCs w:val="22"/>
              </w:rPr>
              <w:t xml:space="preserve"> cessation of cheques, A2A).</w:t>
            </w:r>
          </w:p>
        </w:tc>
      </w:tr>
      <w:tr w:rsidR="005B0B57" w14:paraId="3A878AB9" w14:textId="77777777" w:rsidTr="00366CEE">
        <w:tc>
          <w:tcPr>
            <w:tcW w:w="8720" w:type="dxa"/>
            <w:shd w:val="clear" w:color="auto" w:fill="EDF7F9"/>
          </w:tcPr>
          <w:p w14:paraId="09BD342E" w14:textId="496E329E" w:rsidR="005B0B57" w:rsidRDefault="005B0B57" w:rsidP="005B0B57">
            <w:pPr>
              <w:pStyle w:val="Default"/>
              <w:spacing w:after="120"/>
              <w:jc w:val="both"/>
              <w:rPr>
                <w:sz w:val="22"/>
                <w:szCs w:val="22"/>
              </w:rPr>
            </w:pPr>
            <w:r>
              <w:rPr>
                <w:sz w:val="22"/>
                <w:szCs w:val="22"/>
              </w:rPr>
              <w:t xml:space="preserve">Q14: </w:t>
            </w:r>
            <w:r w:rsidRPr="00DD1165">
              <w:rPr>
                <w:sz w:val="22"/>
                <w:szCs w:val="22"/>
              </w:rPr>
              <w:t>Do the draft standards in Appendix D achieve the intended policy objectives? Are there factors that have not been properly addressed or considered in the drafting of the proposed standards?</w:t>
            </w:r>
          </w:p>
        </w:tc>
      </w:tr>
      <w:tr w:rsidR="005B0B57" w14:paraId="10B1B7F4" w14:textId="77777777" w:rsidTr="00366CEE">
        <w:tc>
          <w:tcPr>
            <w:tcW w:w="8720" w:type="dxa"/>
            <w:shd w:val="clear" w:color="auto" w:fill="92CDDC" w:themeFill="accent5" w:themeFillTint="99"/>
          </w:tcPr>
          <w:p w14:paraId="0C18062E" w14:textId="2CEEA227" w:rsidR="005B0B57" w:rsidRDefault="005B0B57" w:rsidP="005B0B57">
            <w:pPr>
              <w:pStyle w:val="Default"/>
              <w:rPr>
                <w:sz w:val="22"/>
                <w:szCs w:val="22"/>
              </w:rPr>
            </w:pPr>
            <w:r w:rsidRPr="00AD2616">
              <w:rPr>
                <w:b/>
                <w:bCs/>
              </w:rPr>
              <w:t>Feedback</w:t>
            </w:r>
          </w:p>
        </w:tc>
      </w:tr>
      <w:tr w:rsidR="005B0B57" w14:paraId="52B36D64" w14:textId="77777777" w:rsidTr="00371741">
        <w:tc>
          <w:tcPr>
            <w:tcW w:w="8720" w:type="dxa"/>
          </w:tcPr>
          <w:p w14:paraId="04B945B2" w14:textId="282C8EB2" w:rsidR="005B0B57" w:rsidRPr="00A479F4" w:rsidRDefault="009A20B4" w:rsidP="008B119A">
            <w:pPr>
              <w:pStyle w:val="BodyText"/>
              <w:numPr>
                <w:ilvl w:val="0"/>
                <w:numId w:val="7"/>
              </w:numPr>
              <w:rPr>
                <w:rFonts w:asciiTheme="minorHAnsi" w:hAnsiTheme="minorHAnsi" w:cstheme="minorHAnsi"/>
                <w:color w:val="000000"/>
                <w:sz w:val="22"/>
                <w:szCs w:val="22"/>
              </w:rPr>
            </w:pPr>
            <w:r w:rsidRPr="00A479F4">
              <w:rPr>
                <w:rFonts w:asciiTheme="minorHAnsi" w:hAnsiTheme="minorHAnsi" w:cstheme="minorHAnsi"/>
                <w:sz w:val="22"/>
                <w:szCs w:val="22"/>
              </w:rPr>
              <w:t>RBA BK has no response here.</w:t>
            </w:r>
          </w:p>
        </w:tc>
      </w:tr>
    </w:tbl>
    <w:p w14:paraId="22A88088" w14:textId="4885F85D" w:rsidR="00122943" w:rsidRDefault="00307E99">
      <w:r>
        <w:rPr>
          <w:b/>
          <w:bCs/>
          <w:color w:val="326599"/>
          <w:sz w:val="28"/>
          <w:szCs w:val="28"/>
        </w:rPr>
        <w:br/>
      </w:r>
      <w:sdt>
        <w:sdtPr>
          <w:id w:val="-1155150312"/>
          <w:docPartObj>
            <w:docPartGallery w:val="Bibliographies"/>
            <w:docPartUnique/>
          </w:docPartObj>
        </w:sdtPr>
        <w:sdtContent>
          <w:sdt>
            <w:sdtPr>
              <w:id w:val="111145805"/>
              <w:showingPlcHdr/>
              <w:bibliography/>
            </w:sdtPr>
            <w:sdtContent>
              <w:r w:rsidR="00B4319E">
                <w:t xml:space="preserve">     </w:t>
              </w:r>
            </w:sdtContent>
          </w:sdt>
        </w:sdtContent>
      </w:sdt>
    </w:p>
    <w:sectPr w:rsidR="00122943" w:rsidSect="00942586">
      <w:footerReference w:type="even" r:id="rId8"/>
      <w:footerReference w:type="default" r:id="rId9"/>
      <w:headerReference w:type="first" r:id="rId10"/>
      <w:footerReference w:type="first" r:id="rId11"/>
      <w:pgSz w:w="11906" w:h="16838"/>
      <w:pgMar w:top="1701" w:right="1588" w:bottom="1418" w:left="158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68F49" w14:textId="77777777" w:rsidR="004F3E6A" w:rsidRDefault="004F3E6A">
      <w:pPr>
        <w:spacing w:after="0" w:line="240" w:lineRule="auto"/>
      </w:pPr>
      <w:r>
        <w:separator/>
      </w:r>
    </w:p>
  </w:endnote>
  <w:endnote w:type="continuationSeparator" w:id="0">
    <w:p w14:paraId="68F63782" w14:textId="77777777" w:rsidR="004F3E6A" w:rsidRDefault="004F3E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Light">
    <w:altName w:val="Myriad Pro Light"/>
    <w:panose1 w:val="020B0403030403020204"/>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46A69" w14:textId="77777777" w:rsidR="00122943" w:rsidRPr="00895C6A" w:rsidRDefault="00122943" w:rsidP="00895C6A">
    <w:pPr>
      <w:pStyle w:val="Footer"/>
    </w:pPr>
    <w:r w:rsidRPr="00895C6A">
      <w:fldChar w:fldCharType="begin"/>
    </w:r>
    <w:r w:rsidRPr="00895C6A">
      <w:instrText xml:space="preserve"> PAGE </w:instrText>
    </w:r>
    <w:r w:rsidRPr="00895C6A">
      <w:fldChar w:fldCharType="separate"/>
    </w:r>
    <w:r>
      <w:rPr>
        <w:noProof/>
      </w:rPr>
      <w:t>2</w:t>
    </w:r>
    <w:r w:rsidRPr="00895C6A">
      <w:fldChar w:fldCharType="end"/>
    </w:r>
    <w:r>
      <w:t xml:space="preserve">  </w:t>
    </w:r>
    <w:r w:rsidRPr="005B056F">
      <w:rPr>
        <w:b/>
      </w:rPr>
      <w:t>RESERVE BANK OF AUSTRALIA</w:t>
    </w:r>
    <w:r w:rsidRPr="00895C6A">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6B302" w14:textId="07FA7F84" w:rsidR="00122943" w:rsidRPr="005B056F" w:rsidRDefault="00000000" w:rsidP="005B056F">
    <w:pPr>
      <w:pStyle w:val="Footer"/>
    </w:pPr>
    <w:sdt>
      <w:sdtPr>
        <w:rPr>
          <w:caps/>
          <w:color w:val="007698"/>
          <w:spacing w:val="-2"/>
          <w:lang w:eastAsia="en-US"/>
        </w:rPr>
        <w:alias w:val="Title"/>
        <w:tag w:val=""/>
        <w:id w:val="388156020"/>
        <w:dataBinding w:prefixMappings="xmlns:ns0='http://purl.org/dc/elements/1.1/' xmlns:ns1='http://schemas.openxmlformats.org/package/2006/metadata/core-properties' " w:xpath="/ns1:coreProperties[1]/ns0:title[1]" w:storeItemID="{6C3C8BC8-F283-45AE-878A-BAB7291924A1}"/>
        <w:text/>
      </w:sdtPr>
      <w:sdtContent>
        <w:r w:rsidR="00417C7E">
          <w:rPr>
            <w:caps/>
            <w:color w:val="007698"/>
            <w:spacing w:val="-2"/>
            <w:lang w:eastAsia="en-US"/>
          </w:rPr>
          <w:t>Review of Merchant Card Payment Costs and Surcharging Consultation Paper</w:t>
        </w:r>
      </w:sdtContent>
    </w:sdt>
    <w:r w:rsidR="00122943">
      <w:rPr>
        <w:color w:val="007698"/>
        <w:spacing w:val="-2"/>
        <w:lang w:eastAsia="en-US"/>
      </w:rPr>
      <w:tab/>
    </w:r>
    <w:r w:rsidR="00122943">
      <w:rPr>
        <w:color w:val="007698"/>
        <w:spacing w:val="-2"/>
        <w:lang w:eastAsia="en-US"/>
      </w:rPr>
      <w:tab/>
    </w:r>
    <w:r w:rsidR="00122943" w:rsidRPr="00590767">
      <w:rPr>
        <w:color w:val="007698"/>
        <w:lang w:val="en-US" w:eastAsia="en-US"/>
      </w:rPr>
      <w:t>|</w:t>
    </w:r>
    <w:r w:rsidR="00122943">
      <w:rPr>
        <w:lang w:val="en-US" w:eastAsia="en-US"/>
      </w:rPr>
      <w:t xml:space="preserve"> </w:t>
    </w:r>
    <w:r w:rsidR="00122943">
      <w:rPr>
        <w:lang w:val="en-US" w:eastAsia="en-US"/>
      </w:rPr>
      <w:fldChar w:fldCharType="begin"/>
    </w:r>
    <w:r w:rsidR="00122943">
      <w:rPr>
        <w:lang w:val="en-US" w:eastAsia="en-US"/>
      </w:rPr>
      <w:instrText xml:space="preserve"> PAGE  </w:instrText>
    </w:r>
    <w:r w:rsidR="00122943">
      <w:rPr>
        <w:lang w:val="en-US" w:eastAsia="en-US"/>
      </w:rPr>
      <w:fldChar w:fldCharType="separate"/>
    </w:r>
    <w:r w:rsidR="00122943">
      <w:rPr>
        <w:noProof/>
        <w:lang w:val="en-US" w:eastAsia="en-US"/>
      </w:rPr>
      <w:t>3</w:t>
    </w:r>
    <w:r w:rsidR="00122943">
      <w:rPr>
        <w:lang w:val="en-US" w:eastAsia="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9EB79" w14:textId="2FFAA1E0" w:rsidR="00122943" w:rsidRPr="00942586" w:rsidRDefault="00122943" w:rsidP="00895C6A">
    <w:pPr>
      <w:pStyle w:val="Footer"/>
    </w:pPr>
    <w:r>
      <w:rPr>
        <w:color w:val="007698"/>
        <w:spacing w:val="-2"/>
        <w:lang w:eastAsia="en-US"/>
      </w:rPr>
      <w:tab/>
    </w:r>
    <w:r>
      <w:rPr>
        <w:color w:val="007698"/>
        <w:spacing w:val="-2"/>
        <w:lang w:eastAsia="en-US"/>
      </w:rPr>
      <w:tab/>
    </w:r>
    <w:sdt>
      <w:sdtPr>
        <w:rPr>
          <w:caps/>
          <w:color w:val="007698"/>
          <w:spacing w:val="-2"/>
          <w:lang w:eastAsia="en-US"/>
        </w:rPr>
        <w:alias w:val="Title"/>
        <w:tag w:val=""/>
        <w:id w:val="-476460039"/>
        <w:dataBinding w:prefixMappings="xmlns:ns0='http://purl.org/dc/elements/1.1/' xmlns:ns1='http://schemas.openxmlformats.org/package/2006/metadata/core-properties' " w:xpath="/ns1:coreProperties[1]/ns0:title[1]" w:storeItemID="{6C3C8BC8-F283-45AE-878A-BAB7291924A1}"/>
        <w:text/>
      </w:sdtPr>
      <w:sdtContent>
        <w:r w:rsidR="00417C7E">
          <w:rPr>
            <w:caps/>
            <w:color w:val="007698"/>
            <w:spacing w:val="-2"/>
            <w:lang w:eastAsia="en-US"/>
          </w:rPr>
          <w:t>Review of Merchant Card Payment Costs and Surcharging Consultation Paper</w:t>
        </w:r>
      </w:sdtContent>
    </w:sdt>
    <w:r w:rsidRPr="00880E01">
      <w:rPr>
        <w:color w:val="007698"/>
        <w:lang w:val="en-US" w:eastAsia="en-US"/>
      </w:rPr>
      <w:t xml:space="preserve"> </w:t>
    </w:r>
    <w:r w:rsidRPr="00590767">
      <w:rPr>
        <w:color w:val="007698"/>
        <w:lang w:val="en-US" w:eastAsia="en-US"/>
      </w:rPr>
      <w:t>|</w:t>
    </w:r>
    <w:r>
      <w:rPr>
        <w:lang w:val="en-US" w:eastAsia="en-US"/>
      </w:rPr>
      <w:t xml:space="preserve"> </w:t>
    </w:r>
    <w:r>
      <w:rPr>
        <w:lang w:val="en-US" w:eastAsia="en-US"/>
      </w:rPr>
      <w:fldChar w:fldCharType="begin"/>
    </w:r>
    <w:r>
      <w:rPr>
        <w:lang w:val="en-US" w:eastAsia="en-US"/>
      </w:rPr>
      <w:instrText xml:space="preserve"> PAGE  </w:instrText>
    </w:r>
    <w:r>
      <w:rPr>
        <w:lang w:val="en-US" w:eastAsia="en-US"/>
      </w:rPr>
      <w:fldChar w:fldCharType="separate"/>
    </w:r>
    <w:r>
      <w:rPr>
        <w:noProof/>
        <w:lang w:val="en-US" w:eastAsia="en-US"/>
      </w:rPr>
      <w:t>1</w:t>
    </w:r>
    <w:r>
      <w:rPr>
        <w:lang w:val="en-US" w:eastAsia="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6D7C4" w14:textId="77777777" w:rsidR="004F3E6A" w:rsidRDefault="004F3E6A">
      <w:pPr>
        <w:spacing w:after="0" w:line="240" w:lineRule="auto"/>
      </w:pPr>
      <w:r>
        <w:separator/>
      </w:r>
    </w:p>
  </w:footnote>
  <w:footnote w:type="continuationSeparator" w:id="0">
    <w:p w14:paraId="56B92B51" w14:textId="77777777" w:rsidR="004F3E6A" w:rsidRDefault="004F3E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D4CFB" w14:textId="77777777" w:rsidR="00122943" w:rsidRDefault="00122943">
    <w:pPr>
      <w:pStyle w:val="Header"/>
    </w:pPr>
    <w:r>
      <w:rPr>
        <w:noProof/>
      </w:rPr>
      <w:drawing>
        <wp:inline distT="0" distB="0" distL="0" distR="0" wp14:anchorId="7C58024A" wp14:editId="575CCED7">
          <wp:extent cx="2872105" cy="373380"/>
          <wp:effectExtent l="0" t="0" r="0" b="0"/>
          <wp:docPr id="1" name="Picture 1" descr="rba-logo-horizontal-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ba-logo-horizontal-blac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872105" cy="3733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57715"/>
    <w:multiLevelType w:val="hybridMultilevel"/>
    <w:tmpl w:val="20083C7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0FFA2C06"/>
    <w:multiLevelType w:val="hybridMultilevel"/>
    <w:tmpl w:val="1D5E15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4DD0E01"/>
    <w:multiLevelType w:val="multilevel"/>
    <w:tmpl w:val="BA9C84EE"/>
    <w:styleLink w:val="ListLettera"/>
    <w:lvl w:ilvl="0">
      <w:start w:val="1"/>
      <w:numFmt w:val="lowerLetter"/>
      <w:lvlText w:val="(%1)"/>
      <w:lvlJc w:val="left"/>
      <w:pPr>
        <w:tabs>
          <w:tab w:val="num" w:pos="0"/>
        </w:tabs>
        <w:ind w:left="425" w:hanging="425"/>
      </w:pPr>
      <w:rPr>
        <w:rFonts w:asciiTheme="minorHAnsi" w:hAnsiTheme="minorHAnsi" w:hint="default"/>
        <w:sz w:val="21"/>
      </w:rPr>
    </w:lvl>
    <w:lvl w:ilvl="1">
      <w:start w:val="1"/>
      <w:numFmt w:val="lowerRoman"/>
      <w:lvlText w:val="(%2)"/>
      <w:lvlJc w:val="left"/>
      <w:pPr>
        <w:tabs>
          <w:tab w:val="num" w:pos="425"/>
        </w:tabs>
        <w:ind w:left="850" w:hanging="425"/>
      </w:pPr>
      <w:rPr>
        <w:rFonts w:hint="default"/>
      </w:rPr>
    </w:lvl>
    <w:lvl w:ilvl="2">
      <w:start w:val="1"/>
      <w:numFmt w:val="upperLetter"/>
      <w:lvlText w:val="(%3)"/>
      <w:lvlJc w:val="left"/>
      <w:pPr>
        <w:tabs>
          <w:tab w:val="num" w:pos="850"/>
        </w:tabs>
        <w:ind w:left="1275" w:hanging="425"/>
      </w:pPr>
      <w:rPr>
        <w:rFonts w:hint="default"/>
      </w:rPr>
    </w:lvl>
    <w:lvl w:ilvl="3">
      <w:start w:val="1"/>
      <w:numFmt w:val="none"/>
      <w:lvlText w:val=""/>
      <w:lvlJc w:val="left"/>
      <w:pPr>
        <w:tabs>
          <w:tab w:val="num" w:pos="1275"/>
        </w:tabs>
        <w:ind w:left="1700" w:hanging="425"/>
      </w:pPr>
      <w:rPr>
        <w:rFonts w:hint="default"/>
      </w:rPr>
    </w:lvl>
    <w:lvl w:ilvl="4">
      <w:start w:val="1"/>
      <w:numFmt w:val="none"/>
      <w:lvlText w:val=""/>
      <w:lvlJc w:val="left"/>
      <w:pPr>
        <w:tabs>
          <w:tab w:val="num" w:pos="1700"/>
        </w:tabs>
        <w:ind w:left="2125" w:hanging="425"/>
      </w:pPr>
      <w:rPr>
        <w:rFonts w:hint="default"/>
      </w:rPr>
    </w:lvl>
    <w:lvl w:ilvl="5">
      <w:start w:val="1"/>
      <w:numFmt w:val="none"/>
      <w:lvlText w:val=""/>
      <w:lvlJc w:val="left"/>
      <w:pPr>
        <w:tabs>
          <w:tab w:val="num" w:pos="2125"/>
        </w:tabs>
        <w:ind w:left="2550" w:hanging="425"/>
      </w:pPr>
      <w:rPr>
        <w:rFonts w:hint="default"/>
      </w:rPr>
    </w:lvl>
    <w:lvl w:ilvl="6">
      <w:start w:val="1"/>
      <w:numFmt w:val="none"/>
      <w:lvlText w:val=""/>
      <w:lvlJc w:val="left"/>
      <w:pPr>
        <w:tabs>
          <w:tab w:val="num" w:pos="2550"/>
        </w:tabs>
        <w:ind w:left="2975" w:hanging="425"/>
      </w:pPr>
      <w:rPr>
        <w:rFonts w:hint="default"/>
      </w:rPr>
    </w:lvl>
    <w:lvl w:ilvl="7">
      <w:start w:val="1"/>
      <w:numFmt w:val="none"/>
      <w:lvlText w:val=""/>
      <w:lvlJc w:val="left"/>
      <w:pPr>
        <w:tabs>
          <w:tab w:val="num" w:pos="2975"/>
        </w:tabs>
        <w:ind w:left="3400" w:hanging="425"/>
      </w:pPr>
      <w:rPr>
        <w:rFonts w:hint="default"/>
      </w:rPr>
    </w:lvl>
    <w:lvl w:ilvl="8">
      <w:start w:val="1"/>
      <w:numFmt w:val="none"/>
      <w:lvlText w:val=""/>
      <w:lvlJc w:val="left"/>
      <w:pPr>
        <w:tabs>
          <w:tab w:val="num" w:pos="3400"/>
        </w:tabs>
        <w:ind w:left="3825" w:hanging="425"/>
      </w:pPr>
      <w:rPr>
        <w:rFonts w:hint="default"/>
      </w:rPr>
    </w:lvl>
  </w:abstractNum>
  <w:abstractNum w:abstractNumId="3" w15:restartNumberingAfterBreak="0">
    <w:nsid w:val="18733131"/>
    <w:multiLevelType w:val="multilevel"/>
    <w:tmpl w:val="D49CE1BA"/>
    <w:styleLink w:val="Headings"/>
    <w:lvl w:ilvl="0">
      <w:start w:val="1"/>
      <w:numFmt w:val="none"/>
      <w:pStyle w:val="Heading1"/>
      <w:suff w:val="nothing"/>
      <w:lvlText w:val=""/>
      <w:lvlJc w:val="left"/>
      <w:pPr>
        <w:ind w:left="0" w:firstLine="0"/>
      </w:pPr>
      <w:rPr>
        <w:rFonts w:hint="default"/>
      </w:rPr>
    </w:lvl>
    <w:lvl w:ilvl="1">
      <w:start w:val="1"/>
      <w:numFmt w:val="decimal"/>
      <w:pStyle w:val="Heading2"/>
      <w:suff w:val="nothing"/>
      <w:lvlText w:val="%1"/>
      <w:lvlJc w:val="left"/>
      <w:pPr>
        <w:ind w:left="0" w:firstLine="0"/>
      </w:pPr>
      <w:rPr>
        <w:rFonts w:hint="default"/>
      </w:rPr>
    </w:lvl>
    <w:lvl w:ilvl="2">
      <w:start w:val="1"/>
      <w:numFmt w:val="decimal"/>
      <w:pStyle w:val="Heading3"/>
      <w:suff w:val="nothing"/>
      <w:lvlText w:val="%1"/>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decimal"/>
      <w:pStyle w:val="ListNumber"/>
      <w:lvlText w:val="%6."/>
      <w:lvlJc w:val="left"/>
      <w:pPr>
        <w:tabs>
          <w:tab w:val="num" w:pos="567"/>
        </w:tabs>
        <w:ind w:left="425" w:hanging="425"/>
      </w:pPr>
      <w:rPr>
        <w:rFonts w:hint="default"/>
      </w:rPr>
    </w:lvl>
    <w:lvl w:ilvl="6">
      <w:start w:val="1"/>
      <w:numFmt w:val="lowerLetter"/>
      <w:lvlText w:val="(%7)"/>
      <w:lvlJc w:val="left"/>
      <w:pPr>
        <w:tabs>
          <w:tab w:val="num" w:pos="851"/>
        </w:tabs>
        <w:ind w:left="851" w:hanging="426"/>
      </w:pPr>
      <w:rPr>
        <w:rFonts w:hint="default"/>
      </w:rPr>
    </w:lvl>
    <w:lvl w:ilvl="7">
      <w:start w:val="1"/>
      <w:numFmt w:val="lowerRoman"/>
      <w:lvlText w:val="(%8)"/>
      <w:lvlJc w:val="left"/>
      <w:pPr>
        <w:tabs>
          <w:tab w:val="num" w:pos="1276"/>
        </w:tabs>
        <w:ind w:left="1276" w:hanging="425"/>
      </w:pPr>
      <w:rPr>
        <w:rFonts w:hint="default"/>
      </w:rPr>
    </w:lvl>
    <w:lvl w:ilvl="8">
      <w:start w:val="1"/>
      <w:numFmt w:val="none"/>
      <w:lvlText w:val=""/>
      <w:lvlJc w:val="left"/>
      <w:pPr>
        <w:tabs>
          <w:tab w:val="num" w:pos="1701"/>
        </w:tabs>
        <w:ind w:left="2126" w:hanging="425"/>
      </w:pPr>
      <w:rPr>
        <w:rFonts w:hint="default"/>
      </w:rPr>
    </w:lvl>
  </w:abstractNum>
  <w:abstractNum w:abstractNumId="4" w15:restartNumberingAfterBreak="0">
    <w:nsid w:val="18E23BBE"/>
    <w:multiLevelType w:val="hybridMultilevel"/>
    <w:tmpl w:val="117C1BD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B820FA2"/>
    <w:multiLevelType w:val="hybridMultilevel"/>
    <w:tmpl w:val="9AB0B7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BB81AAD"/>
    <w:multiLevelType w:val="multilevel"/>
    <w:tmpl w:val="D49CE1BA"/>
    <w:numStyleLink w:val="Headings"/>
  </w:abstractNum>
  <w:abstractNum w:abstractNumId="7" w15:restartNumberingAfterBreak="0">
    <w:nsid w:val="3D477FBC"/>
    <w:multiLevelType w:val="hybridMultilevel"/>
    <w:tmpl w:val="8D162F60"/>
    <w:lvl w:ilvl="0" w:tplc="3AAAEBEA">
      <w:start w:val="1"/>
      <w:numFmt w:val="bullet"/>
      <w:lvlText w:val="-"/>
      <w:lvlJc w:val="left"/>
      <w:pPr>
        <w:ind w:left="1080" w:hanging="360"/>
      </w:pPr>
      <w:rPr>
        <w:rFonts w:ascii="Calibri" w:eastAsiaTheme="minorHAnsi" w:hAnsi="Calibri" w:cstheme="minorBidi"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 w15:restartNumberingAfterBreak="0">
    <w:nsid w:val="497E2608"/>
    <w:multiLevelType w:val="hybridMultilevel"/>
    <w:tmpl w:val="7D466BE2"/>
    <w:lvl w:ilvl="0" w:tplc="0C090001">
      <w:start w:val="1"/>
      <w:numFmt w:val="bullet"/>
      <w:lvlText w:val=""/>
      <w:lvlJc w:val="left"/>
      <w:pPr>
        <w:ind w:left="720" w:hanging="360"/>
      </w:pPr>
      <w:rPr>
        <w:rFonts w:ascii="Symbol" w:hAnsi="Symbol" w:hint="default"/>
      </w:rPr>
    </w:lvl>
    <w:lvl w:ilvl="1" w:tplc="7168FE6C">
      <w:numFmt w:val="bullet"/>
      <w:lvlText w:val="•"/>
      <w:lvlJc w:val="left"/>
      <w:pPr>
        <w:ind w:left="1440" w:hanging="360"/>
      </w:pPr>
      <w:rPr>
        <w:rFonts w:ascii="Calibri" w:eastAsia="Times New Roman" w:hAnsi="Calibri"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AEA3B56"/>
    <w:multiLevelType w:val="hybridMultilevel"/>
    <w:tmpl w:val="EB4437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B8F7C9B"/>
    <w:multiLevelType w:val="hybridMultilevel"/>
    <w:tmpl w:val="6ABE91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D725111"/>
    <w:multiLevelType w:val="hybridMultilevel"/>
    <w:tmpl w:val="28EEBEA6"/>
    <w:lvl w:ilvl="0" w:tplc="3AAAEBEA">
      <w:start w:val="1"/>
      <w:numFmt w:val="bullet"/>
      <w:lvlText w:val="-"/>
      <w:lvlJc w:val="left"/>
      <w:pPr>
        <w:ind w:left="720" w:hanging="360"/>
      </w:pPr>
      <w:rPr>
        <w:rFonts w:ascii="Calibri" w:eastAsiaTheme="minorHAnsi" w:hAnsi="Calibri"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4ED93208"/>
    <w:multiLevelType w:val="multilevel"/>
    <w:tmpl w:val="B9686D02"/>
    <w:styleLink w:val="Bullets"/>
    <w:lvl w:ilvl="0">
      <w:start w:val="1"/>
      <w:numFmt w:val="bullet"/>
      <w:pStyle w:val="ListBullet"/>
      <w:lvlText w:val=""/>
      <w:lvlJc w:val="left"/>
      <w:pPr>
        <w:ind w:left="425" w:hanging="425"/>
      </w:pPr>
      <w:rPr>
        <w:rFonts w:ascii="Symbol" w:hAnsi="Symbol" w:hint="default"/>
      </w:rPr>
    </w:lvl>
    <w:lvl w:ilvl="1">
      <w:start w:val="1"/>
      <w:numFmt w:val="bullet"/>
      <w:lvlText w:val="–"/>
      <w:lvlJc w:val="left"/>
      <w:pPr>
        <w:ind w:left="850" w:hanging="425"/>
      </w:pPr>
      <w:rPr>
        <w:rFonts w:ascii="Arial" w:hAnsi="Arial" w:hint="default"/>
      </w:rPr>
    </w:lvl>
    <w:lvl w:ilvl="2">
      <w:start w:val="1"/>
      <w:numFmt w:val="bullet"/>
      <w:lvlText w:val="○"/>
      <w:lvlJc w:val="left"/>
      <w:pPr>
        <w:ind w:left="1275" w:hanging="425"/>
      </w:pPr>
      <w:rPr>
        <w:rFonts w:ascii="Calibri" w:hAnsi="Calibri" w:hint="default"/>
      </w:rPr>
    </w:lvl>
    <w:lvl w:ilvl="3">
      <w:start w:val="1"/>
      <w:numFmt w:val="decimal"/>
      <w:lvlText w:val="(%4)"/>
      <w:lvlJc w:val="left"/>
      <w:pPr>
        <w:ind w:left="1700" w:hanging="425"/>
      </w:pPr>
      <w:rPr>
        <w:rFonts w:hint="default"/>
      </w:rPr>
    </w:lvl>
    <w:lvl w:ilvl="4">
      <w:start w:val="1"/>
      <w:numFmt w:val="lowerLetter"/>
      <w:lvlText w:val="(%5)"/>
      <w:lvlJc w:val="left"/>
      <w:pPr>
        <w:ind w:left="2125" w:hanging="425"/>
      </w:pPr>
      <w:rPr>
        <w:rFonts w:hint="default"/>
      </w:rPr>
    </w:lvl>
    <w:lvl w:ilvl="5">
      <w:start w:val="1"/>
      <w:numFmt w:val="lowerRoman"/>
      <w:lvlText w:val="(%6)"/>
      <w:lvlJc w:val="left"/>
      <w:pPr>
        <w:ind w:left="2550" w:hanging="425"/>
      </w:pPr>
      <w:rPr>
        <w:rFonts w:hint="default"/>
      </w:rPr>
    </w:lvl>
    <w:lvl w:ilvl="6">
      <w:start w:val="1"/>
      <w:numFmt w:val="decimal"/>
      <w:lvlText w:val="%7."/>
      <w:lvlJc w:val="left"/>
      <w:pPr>
        <w:ind w:left="2975" w:hanging="425"/>
      </w:pPr>
      <w:rPr>
        <w:rFonts w:hint="default"/>
      </w:rPr>
    </w:lvl>
    <w:lvl w:ilvl="7">
      <w:start w:val="1"/>
      <w:numFmt w:val="lowerLetter"/>
      <w:lvlText w:val="%8."/>
      <w:lvlJc w:val="left"/>
      <w:pPr>
        <w:ind w:left="3400" w:hanging="425"/>
      </w:pPr>
      <w:rPr>
        <w:rFonts w:hint="default"/>
      </w:rPr>
    </w:lvl>
    <w:lvl w:ilvl="8">
      <w:start w:val="1"/>
      <w:numFmt w:val="lowerRoman"/>
      <w:lvlText w:val="%9."/>
      <w:lvlJc w:val="left"/>
      <w:pPr>
        <w:ind w:left="3825" w:hanging="425"/>
      </w:pPr>
      <w:rPr>
        <w:rFonts w:hint="default"/>
      </w:rPr>
    </w:lvl>
  </w:abstractNum>
  <w:abstractNum w:abstractNumId="13" w15:restartNumberingAfterBreak="0">
    <w:nsid w:val="576809FA"/>
    <w:multiLevelType w:val="multilevel"/>
    <w:tmpl w:val="BBF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9090427"/>
    <w:multiLevelType w:val="hybridMultilevel"/>
    <w:tmpl w:val="A5E011B4"/>
    <w:lvl w:ilvl="0" w:tplc="69EAC992">
      <w:start w:val="1"/>
      <w:numFmt w:val="bullet"/>
      <w:pStyle w:val="ListBullet2"/>
      <w:lvlText w:val=""/>
      <w:lvlJc w:val="left"/>
      <w:pPr>
        <w:ind w:left="643" w:hanging="360"/>
      </w:pPr>
      <w:rPr>
        <w:rFonts w:ascii="Symbol" w:hAnsi="Symbol" w:hint="default"/>
      </w:rPr>
    </w:lvl>
    <w:lvl w:ilvl="1" w:tplc="0C090003" w:tentative="1">
      <w:start w:val="1"/>
      <w:numFmt w:val="bullet"/>
      <w:lvlText w:val="o"/>
      <w:lvlJc w:val="left"/>
      <w:pPr>
        <w:ind w:left="1363" w:hanging="360"/>
      </w:pPr>
      <w:rPr>
        <w:rFonts w:ascii="Courier New" w:hAnsi="Courier New" w:cs="Courier New" w:hint="default"/>
      </w:rPr>
    </w:lvl>
    <w:lvl w:ilvl="2" w:tplc="0C090005" w:tentative="1">
      <w:start w:val="1"/>
      <w:numFmt w:val="bullet"/>
      <w:lvlText w:val=""/>
      <w:lvlJc w:val="left"/>
      <w:pPr>
        <w:ind w:left="2083" w:hanging="360"/>
      </w:pPr>
      <w:rPr>
        <w:rFonts w:ascii="Wingdings" w:hAnsi="Wingdings" w:hint="default"/>
      </w:rPr>
    </w:lvl>
    <w:lvl w:ilvl="3" w:tplc="0C090001" w:tentative="1">
      <w:start w:val="1"/>
      <w:numFmt w:val="bullet"/>
      <w:lvlText w:val=""/>
      <w:lvlJc w:val="left"/>
      <w:pPr>
        <w:ind w:left="2803" w:hanging="360"/>
      </w:pPr>
      <w:rPr>
        <w:rFonts w:ascii="Symbol" w:hAnsi="Symbol" w:hint="default"/>
      </w:rPr>
    </w:lvl>
    <w:lvl w:ilvl="4" w:tplc="0C090003" w:tentative="1">
      <w:start w:val="1"/>
      <w:numFmt w:val="bullet"/>
      <w:lvlText w:val="o"/>
      <w:lvlJc w:val="left"/>
      <w:pPr>
        <w:ind w:left="3523" w:hanging="360"/>
      </w:pPr>
      <w:rPr>
        <w:rFonts w:ascii="Courier New" w:hAnsi="Courier New" w:cs="Courier New" w:hint="default"/>
      </w:rPr>
    </w:lvl>
    <w:lvl w:ilvl="5" w:tplc="0C090005" w:tentative="1">
      <w:start w:val="1"/>
      <w:numFmt w:val="bullet"/>
      <w:lvlText w:val=""/>
      <w:lvlJc w:val="left"/>
      <w:pPr>
        <w:ind w:left="4243" w:hanging="360"/>
      </w:pPr>
      <w:rPr>
        <w:rFonts w:ascii="Wingdings" w:hAnsi="Wingdings" w:hint="default"/>
      </w:rPr>
    </w:lvl>
    <w:lvl w:ilvl="6" w:tplc="0C090001" w:tentative="1">
      <w:start w:val="1"/>
      <w:numFmt w:val="bullet"/>
      <w:lvlText w:val=""/>
      <w:lvlJc w:val="left"/>
      <w:pPr>
        <w:ind w:left="4963" w:hanging="360"/>
      </w:pPr>
      <w:rPr>
        <w:rFonts w:ascii="Symbol" w:hAnsi="Symbol" w:hint="default"/>
      </w:rPr>
    </w:lvl>
    <w:lvl w:ilvl="7" w:tplc="0C090003" w:tentative="1">
      <w:start w:val="1"/>
      <w:numFmt w:val="bullet"/>
      <w:lvlText w:val="o"/>
      <w:lvlJc w:val="left"/>
      <w:pPr>
        <w:ind w:left="5683" w:hanging="360"/>
      </w:pPr>
      <w:rPr>
        <w:rFonts w:ascii="Courier New" w:hAnsi="Courier New" w:cs="Courier New" w:hint="default"/>
      </w:rPr>
    </w:lvl>
    <w:lvl w:ilvl="8" w:tplc="0C090005" w:tentative="1">
      <w:start w:val="1"/>
      <w:numFmt w:val="bullet"/>
      <w:lvlText w:val=""/>
      <w:lvlJc w:val="left"/>
      <w:pPr>
        <w:ind w:left="6403" w:hanging="360"/>
      </w:pPr>
      <w:rPr>
        <w:rFonts w:ascii="Wingdings" w:hAnsi="Wingdings" w:hint="default"/>
      </w:rPr>
    </w:lvl>
  </w:abstractNum>
  <w:abstractNum w:abstractNumId="15" w15:restartNumberingAfterBreak="0">
    <w:nsid w:val="5EC870D4"/>
    <w:multiLevelType w:val="hybridMultilevel"/>
    <w:tmpl w:val="16D06C1E"/>
    <w:lvl w:ilvl="0" w:tplc="C03AEC4E">
      <w:start w:val="1"/>
      <w:numFmt w:val="upperLetter"/>
      <w:pStyle w:val="Appendix"/>
      <w:lvlText w:val="Appendix %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603D4C10"/>
    <w:multiLevelType w:val="hybridMultilevel"/>
    <w:tmpl w:val="31A4A838"/>
    <w:lvl w:ilvl="0" w:tplc="3AAAEBEA">
      <w:start w:val="1"/>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66C103F"/>
    <w:multiLevelType w:val="hybridMultilevel"/>
    <w:tmpl w:val="F07A3CC6"/>
    <w:lvl w:ilvl="0" w:tplc="3AAAEBEA">
      <w:start w:val="1"/>
      <w:numFmt w:val="bullet"/>
      <w:lvlText w:val="-"/>
      <w:lvlJc w:val="left"/>
      <w:pPr>
        <w:ind w:left="1080" w:hanging="360"/>
      </w:pPr>
      <w:rPr>
        <w:rFonts w:ascii="Calibri" w:eastAsiaTheme="minorHAnsi" w:hAnsi="Calibri"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8" w15:restartNumberingAfterBreak="0">
    <w:nsid w:val="6FEE58EC"/>
    <w:multiLevelType w:val="hybridMultilevel"/>
    <w:tmpl w:val="296A4E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77F1CDA"/>
    <w:multiLevelType w:val="hybridMultilevel"/>
    <w:tmpl w:val="44DC08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72537799">
    <w:abstractNumId w:val="2"/>
  </w:num>
  <w:num w:numId="2" w16cid:durableId="224225025">
    <w:abstractNumId w:val="14"/>
  </w:num>
  <w:num w:numId="3" w16cid:durableId="1116555863">
    <w:abstractNumId w:val="3"/>
  </w:num>
  <w:num w:numId="4" w16cid:durableId="1021783095">
    <w:abstractNumId w:val="12"/>
  </w:num>
  <w:num w:numId="5" w16cid:durableId="1950890834">
    <w:abstractNumId w:val="15"/>
  </w:num>
  <w:num w:numId="6" w16cid:durableId="2121676400">
    <w:abstractNumId w:val="6"/>
  </w:num>
  <w:num w:numId="7" w16cid:durableId="1961380116">
    <w:abstractNumId w:val="8"/>
  </w:num>
  <w:num w:numId="8" w16cid:durableId="1964925950">
    <w:abstractNumId w:val="10"/>
  </w:num>
  <w:num w:numId="9" w16cid:durableId="1537161065">
    <w:abstractNumId w:val="19"/>
  </w:num>
  <w:num w:numId="10" w16cid:durableId="630786938">
    <w:abstractNumId w:val="17"/>
  </w:num>
  <w:num w:numId="11" w16cid:durableId="1905263764">
    <w:abstractNumId w:val="16"/>
  </w:num>
  <w:num w:numId="12" w16cid:durableId="1484783879">
    <w:abstractNumId w:val="4"/>
  </w:num>
  <w:num w:numId="13" w16cid:durableId="635455585">
    <w:abstractNumId w:val="0"/>
  </w:num>
  <w:num w:numId="14" w16cid:durableId="46878649">
    <w:abstractNumId w:val="13"/>
  </w:num>
  <w:num w:numId="15" w16cid:durableId="297760483">
    <w:abstractNumId w:val="7"/>
  </w:num>
  <w:num w:numId="16" w16cid:durableId="1255824780">
    <w:abstractNumId w:val="11"/>
  </w:num>
  <w:num w:numId="17" w16cid:durableId="1414282387">
    <w:abstractNumId w:val="5"/>
  </w:num>
  <w:num w:numId="18" w16cid:durableId="617839050">
    <w:abstractNumId w:val="1"/>
  </w:num>
  <w:num w:numId="19" w16cid:durableId="1692760584">
    <w:abstractNumId w:val="9"/>
  </w:num>
  <w:num w:numId="20" w16cid:durableId="276178288">
    <w:abstractNumId w:val="1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943"/>
    <w:rsid w:val="00003B1B"/>
    <w:rsid w:val="00034FC2"/>
    <w:rsid w:val="000423CB"/>
    <w:rsid w:val="00043DBB"/>
    <w:rsid w:val="000479D6"/>
    <w:rsid w:val="0005302A"/>
    <w:rsid w:val="00056E47"/>
    <w:rsid w:val="000630F4"/>
    <w:rsid w:val="00064497"/>
    <w:rsid w:val="0007289B"/>
    <w:rsid w:val="0007493C"/>
    <w:rsid w:val="000749B0"/>
    <w:rsid w:val="00077AE8"/>
    <w:rsid w:val="00077F43"/>
    <w:rsid w:val="00080342"/>
    <w:rsid w:val="000910FA"/>
    <w:rsid w:val="000929B1"/>
    <w:rsid w:val="00092E46"/>
    <w:rsid w:val="000A076C"/>
    <w:rsid w:val="000A2003"/>
    <w:rsid w:val="000A6372"/>
    <w:rsid w:val="000A67AF"/>
    <w:rsid w:val="000C363D"/>
    <w:rsid w:val="000C3EFE"/>
    <w:rsid w:val="000D30FA"/>
    <w:rsid w:val="000E358E"/>
    <w:rsid w:val="000F50E5"/>
    <w:rsid w:val="000F74AD"/>
    <w:rsid w:val="001012D0"/>
    <w:rsid w:val="00103C2E"/>
    <w:rsid w:val="00105FD3"/>
    <w:rsid w:val="001068EF"/>
    <w:rsid w:val="001130EB"/>
    <w:rsid w:val="00114180"/>
    <w:rsid w:val="00121865"/>
    <w:rsid w:val="00122943"/>
    <w:rsid w:val="00133D64"/>
    <w:rsid w:val="00151CAC"/>
    <w:rsid w:val="00152BB1"/>
    <w:rsid w:val="00153B1E"/>
    <w:rsid w:val="00163CEC"/>
    <w:rsid w:val="00174D06"/>
    <w:rsid w:val="0017794A"/>
    <w:rsid w:val="001914D1"/>
    <w:rsid w:val="001A0AD7"/>
    <w:rsid w:val="001A175F"/>
    <w:rsid w:val="001A733B"/>
    <w:rsid w:val="001B2674"/>
    <w:rsid w:val="001B3D2F"/>
    <w:rsid w:val="001B4798"/>
    <w:rsid w:val="001B4ECC"/>
    <w:rsid w:val="001B6FE7"/>
    <w:rsid w:val="001B7738"/>
    <w:rsid w:val="001C4D27"/>
    <w:rsid w:val="001C5753"/>
    <w:rsid w:val="001C6576"/>
    <w:rsid w:val="001C669C"/>
    <w:rsid w:val="001D08F3"/>
    <w:rsid w:val="001D16CC"/>
    <w:rsid w:val="001D1F3D"/>
    <w:rsid w:val="001D5217"/>
    <w:rsid w:val="001D5D85"/>
    <w:rsid w:val="001E12EE"/>
    <w:rsid w:val="001E338A"/>
    <w:rsid w:val="001E3433"/>
    <w:rsid w:val="001E6DB8"/>
    <w:rsid w:val="001E776F"/>
    <w:rsid w:val="001F1904"/>
    <w:rsid w:val="0020201F"/>
    <w:rsid w:val="00202BEA"/>
    <w:rsid w:val="002111FA"/>
    <w:rsid w:val="00217D61"/>
    <w:rsid w:val="00236315"/>
    <w:rsid w:val="002364B5"/>
    <w:rsid w:val="0023737E"/>
    <w:rsid w:val="002424F4"/>
    <w:rsid w:val="0024635C"/>
    <w:rsid w:val="0024788C"/>
    <w:rsid w:val="002507E6"/>
    <w:rsid w:val="002558DF"/>
    <w:rsid w:val="00261021"/>
    <w:rsid w:val="00263044"/>
    <w:rsid w:val="00267609"/>
    <w:rsid w:val="0027199D"/>
    <w:rsid w:val="0028107F"/>
    <w:rsid w:val="002851A9"/>
    <w:rsid w:val="0029392F"/>
    <w:rsid w:val="002979DB"/>
    <w:rsid w:val="002A005A"/>
    <w:rsid w:val="002A4A35"/>
    <w:rsid w:val="002A700D"/>
    <w:rsid w:val="002B0561"/>
    <w:rsid w:val="002C0EDC"/>
    <w:rsid w:val="002C2D3A"/>
    <w:rsid w:val="002D2BC2"/>
    <w:rsid w:val="002D79DF"/>
    <w:rsid w:val="002E5665"/>
    <w:rsid w:val="002F3324"/>
    <w:rsid w:val="002F5379"/>
    <w:rsid w:val="003048FE"/>
    <w:rsid w:val="00307419"/>
    <w:rsid w:val="00307E99"/>
    <w:rsid w:val="00310CC6"/>
    <w:rsid w:val="003210F8"/>
    <w:rsid w:val="00327F24"/>
    <w:rsid w:val="0033069C"/>
    <w:rsid w:val="003450EE"/>
    <w:rsid w:val="003456B4"/>
    <w:rsid w:val="00353653"/>
    <w:rsid w:val="003544D5"/>
    <w:rsid w:val="0036079C"/>
    <w:rsid w:val="00360EE9"/>
    <w:rsid w:val="003643A7"/>
    <w:rsid w:val="00366739"/>
    <w:rsid w:val="00366AFA"/>
    <w:rsid w:val="00367BA1"/>
    <w:rsid w:val="00373ED3"/>
    <w:rsid w:val="00374528"/>
    <w:rsid w:val="003764EC"/>
    <w:rsid w:val="00382755"/>
    <w:rsid w:val="0038376A"/>
    <w:rsid w:val="00390DF9"/>
    <w:rsid w:val="00392D1D"/>
    <w:rsid w:val="003942AA"/>
    <w:rsid w:val="003A44B2"/>
    <w:rsid w:val="003A6285"/>
    <w:rsid w:val="003A7B70"/>
    <w:rsid w:val="003B55B6"/>
    <w:rsid w:val="003C4667"/>
    <w:rsid w:val="003C5C7C"/>
    <w:rsid w:val="003C7785"/>
    <w:rsid w:val="003D68B3"/>
    <w:rsid w:val="003F24E9"/>
    <w:rsid w:val="00403708"/>
    <w:rsid w:val="0040799B"/>
    <w:rsid w:val="00413D9A"/>
    <w:rsid w:val="00417C7E"/>
    <w:rsid w:val="00421BB3"/>
    <w:rsid w:val="00427A05"/>
    <w:rsid w:val="00433B6E"/>
    <w:rsid w:val="00434E38"/>
    <w:rsid w:val="004453D8"/>
    <w:rsid w:val="00446627"/>
    <w:rsid w:val="0044685C"/>
    <w:rsid w:val="0045542A"/>
    <w:rsid w:val="004607A0"/>
    <w:rsid w:val="00480012"/>
    <w:rsid w:val="0048028F"/>
    <w:rsid w:val="00485DFA"/>
    <w:rsid w:val="004901E2"/>
    <w:rsid w:val="00491AA5"/>
    <w:rsid w:val="00492264"/>
    <w:rsid w:val="004922FE"/>
    <w:rsid w:val="004A7CE0"/>
    <w:rsid w:val="004B58F5"/>
    <w:rsid w:val="004B74F9"/>
    <w:rsid w:val="004E12B5"/>
    <w:rsid w:val="004E26A4"/>
    <w:rsid w:val="004F1659"/>
    <w:rsid w:val="004F3E6A"/>
    <w:rsid w:val="004F5ACE"/>
    <w:rsid w:val="004F6421"/>
    <w:rsid w:val="005046D8"/>
    <w:rsid w:val="0051617B"/>
    <w:rsid w:val="00517732"/>
    <w:rsid w:val="0052735A"/>
    <w:rsid w:val="005329C6"/>
    <w:rsid w:val="00533BED"/>
    <w:rsid w:val="00537472"/>
    <w:rsid w:val="00543A31"/>
    <w:rsid w:val="005520C0"/>
    <w:rsid w:val="00554E07"/>
    <w:rsid w:val="00555A9C"/>
    <w:rsid w:val="00563238"/>
    <w:rsid w:val="005866D4"/>
    <w:rsid w:val="00590BF1"/>
    <w:rsid w:val="00597370"/>
    <w:rsid w:val="005A2DFD"/>
    <w:rsid w:val="005B0B57"/>
    <w:rsid w:val="005B4F12"/>
    <w:rsid w:val="005B6251"/>
    <w:rsid w:val="005B73D4"/>
    <w:rsid w:val="005C4873"/>
    <w:rsid w:val="005D75ED"/>
    <w:rsid w:val="005D78FD"/>
    <w:rsid w:val="005E2637"/>
    <w:rsid w:val="005E6945"/>
    <w:rsid w:val="005F3AF6"/>
    <w:rsid w:val="005F5991"/>
    <w:rsid w:val="00601F5B"/>
    <w:rsid w:val="00605492"/>
    <w:rsid w:val="00626A5F"/>
    <w:rsid w:val="006277B5"/>
    <w:rsid w:val="00631A00"/>
    <w:rsid w:val="006324EE"/>
    <w:rsid w:val="0063720A"/>
    <w:rsid w:val="006427A2"/>
    <w:rsid w:val="00643687"/>
    <w:rsid w:val="0064769F"/>
    <w:rsid w:val="00654711"/>
    <w:rsid w:val="00657A8A"/>
    <w:rsid w:val="006626F4"/>
    <w:rsid w:val="0066531F"/>
    <w:rsid w:val="0067538E"/>
    <w:rsid w:val="00676FA1"/>
    <w:rsid w:val="00680125"/>
    <w:rsid w:val="0069065C"/>
    <w:rsid w:val="006A2235"/>
    <w:rsid w:val="006A7771"/>
    <w:rsid w:val="006B5F27"/>
    <w:rsid w:val="006B641D"/>
    <w:rsid w:val="006C6FB8"/>
    <w:rsid w:val="006E73E4"/>
    <w:rsid w:val="006F120C"/>
    <w:rsid w:val="00706F7D"/>
    <w:rsid w:val="00707C62"/>
    <w:rsid w:val="007116F3"/>
    <w:rsid w:val="007247F0"/>
    <w:rsid w:val="007306FA"/>
    <w:rsid w:val="007337A6"/>
    <w:rsid w:val="00735713"/>
    <w:rsid w:val="00741630"/>
    <w:rsid w:val="00743E48"/>
    <w:rsid w:val="00750AF4"/>
    <w:rsid w:val="00751C15"/>
    <w:rsid w:val="007520DA"/>
    <w:rsid w:val="007579F0"/>
    <w:rsid w:val="00757C07"/>
    <w:rsid w:val="00760196"/>
    <w:rsid w:val="00764768"/>
    <w:rsid w:val="00772B2E"/>
    <w:rsid w:val="0077441D"/>
    <w:rsid w:val="00775C63"/>
    <w:rsid w:val="007830ED"/>
    <w:rsid w:val="00784E2E"/>
    <w:rsid w:val="00787058"/>
    <w:rsid w:val="0078789C"/>
    <w:rsid w:val="007946DA"/>
    <w:rsid w:val="007957F6"/>
    <w:rsid w:val="00796926"/>
    <w:rsid w:val="007A208D"/>
    <w:rsid w:val="007A3C6B"/>
    <w:rsid w:val="007A5C46"/>
    <w:rsid w:val="007B3A7B"/>
    <w:rsid w:val="007B78C4"/>
    <w:rsid w:val="007C2A3B"/>
    <w:rsid w:val="007C2F66"/>
    <w:rsid w:val="007C33E8"/>
    <w:rsid w:val="007C4EB8"/>
    <w:rsid w:val="007C5F5A"/>
    <w:rsid w:val="007D2E42"/>
    <w:rsid w:val="007D4E39"/>
    <w:rsid w:val="007D6034"/>
    <w:rsid w:val="007D71E5"/>
    <w:rsid w:val="007E2F29"/>
    <w:rsid w:val="007F2C92"/>
    <w:rsid w:val="00801CC5"/>
    <w:rsid w:val="008026EA"/>
    <w:rsid w:val="00803F23"/>
    <w:rsid w:val="0083191A"/>
    <w:rsid w:val="00832177"/>
    <w:rsid w:val="00841345"/>
    <w:rsid w:val="00850045"/>
    <w:rsid w:val="008521AE"/>
    <w:rsid w:val="00860FF5"/>
    <w:rsid w:val="0086762E"/>
    <w:rsid w:val="00870A6F"/>
    <w:rsid w:val="00877046"/>
    <w:rsid w:val="00877A63"/>
    <w:rsid w:val="00877DA6"/>
    <w:rsid w:val="00877F9D"/>
    <w:rsid w:val="00882726"/>
    <w:rsid w:val="008827D5"/>
    <w:rsid w:val="00882D76"/>
    <w:rsid w:val="00890674"/>
    <w:rsid w:val="00891983"/>
    <w:rsid w:val="008921CD"/>
    <w:rsid w:val="00892B59"/>
    <w:rsid w:val="00897ADD"/>
    <w:rsid w:val="008A328C"/>
    <w:rsid w:val="008A57B0"/>
    <w:rsid w:val="008A5DC7"/>
    <w:rsid w:val="008A6592"/>
    <w:rsid w:val="008A7A91"/>
    <w:rsid w:val="008B119A"/>
    <w:rsid w:val="008B317C"/>
    <w:rsid w:val="008B5122"/>
    <w:rsid w:val="008B7CF0"/>
    <w:rsid w:val="008C57FF"/>
    <w:rsid w:val="008C6191"/>
    <w:rsid w:val="008D07E2"/>
    <w:rsid w:val="008D27A8"/>
    <w:rsid w:val="008D4D87"/>
    <w:rsid w:val="008E7B9A"/>
    <w:rsid w:val="008F0684"/>
    <w:rsid w:val="008F67B2"/>
    <w:rsid w:val="00902452"/>
    <w:rsid w:val="00905328"/>
    <w:rsid w:val="00905F95"/>
    <w:rsid w:val="009227DF"/>
    <w:rsid w:val="009239D0"/>
    <w:rsid w:val="009265DD"/>
    <w:rsid w:val="00934905"/>
    <w:rsid w:val="00936181"/>
    <w:rsid w:val="009445B0"/>
    <w:rsid w:val="00955F02"/>
    <w:rsid w:val="00960352"/>
    <w:rsid w:val="00965F9F"/>
    <w:rsid w:val="00967818"/>
    <w:rsid w:val="009834FF"/>
    <w:rsid w:val="00994877"/>
    <w:rsid w:val="009A20B4"/>
    <w:rsid w:val="009A400F"/>
    <w:rsid w:val="009B30D2"/>
    <w:rsid w:val="009B573E"/>
    <w:rsid w:val="009C65AC"/>
    <w:rsid w:val="009D5A40"/>
    <w:rsid w:val="009E1A98"/>
    <w:rsid w:val="009E3F34"/>
    <w:rsid w:val="009E6EF1"/>
    <w:rsid w:val="00A05BE2"/>
    <w:rsid w:val="00A079D2"/>
    <w:rsid w:val="00A12B3F"/>
    <w:rsid w:val="00A210DA"/>
    <w:rsid w:val="00A224C8"/>
    <w:rsid w:val="00A34061"/>
    <w:rsid w:val="00A35BAF"/>
    <w:rsid w:val="00A467F6"/>
    <w:rsid w:val="00A479F4"/>
    <w:rsid w:val="00A56E87"/>
    <w:rsid w:val="00A603C9"/>
    <w:rsid w:val="00A664ED"/>
    <w:rsid w:val="00A67FD9"/>
    <w:rsid w:val="00A7691A"/>
    <w:rsid w:val="00A77BF2"/>
    <w:rsid w:val="00A80B4A"/>
    <w:rsid w:val="00A81326"/>
    <w:rsid w:val="00A8407C"/>
    <w:rsid w:val="00A84807"/>
    <w:rsid w:val="00A850C2"/>
    <w:rsid w:val="00A851E7"/>
    <w:rsid w:val="00A937D1"/>
    <w:rsid w:val="00A953C6"/>
    <w:rsid w:val="00A95867"/>
    <w:rsid w:val="00AB2E28"/>
    <w:rsid w:val="00AB3E8F"/>
    <w:rsid w:val="00AB6C45"/>
    <w:rsid w:val="00AC41A4"/>
    <w:rsid w:val="00AC4DFA"/>
    <w:rsid w:val="00AD2616"/>
    <w:rsid w:val="00AD4918"/>
    <w:rsid w:val="00AE3EB0"/>
    <w:rsid w:val="00AE584A"/>
    <w:rsid w:val="00AE7178"/>
    <w:rsid w:val="00AF5AFD"/>
    <w:rsid w:val="00B01D9B"/>
    <w:rsid w:val="00B03162"/>
    <w:rsid w:val="00B10A9C"/>
    <w:rsid w:val="00B13550"/>
    <w:rsid w:val="00B15A98"/>
    <w:rsid w:val="00B1670E"/>
    <w:rsid w:val="00B1787E"/>
    <w:rsid w:val="00B26282"/>
    <w:rsid w:val="00B313DC"/>
    <w:rsid w:val="00B4319E"/>
    <w:rsid w:val="00B45E60"/>
    <w:rsid w:val="00B55A9D"/>
    <w:rsid w:val="00B55D22"/>
    <w:rsid w:val="00B609D6"/>
    <w:rsid w:val="00B64494"/>
    <w:rsid w:val="00B813D3"/>
    <w:rsid w:val="00B83E41"/>
    <w:rsid w:val="00B86E72"/>
    <w:rsid w:val="00B90ADD"/>
    <w:rsid w:val="00B93DE6"/>
    <w:rsid w:val="00B962AB"/>
    <w:rsid w:val="00BA5F58"/>
    <w:rsid w:val="00BB4D59"/>
    <w:rsid w:val="00BE573D"/>
    <w:rsid w:val="00BF402D"/>
    <w:rsid w:val="00C00A0F"/>
    <w:rsid w:val="00C0247A"/>
    <w:rsid w:val="00C02675"/>
    <w:rsid w:val="00C07218"/>
    <w:rsid w:val="00C13F69"/>
    <w:rsid w:val="00C21433"/>
    <w:rsid w:val="00C3017D"/>
    <w:rsid w:val="00C33EF5"/>
    <w:rsid w:val="00C33F6D"/>
    <w:rsid w:val="00C44454"/>
    <w:rsid w:val="00C82189"/>
    <w:rsid w:val="00C83135"/>
    <w:rsid w:val="00C84E92"/>
    <w:rsid w:val="00C869FE"/>
    <w:rsid w:val="00C901B0"/>
    <w:rsid w:val="00C92A3A"/>
    <w:rsid w:val="00C9334A"/>
    <w:rsid w:val="00CA691C"/>
    <w:rsid w:val="00CA6928"/>
    <w:rsid w:val="00CB2C1D"/>
    <w:rsid w:val="00CB4382"/>
    <w:rsid w:val="00CB5659"/>
    <w:rsid w:val="00CD0A54"/>
    <w:rsid w:val="00CD0D6B"/>
    <w:rsid w:val="00CD44B1"/>
    <w:rsid w:val="00CE1E67"/>
    <w:rsid w:val="00CF22AA"/>
    <w:rsid w:val="00CF2D6E"/>
    <w:rsid w:val="00CF375C"/>
    <w:rsid w:val="00D0161F"/>
    <w:rsid w:val="00D076D6"/>
    <w:rsid w:val="00D07D34"/>
    <w:rsid w:val="00D225C3"/>
    <w:rsid w:val="00D348C1"/>
    <w:rsid w:val="00D43D10"/>
    <w:rsid w:val="00D60BDC"/>
    <w:rsid w:val="00D6105E"/>
    <w:rsid w:val="00D6366E"/>
    <w:rsid w:val="00D667EE"/>
    <w:rsid w:val="00D74873"/>
    <w:rsid w:val="00D8059E"/>
    <w:rsid w:val="00D84A78"/>
    <w:rsid w:val="00D858BA"/>
    <w:rsid w:val="00D93990"/>
    <w:rsid w:val="00DA1B79"/>
    <w:rsid w:val="00DB621F"/>
    <w:rsid w:val="00DC1E26"/>
    <w:rsid w:val="00DC4A20"/>
    <w:rsid w:val="00DC6519"/>
    <w:rsid w:val="00DC6AD2"/>
    <w:rsid w:val="00DD1165"/>
    <w:rsid w:val="00DD1BF1"/>
    <w:rsid w:val="00DD44C0"/>
    <w:rsid w:val="00DE0E29"/>
    <w:rsid w:val="00DE1A77"/>
    <w:rsid w:val="00DE2A33"/>
    <w:rsid w:val="00DE6AC1"/>
    <w:rsid w:val="00DE7F29"/>
    <w:rsid w:val="00E00B28"/>
    <w:rsid w:val="00E07CCA"/>
    <w:rsid w:val="00E14C6B"/>
    <w:rsid w:val="00E1783D"/>
    <w:rsid w:val="00E20E5D"/>
    <w:rsid w:val="00E31432"/>
    <w:rsid w:val="00E3328C"/>
    <w:rsid w:val="00E33F93"/>
    <w:rsid w:val="00E4087C"/>
    <w:rsid w:val="00E4263B"/>
    <w:rsid w:val="00E57F69"/>
    <w:rsid w:val="00E82AD3"/>
    <w:rsid w:val="00E837BD"/>
    <w:rsid w:val="00E855C7"/>
    <w:rsid w:val="00E927BA"/>
    <w:rsid w:val="00EA2157"/>
    <w:rsid w:val="00EB0A34"/>
    <w:rsid w:val="00EB1FB6"/>
    <w:rsid w:val="00ED0798"/>
    <w:rsid w:val="00ED5D0E"/>
    <w:rsid w:val="00EE0A03"/>
    <w:rsid w:val="00EE64D5"/>
    <w:rsid w:val="00EF2262"/>
    <w:rsid w:val="00F00BF0"/>
    <w:rsid w:val="00F04E8E"/>
    <w:rsid w:val="00F06C22"/>
    <w:rsid w:val="00F11997"/>
    <w:rsid w:val="00F302D1"/>
    <w:rsid w:val="00F30FC5"/>
    <w:rsid w:val="00F31635"/>
    <w:rsid w:val="00F36FD5"/>
    <w:rsid w:val="00F37C56"/>
    <w:rsid w:val="00F427C9"/>
    <w:rsid w:val="00F44DCB"/>
    <w:rsid w:val="00F45041"/>
    <w:rsid w:val="00F458DA"/>
    <w:rsid w:val="00F46A83"/>
    <w:rsid w:val="00F541E6"/>
    <w:rsid w:val="00F542A5"/>
    <w:rsid w:val="00F61C84"/>
    <w:rsid w:val="00F62E40"/>
    <w:rsid w:val="00F84A83"/>
    <w:rsid w:val="00F85ACD"/>
    <w:rsid w:val="00FB2C79"/>
    <w:rsid w:val="00FB51C4"/>
    <w:rsid w:val="00FB7607"/>
    <w:rsid w:val="00FC1B77"/>
    <w:rsid w:val="00FC4861"/>
    <w:rsid w:val="00FC66DF"/>
    <w:rsid w:val="00FC709B"/>
    <w:rsid w:val="00FE3E39"/>
    <w:rsid w:val="00FE5ABD"/>
    <w:rsid w:val="00FE789E"/>
    <w:rsid w:val="00FF4E1D"/>
    <w:rsid w:val="00FF4EED"/>
    <w:rsid w:val="00FF5D41"/>
    <w:rsid w:val="00FF7AC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AE04B9"/>
  <w15:docId w15:val="{E20823FD-397C-4F23-9E09-973DEFDF3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lsdException w:name="heading 7" w:semiHidden="1" w:uiPriority="9" w:unhideWhenUsed="1"/>
    <w:lsdException w:name="heading 8" w:uiPriority="9"/>
    <w:lsdException w:name="heading 9" w:semiHidden="1"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 w:unhideWhenUsed="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1D71CD"/>
  </w:style>
  <w:style w:type="paragraph" w:styleId="Heading1">
    <w:name w:val="heading 1"/>
    <w:next w:val="BodyText"/>
    <w:link w:val="Heading1Char"/>
    <w:uiPriority w:val="9"/>
    <w:qFormat/>
    <w:rsid w:val="00792B98"/>
    <w:pPr>
      <w:keepNext/>
      <w:numPr>
        <w:numId w:val="6"/>
      </w:numPr>
      <w:spacing w:before="240" w:after="120" w:line="240" w:lineRule="auto"/>
      <w:outlineLvl w:val="0"/>
    </w:pPr>
    <w:rPr>
      <w:rFonts w:ascii="Palatino Linotype" w:hAnsi="Palatino Linotype"/>
      <w:b/>
      <w:color w:val="007698"/>
      <w:sz w:val="28"/>
      <w:szCs w:val="28"/>
    </w:rPr>
  </w:style>
  <w:style w:type="paragraph" w:styleId="Heading2">
    <w:name w:val="heading 2"/>
    <w:basedOn w:val="Heading1"/>
    <w:next w:val="Normal"/>
    <w:link w:val="Heading2Char"/>
    <w:uiPriority w:val="9"/>
    <w:qFormat/>
    <w:rsid w:val="000B7816"/>
    <w:pPr>
      <w:numPr>
        <w:ilvl w:val="1"/>
      </w:numPr>
      <w:outlineLvl w:val="1"/>
    </w:pPr>
    <w:rPr>
      <w:sz w:val="26"/>
      <w:szCs w:val="26"/>
    </w:rPr>
  </w:style>
  <w:style w:type="paragraph" w:styleId="Heading3">
    <w:name w:val="heading 3"/>
    <w:basedOn w:val="Heading2"/>
    <w:next w:val="BodyText"/>
    <w:link w:val="Heading3Char"/>
    <w:uiPriority w:val="9"/>
    <w:qFormat/>
    <w:rsid w:val="000B7816"/>
    <w:pPr>
      <w:numPr>
        <w:ilvl w:val="2"/>
      </w:numPr>
      <w:outlineLvl w:val="2"/>
    </w:pPr>
    <w:rPr>
      <w:sz w:val="24"/>
    </w:rPr>
  </w:style>
  <w:style w:type="paragraph" w:styleId="Heading4">
    <w:name w:val="heading 4"/>
    <w:next w:val="BodyText"/>
    <w:link w:val="Heading4Char"/>
    <w:uiPriority w:val="9"/>
    <w:qFormat/>
    <w:rsid w:val="00EF2159"/>
    <w:pPr>
      <w:keepNext/>
      <w:numPr>
        <w:ilvl w:val="3"/>
        <w:numId w:val="6"/>
      </w:numPr>
      <w:spacing w:before="240" w:after="120" w:line="240" w:lineRule="auto"/>
      <w:outlineLvl w:val="3"/>
    </w:pPr>
    <w:rPr>
      <w:b/>
      <w:sz w:val="21"/>
      <w:szCs w:val="21"/>
    </w:rPr>
  </w:style>
  <w:style w:type="paragraph" w:styleId="Heading5">
    <w:name w:val="heading 5"/>
    <w:next w:val="Normal"/>
    <w:link w:val="Heading5Char"/>
    <w:uiPriority w:val="9"/>
    <w:qFormat/>
    <w:rsid w:val="00EF2159"/>
    <w:pPr>
      <w:keepNext/>
      <w:numPr>
        <w:ilvl w:val="4"/>
        <w:numId w:val="6"/>
      </w:numPr>
      <w:tabs>
        <w:tab w:val="left" w:pos="709"/>
      </w:tabs>
      <w:spacing w:before="240" w:after="120" w:line="240" w:lineRule="auto"/>
      <w:jc w:val="both"/>
      <w:outlineLvl w:val="4"/>
    </w:pPr>
    <w:rPr>
      <w:b/>
      <w:i/>
      <w:sz w:val="21"/>
      <w:szCs w:val="21"/>
    </w:rPr>
  </w:style>
  <w:style w:type="paragraph" w:styleId="Heading6">
    <w:name w:val="heading 6"/>
    <w:basedOn w:val="Normal"/>
    <w:link w:val="Heading6Char"/>
    <w:uiPriority w:val="9"/>
    <w:semiHidden/>
    <w:rsid w:val="001D71CD"/>
    <w:pPr>
      <w:keepNext/>
      <w:keepLines/>
      <w:spacing w:after="80"/>
      <w:outlineLvl w:val="5"/>
    </w:pPr>
    <w:rPr>
      <w:rFonts w:eastAsiaTheme="majorEastAsia" w:cstheme="majorBidi"/>
      <w:i/>
      <w:iCs/>
    </w:rPr>
  </w:style>
  <w:style w:type="paragraph" w:styleId="Heading7">
    <w:name w:val="heading 7"/>
    <w:basedOn w:val="Normal"/>
    <w:next w:val="Normal"/>
    <w:link w:val="Heading7Char"/>
    <w:uiPriority w:val="9"/>
    <w:semiHidden/>
    <w:rsid w:val="00F6177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rsid w:val="005377CF"/>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rsid w:val="001B12E5"/>
    <w:pPr>
      <w:keepNext/>
      <w:spacing w:after="0" w:line="240" w:lineRule="auto"/>
      <w:outlineLvl w:val="8"/>
    </w:pPr>
    <w:rPr>
      <w:rFonts w:ascii="Arial" w:eastAsia="Times New Roman" w:hAnsi="Arial" w:cs="Arial"/>
      <w:b/>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2B98"/>
    <w:rPr>
      <w:rFonts w:ascii="Palatino Linotype" w:hAnsi="Palatino Linotype"/>
      <w:b/>
      <w:color w:val="007698"/>
      <w:sz w:val="28"/>
      <w:szCs w:val="28"/>
    </w:rPr>
  </w:style>
  <w:style w:type="paragraph" w:styleId="BodyText">
    <w:name w:val="Body Text"/>
    <w:link w:val="BodyTextChar"/>
    <w:qFormat/>
    <w:rsid w:val="001D71CD"/>
    <w:pPr>
      <w:spacing w:after="120"/>
      <w:jc w:val="both"/>
    </w:pPr>
    <w:rPr>
      <w:sz w:val="21"/>
      <w:szCs w:val="21"/>
    </w:rPr>
  </w:style>
  <w:style w:type="character" w:customStyle="1" w:styleId="BodyTextChar">
    <w:name w:val="Body Text Char"/>
    <w:basedOn w:val="DefaultParagraphFont"/>
    <w:link w:val="BodyText"/>
    <w:rsid w:val="001D71CD"/>
    <w:rPr>
      <w:sz w:val="21"/>
      <w:szCs w:val="21"/>
    </w:rPr>
  </w:style>
  <w:style w:type="paragraph" w:styleId="BlockText">
    <w:name w:val="Block Text"/>
    <w:basedOn w:val="Normal"/>
    <w:uiPriority w:val="99"/>
    <w:semiHidden/>
    <w:unhideWhenUsed/>
    <w:rsid w:val="00C770AE"/>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eastAsiaTheme="minorEastAsia"/>
      <w:i/>
      <w:iCs/>
      <w:color w:val="4F81BD" w:themeColor="accent1"/>
    </w:rPr>
  </w:style>
  <w:style w:type="numbering" w:customStyle="1" w:styleId="Bullets">
    <w:name w:val="Bullets"/>
    <w:uiPriority w:val="99"/>
    <w:rsid w:val="002B64F2"/>
    <w:pPr>
      <w:numPr>
        <w:numId w:val="4"/>
      </w:numPr>
    </w:pPr>
  </w:style>
  <w:style w:type="paragraph" w:styleId="ListBullet">
    <w:name w:val="List Bullet"/>
    <w:uiPriority w:val="44"/>
    <w:qFormat/>
    <w:rsid w:val="001B6FD4"/>
    <w:pPr>
      <w:numPr>
        <w:numId w:val="4"/>
      </w:numPr>
      <w:tabs>
        <w:tab w:val="left" w:pos="425"/>
      </w:tabs>
      <w:spacing w:after="120"/>
      <w:jc w:val="both"/>
    </w:pPr>
    <w:rPr>
      <w:sz w:val="21"/>
    </w:rPr>
  </w:style>
  <w:style w:type="character" w:customStyle="1" w:styleId="Heading2Char">
    <w:name w:val="Heading 2 Char"/>
    <w:basedOn w:val="DefaultParagraphFont"/>
    <w:link w:val="Heading2"/>
    <w:uiPriority w:val="9"/>
    <w:rsid w:val="000B7816"/>
    <w:rPr>
      <w:rFonts w:ascii="Palatino Linotype" w:hAnsi="Palatino Linotype"/>
      <w:b/>
      <w:color w:val="007698"/>
      <w:sz w:val="26"/>
      <w:szCs w:val="26"/>
    </w:rPr>
  </w:style>
  <w:style w:type="paragraph" w:styleId="BodyText3">
    <w:name w:val="Body Text 3"/>
    <w:link w:val="BodyText3Char"/>
    <w:uiPriority w:val="99"/>
    <w:semiHidden/>
    <w:rsid w:val="00550696"/>
    <w:pPr>
      <w:keepNext/>
      <w:spacing w:after="160" w:line="280" w:lineRule="atLeast"/>
    </w:pPr>
    <w:rPr>
      <w:b/>
      <w:i/>
      <w:sz w:val="21"/>
      <w:szCs w:val="32"/>
    </w:rPr>
  </w:style>
  <w:style w:type="character" w:customStyle="1" w:styleId="BodyText3Char">
    <w:name w:val="Body Text 3 Char"/>
    <w:basedOn w:val="DefaultParagraphFont"/>
    <w:link w:val="BodyText3"/>
    <w:uiPriority w:val="99"/>
    <w:semiHidden/>
    <w:rsid w:val="009633ED"/>
    <w:rPr>
      <w:b/>
      <w:i/>
      <w:sz w:val="21"/>
      <w:szCs w:val="32"/>
    </w:rPr>
  </w:style>
  <w:style w:type="paragraph" w:styleId="Header">
    <w:name w:val="header"/>
    <w:basedOn w:val="Normal"/>
    <w:link w:val="HeaderChar"/>
    <w:uiPriority w:val="99"/>
    <w:semiHidden/>
    <w:rsid w:val="009A695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164FA"/>
  </w:style>
  <w:style w:type="paragraph" w:styleId="Footer">
    <w:name w:val="footer"/>
    <w:link w:val="FooterChar"/>
    <w:uiPriority w:val="99"/>
    <w:semiHidden/>
    <w:rsid w:val="00895C6A"/>
    <w:pPr>
      <w:tabs>
        <w:tab w:val="center" w:pos="4366"/>
        <w:tab w:val="right" w:pos="8732"/>
      </w:tabs>
      <w:spacing w:after="0" w:line="240" w:lineRule="auto"/>
    </w:pPr>
    <w:rPr>
      <w:rFonts w:ascii="Palatino Linotype" w:hAnsi="Palatino Linotype"/>
      <w:sz w:val="14"/>
    </w:rPr>
  </w:style>
  <w:style w:type="character" w:customStyle="1" w:styleId="FooterChar">
    <w:name w:val="Footer Char"/>
    <w:basedOn w:val="DefaultParagraphFont"/>
    <w:link w:val="Footer"/>
    <w:uiPriority w:val="99"/>
    <w:semiHidden/>
    <w:rsid w:val="00895C6A"/>
    <w:rPr>
      <w:rFonts w:ascii="Palatino Linotype" w:hAnsi="Palatino Linotype"/>
      <w:sz w:val="14"/>
    </w:rPr>
  </w:style>
  <w:style w:type="character" w:customStyle="1" w:styleId="Heading3Char">
    <w:name w:val="Heading 3 Char"/>
    <w:basedOn w:val="DefaultParagraphFont"/>
    <w:link w:val="Heading3"/>
    <w:uiPriority w:val="9"/>
    <w:rsid w:val="000B7816"/>
    <w:rPr>
      <w:rFonts w:ascii="Palatino Linotype" w:hAnsi="Palatino Linotype"/>
      <w:b/>
      <w:color w:val="007698"/>
      <w:sz w:val="24"/>
      <w:szCs w:val="26"/>
    </w:rPr>
  </w:style>
  <w:style w:type="character" w:customStyle="1" w:styleId="Heading5Char">
    <w:name w:val="Heading 5 Char"/>
    <w:basedOn w:val="DefaultParagraphFont"/>
    <w:link w:val="Heading5"/>
    <w:uiPriority w:val="9"/>
    <w:rsid w:val="00EF2159"/>
    <w:rPr>
      <w:b/>
      <w:i/>
      <w:sz w:val="21"/>
      <w:szCs w:val="21"/>
    </w:rPr>
  </w:style>
  <w:style w:type="paragraph" w:styleId="ListBullet2">
    <w:name w:val="List Bullet 2"/>
    <w:aliases w:val="List Bullet 2 Indent"/>
    <w:basedOn w:val="Normal"/>
    <w:uiPriority w:val="99"/>
    <w:semiHidden/>
    <w:rsid w:val="001D71CD"/>
    <w:pPr>
      <w:numPr>
        <w:numId w:val="2"/>
      </w:numPr>
      <w:tabs>
        <w:tab w:val="left" w:pos="851"/>
        <w:tab w:val="left" w:pos="1134"/>
      </w:tabs>
      <w:ind w:left="851" w:hanging="425"/>
    </w:pPr>
    <w:rPr>
      <w:snapToGrid w:val="0"/>
    </w:rPr>
  </w:style>
  <w:style w:type="character" w:customStyle="1" w:styleId="Heading4Char">
    <w:name w:val="Heading 4 Char"/>
    <w:basedOn w:val="DefaultParagraphFont"/>
    <w:link w:val="Heading4"/>
    <w:uiPriority w:val="9"/>
    <w:rsid w:val="00EF2159"/>
    <w:rPr>
      <w:b/>
      <w:sz w:val="21"/>
      <w:szCs w:val="21"/>
    </w:rPr>
  </w:style>
  <w:style w:type="character" w:customStyle="1" w:styleId="Heading6Char">
    <w:name w:val="Heading 6 Char"/>
    <w:basedOn w:val="DefaultParagraphFont"/>
    <w:link w:val="Heading6"/>
    <w:uiPriority w:val="9"/>
    <w:semiHidden/>
    <w:rsid w:val="002B64F2"/>
    <w:rPr>
      <w:rFonts w:eastAsiaTheme="majorEastAsia" w:cstheme="majorBidi"/>
      <w:i/>
      <w:iCs/>
      <w:sz w:val="21"/>
      <w:szCs w:val="21"/>
    </w:rPr>
  </w:style>
  <w:style w:type="character" w:customStyle="1" w:styleId="Heading7Char">
    <w:name w:val="Heading 7 Char"/>
    <w:basedOn w:val="DefaultParagraphFont"/>
    <w:link w:val="Heading7"/>
    <w:uiPriority w:val="9"/>
    <w:semiHidden/>
    <w:rsid w:val="005377CF"/>
    <w:rPr>
      <w:rFonts w:asciiTheme="majorHAnsi" w:eastAsiaTheme="majorEastAsia" w:hAnsiTheme="majorHAnsi" w:cstheme="majorBidi"/>
      <w:i/>
      <w:iCs/>
      <w:color w:val="404040" w:themeColor="text1" w:themeTint="BF"/>
    </w:rPr>
  </w:style>
  <w:style w:type="table" w:styleId="TableGrid">
    <w:name w:val="Table Grid"/>
    <w:basedOn w:val="TableNormal"/>
    <w:rsid w:val="009E190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link w:val="FootnoteTextChar"/>
    <w:uiPriority w:val="99"/>
    <w:rsid w:val="00D80A70"/>
    <w:pPr>
      <w:spacing w:after="0" w:line="240" w:lineRule="auto"/>
      <w:ind w:left="284" w:hanging="284"/>
      <w:jc w:val="both"/>
    </w:pPr>
    <w:rPr>
      <w:sz w:val="18"/>
      <w:szCs w:val="20"/>
    </w:rPr>
  </w:style>
  <w:style w:type="character" w:customStyle="1" w:styleId="FootnoteTextChar">
    <w:name w:val="Footnote Text Char"/>
    <w:basedOn w:val="DefaultParagraphFont"/>
    <w:link w:val="FootnoteText"/>
    <w:uiPriority w:val="99"/>
    <w:rsid w:val="00D80A70"/>
    <w:rPr>
      <w:sz w:val="18"/>
      <w:szCs w:val="20"/>
    </w:rPr>
  </w:style>
  <w:style w:type="character" w:styleId="FootnoteReference">
    <w:name w:val="footnote reference"/>
    <w:basedOn w:val="DefaultParagraphFont"/>
    <w:uiPriority w:val="99"/>
    <w:semiHidden/>
    <w:unhideWhenUsed/>
    <w:rsid w:val="00CB494A"/>
    <w:rPr>
      <w:vertAlign w:val="superscript"/>
    </w:rPr>
  </w:style>
  <w:style w:type="character" w:styleId="Hyperlink">
    <w:name w:val="Hyperlink"/>
    <w:basedOn w:val="DefaultParagraphFont"/>
    <w:uiPriority w:val="99"/>
    <w:rsid w:val="00D80A70"/>
    <w:rPr>
      <w:color w:val="0000FF" w:themeColor="hyperlink"/>
      <w:u w:val="single"/>
    </w:rPr>
  </w:style>
  <w:style w:type="character" w:customStyle="1" w:styleId="Heading8Char">
    <w:name w:val="Heading 8 Char"/>
    <w:basedOn w:val="DefaultParagraphFont"/>
    <w:link w:val="Heading8"/>
    <w:uiPriority w:val="9"/>
    <w:semiHidden/>
    <w:rsid w:val="005377CF"/>
    <w:rPr>
      <w:rFonts w:asciiTheme="majorHAnsi" w:eastAsiaTheme="majorEastAsia" w:hAnsiTheme="majorHAnsi" w:cstheme="majorBidi"/>
      <w:color w:val="404040" w:themeColor="text1" w:themeTint="BF"/>
      <w:sz w:val="20"/>
      <w:szCs w:val="20"/>
    </w:rPr>
  </w:style>
  <w:style w:type="paragraph" w:styleId="ListParagraph">
    <w:name w:val="List Paragraph"/>
    <w:basedOn w:val="Normal"/>
    <w:uiPriority w:val="34"/>
    <w:qFormat/>
    <w:rsid w:val="008A69A6"/>
    <w:pPr>
      <w:ind w:left="720"/>
      <w:contextualSpacing/>
    </w:pPr>
  </w:style>
  <w:style w:type="numbering" w:customStyle="1" w:styleId="ListLettera">
    <w:name w:val="List Letter (a)"/>
    <w:uiPriority w:val="99"/>
    <w:rsid w:val="005377CF"/>
    <w:pPr>
      <w:numPr>
        <w:numId w:val="1"/>
      </w:numPr>
    </w:pPr>
  </w:style>
  <w:style w:type="paragraph" w:styleId="BalloonText">
    <w:name w:val="Balloon Text"/>
    <w:basedOn w:val="Normal"/>
    <w:link w:val="BalloonTextChar"/>
    <w:uiPriority w:val="99"/>
    <w:semiHidden/>
    <w:rsid w:val="00E16DC0"/>
    <w:pPr>
      <w:spacing w:after="0" w:line="240" w:lineRule="auto"/>
    </w:pPr>
    <w:rPr>
      <w:rFonts w:ascii="Tahoma" w:hAnsi="Tahoma" w:cs="Tahoma"/>
      <w:sz w:val="16"/>
      <w:szCs w:val="16"/>
    </w:rPr>
  </w:style>
  <w:style w:type="paragraph" w:styleId="ListNumber">
    <w:name w:val="List Number"/>
    <w:aliases w:val="Multilevel"/>
    <w:basedOn w:val="BodyText"/>
    <w:uiPriority w:val="46"/>
    <w:qFormat/>
    <w:rsid w:val="000B7816"/>
    <w:pPr>
      <w:numPr>
        <w:ilvl w:val="5"/>
        <w:numId w:val="6"/>
      </w:numPr>
    </w:pPr>
  </w:style>
  <w:style w:type="character" w:customStyle="1" w:styleId="BalloonTextChar">
    <w:name w:val="Balloon Text Char"/>
    <w:basedOn w:val="DefaultParagraphFont"/>
    <w:link w:val="BalloonText"/>
    <w:uiPriority w:val="99"/>
    <w:semiHidden/>
    <w:rsid w:val="00F544F1"/>
    <w:rPr>
      <w:rFonts w:ascii="Tahoma" w:hAnsi="Tahoma" w:cs="Tahoma"/>
      <w:sz w:val="16"/>
      <w:szCs w:val="16"/>
    </w:rPr>
  </w:style>
  <w:style w:type="paragraph" w:customStyle="1" w:styleId="TableSubtitle">
    <w:name w:val="Table Subtitle"/>
    <w:next w:val="BodyText"/>
    <w:uiPriority w:val="58"/>
    <w:rsid w:val="00145915"/>
    <w:pPr>
      <w:keepNext/>
      <w:spacing w:before="60" w:after="80" w:line="240" w:lineRule="auto"/>
      <w:jc w:val="center"/>
    </w:pPr>
    <w:rPr>
      <w:rFonts w:ascii="Calibri" w:eastAsia="Times New Roman" w:hAnsi="Calibri" w:cs="Arial"/>
      <w:snapToGrid w:val="0"/>
      <w:sz w:val="21"/>
      <w:szCs w:val="20"/>
      <w:lang w:eastAsia="en-US"/>
    </w:rPr>
  </w:style>
  <w:style w:type="character" w:customStyle="1" w:styleId="Heading9Char">
    <w:name w:val="Heading 9 Char"/>
    <w:basedOn w:val="DefaultParagraphFont"/>
    <w:link w:val="Heading9"/>
    <w:uiPriority w:val="9"/>
    <w:semiHidden/>
    <w:rsid w:val="001B12E5"/>
    <w:rPr>
      <w:rFonts w:ascii="Arial" w:eastAsia="Times New Roman" w:hAnsi="Arial" w:cs="Arial"/>
      <w:b/>
      <w:sz w:val="18"/>
      <w:szCs w:val="18"/>
    </w:rPr>
  </w:style>
  <w:style w:type="paragraph" w:customStyle="1" w:styleId="ChapterTitle">
    <w:name w:val="Chapter Title"/>
    <w:uiPriority w:val="7"/>
    <w:semiHidden/>
    <w:qFormat/>
    <w:rsid w:val="000B7816"/>
    <w:pPr>
      <w:pageBreakBefore/>
      <w:pBdr>
        <w:bottom w:val="single" w:sz="48" w:space="30" w:color="00446A"/>
      </w:pBdr>
      <w:spacing w:after="720" w:line="240" w:lineRule="auto"/>
    </w:pPr>
    <w:rPr>
      <w:rFonts w:ascii="Palatino Linotype" w:hAnsi="Palatino Linotype"/>
      <w:b/>
      <w:color w:val="00446A"/>
      <w:sz w:val="40"/>
      <w:szCs w:val="40"/>
    </w:rPr>
  </w:style>
  <w:style w:type="paragraph" w:customStyle="1" w:styleId="TableBody">
    <w:name w:val="Table Body"/>
    <w:uiPriority w:val="91"/>
    <w:rsid w:val="006C0648"/>
    <w:pPr>
      <w:spacing w:before="40" w:after="80" w:line="240" w:lineRule="auto"/>
    </w:pPr>
    <w:rPr>
      <w:rFonts w:ascii="Arial" w:eastAsia="Times New Roman" w:hAnsi="Arial" w:cs="Arial"/>
      <w:snapToGrid w:val="0"/>
      <w:sz w:val="18"/>
      <w:szCs w:val="16"/>
      <w:lang w:eastAsia="en-US"/>
    </w:rPr>
  </w:style>
  <w:style w:type="table" w:customStyle="1" w:styleId="TableGrid1">
    <w:name w:val="Table Grid1"/>
    <w:basedOn w:val="TableNormal"/>
    <w:next w:val="TableGrid"/>
    <w:rsid w:val="0030517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semiHidden/>
    <w:rsid w:val="00240AD9"/>
    <w:pPr>
      <w:tabs>
        <w:tab w:val="right" w:pos="3686"/>
        <w:tab w:val="right" w:pos="5387"/>
        <w:tab w:val="right" w:pos="7088"/>
      </w:tabs>
      <w:spacing w:before="170" w:after="0" w:line="240" w:lineRule="exact"/>
      <w:ind w:left="238"/>
    </w:pPr>
    <w:rPr>
      <w:rFonts w:ascii="Myriad Pro Light" w:eastAsia="Times New Roman" w:hAnsi="Myriad Pro Light" w:cs="Times New Roman"/>
      <w:sz w:val="18"/>
      <w:szCs w:val="20"/>
      <w:lang w:eastAsia="en-US"/>
    </w:rPr>
  </w:style>
  <w:style w:type="paragraph" w:customStyle="1" w:styleId="TableColumnHead1">
    <w:name w:val="Table Column Head 1"/>
    <w:basedOn w:val="TableText"/>
    <w:next w:val="TableText"/>
    <w:semiHidden/>
    <w:rsid w:val="00D37BB7"/>
    <w:pPr>
      <w:spacing w:before="0" w:after="20" w:line="240" w:lineRule="auto"/>
      <w:ind w:left="0"/>
      <w:jc w:val="right"/>
    </w:pPr>
    <w:rPr>
      <w:rFonts w:ascii="Arial" w:hAnsi="Arial"/>
      <w:b/>
    </w:rPr>
  </w:style>
  <w:style w:type="paragraph" w:styleId="CommentSubject">
    <w:name w:val="annotation subject"/>
    <w:basedOn w:val="Normal"/>
    <w:link w:val="CommentSubjectChar"/>
    <w:uiPriority w:val="99"/>
    <w:semiHidden/>
    <w:unhideWhenUsed/>
    <w:rsid w:val="00233C7A"/>
    <w:rPr>
      <w:b/>
      <w:bCs/>
    </w:rPr>
  </w:style>
  <w:style w:type="character" w:customStyle="1" w:styleId="CommentSubjectChar">
    <w:name w:val="Comment Subject Char"/>
    <w:basedOn w:val="DefaultParagraphFont"/>
    <w:link w:val="CommentSubject"/>
    <w:uiPriority w:val="99"/>
    <w:semiHidden/>
    <w:rsid w:val="00233C7A"/>
    <w:rPr>
      <w:b/>
      <w:bCs/>
      <w:sz w:val="20"/>
      <w:szCs w:val="20"/>
    </w:rPr>
  </w:style>
  <w:style w:type="paragraph" w:customStyle="1" w:styleId="PY-Contents">
    <w:name w:val="PY - Contents"/>
    <w:basedOn w:val="Normal"/>
    <w:semiHidden/>
    <w:rsid w:val="00240AD9"/>
    <w:pPr>
      <w:spacing w:after="120" w:line="240" w:lineRule="auto"/>
    </w:pPr>
    <w:rPr>
      <w:rFonts w:eastAsiaTheme="minorEastAsia"/>
      <w:sz w:val="24"/>
      <w:szCs w:val="24"/>
      <w:lang w:val="en-US" w:eastAsia="en-US"/>
    </w:rPr>
  </w:style>
  <w:style w:type="paragraph" w:styleId="Title">
    <w:name w:val="Title"/>
    <w:basedOn w:val="Subtitle"/>
    <w:next w:val="Subtitle"/>
    <w:link w:val="TitleChar"/>
    <w:rsid w:val="00964068"/>
    <w:rPr>
      <w:color w:val="00446A"/>
      <w:sz w:val="40"/>
      <w:szCs w:val="48"/>
    </w:rPr>
  </w:style>
  <w:style w:type="character" w:customStyle="1" w:styleId="TitleChar">
    <w:name w:val="Title Char"/>
    <w:basedOn w:val="DefaultParagraphFont"/>
    <w:link w:val="Title"/>
    <w:rsid w:val="00964068"/>
    <w:rPr>
      <w:rFonts w:ascii="Palatino Linotype" w:hAnsi="Palatino Linotype"/>
      <w:b/>
      <w:color w:val="00446A"/>
      <w:sz w:val="40"/>
      <w:szCs w:val="48"/>
    </w:rPr>
  </w:style>
  <w:style w:type="paragraph" w:styleId="Subtitle">
    <w:name w:val="Subtitle"/>
    <w:basedOn w:val="Normal"/>
    <w:next w:val="Normal"/>
    <w:link w:val="SubtitleChar"/>
    <w:uiPriority w:val="1"/>
    <w:semiHidden/>
    <w:rsid w:val="00E4483C"/>
    <w:pPr>
      <w:pBdr>
        <w:bottom w:val="single" w:sz="48" w:space="31" w:color="00446A"/>
      </w:pBdr>
      <w:spacing w:after="360" w:line="240" w:lineRule="auto"/>
      <w:jc w:val="right"/>
    </w:pPr>
    <w:rPr>
      <w:rFonts w:ascii="Palatino Linotype" w:hAnsi="Palatino Linotype"/>
      <w:b/>
      <w:sz w:val="32"/>
      <w:szCs w:val="32"/>
    </w:rPr>
  </w:style>
  <w:style w:type="character" w:customStyle="1" w:styleId="SubtitleChar">
    <w:name w:val="Subtitle Char"/>
    <w:basedOn w:val="DefaultParagraphFont"/>
    <w:link w:val="Subtitle"/>
    <w:uiPriority w:val="1"/>
    <w:semiHidden/>
    <w:rsid w:val="00E4483C"/>
    <w:rPr>
      <w:rFonts w:ascii="Palatino Linotype" w:hAnsi="Palatino Linotype"/>
      <w:b/>
      <w:sz w:val="32"/>
      <w:szCs w:val="32"/>
    </w:rPr>
  </w:style>
  <w:style w:type="table" w:customStyle="1" w:styleId="TableGrid2">
    <w:name w:val="Table Grid2"/>
    <w:basedOn w:val="TableNormal"/>
    <w:next w:val="TableGrid"/>
    <w:rsid w:val="000C46C0"/>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0C46C0"/>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0C46C0"/>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0C46C0"/>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rsid w:val="000C46C0"/>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0C46C0"/>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next w:val="BodyText"/>
    <w:semiHidden/>
    <w:rsid w:val="000C46C0"/>
    <w:pPr>
      <w:keepNext/>
      <w:keepLines/>
      <w:spacing w:before="120" w:after="240" w:line="240" w:lineRule="auto"/>
      <w:jc w:val="right"/>
    </w:pPr>
    <w:rPr>
      <w:rFonts w:ascii="Arial" w:eastAsia="Times New Roman" w:hAnsi="Arial" w:cs="Times New Roman"/>
      <w:sz w:val="16"/>
      <w:szCs w:val="16"/>
      <w:lang w:eastAsia="en-US"/>
    </w:rPr>
  </w:style>
  <w:style w:type="table" w:customStyle="1" w:styleId="TableGrid8">
    <w:name w:val="Table Grid8"/>
    <w:basedOn w:val="TableNormal"/>
    <w:next w:val="TableGrid"/>
    <w:rsid w:val="00A91D0A"/>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rsid w:val="00A91D0A"/>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CC534F"/>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next w:val="Normal"/>
    <w:uiPriority w:val="39"/>
    <w:semiHidden/>
    <w:rsid w:val="004C598C"/>
    <w:pPr>
      <w:tabs>
        <w:tab w:val="left" w:pos="709"/>
        <w:tab w:val="right" w:pos="8720"/>
      </w:tabs>
      <w:spacing w:after="100"/>
      <w:ind w:left="567" w:hanging="567"/>
    </w:pPr>
    <w:rPr>
      <w:color w:val="00446A"/>
    </w:rPr>
  </w:style>
  <w:style w:type="paragraph" w:styleId="TOC1">
    <w:name w:val="toc 1"/>
    <w:next w:val="Normal"/>
    <w:uiPriority w:val="39"/>
    <w:semiHidden/>
    <w:rsid w:val="002019B8"/>
    <w:pPr>
      <w:tabs>
        <w:tab w:val="left" w:pos="567"/>
        <w:tab w:val="right" w:pos="8720"/>
      </w:tabs>
      <w:spacing w:after="100"/>
    </w:pPr>
    <w:rPr>
      <w:rFonts w:eastAsiaTheme="minorEastAsia"/>
      <w:color w:val="00446A"/>
      <w:szCs w:val="24"/>
      <w:lang w:val="en-US" w:eastAsia="en-US"/>
    </w:rPr>
  </w:style>
  <w:style w:type="paragraph" w:styleId="TOC3">
    <w:name w:val="toc 3"/>
    <w:basedOn w:val="Normal"/>
    <w:next w:val="Normal"/>
    <w:uiPriority w:val="39"/>
    <w:semiHidden/>
    <w:rsid w:val="004C598C"/>
    <w:pPr>
      <w:tabs>
        <w:tab w:val="left" w:pos="567"/>
        <w:tab w:val="right" w:pos="8720"/>
      </w:tabs>
      <w:spacing w:after="100"/>
    </w:pPr>
    <w:rPr>
      <w:color w:val="00446A"/>
    </w:rPr>
  </w:style>
  <w:style w:type="paragraph" w:styleId="TOC6">
    <w:name w:val="toc 6"/>
    <w:basedOn w:val="Normal"/>
    <w:next w:val="Normal"/>
    <w:autoRedefine/>
    <w:uiPriority w:val="39"/>
    <w:semiHidden/>
    <w:rsid w:val="00214566"/>
    <w:pPr>
      <w:spacing w:after="100"/>
      <w:ind w:left="1100"/>
    </w:pPr>
  </w:style>
  <w:style w:type="paragraph" w:customStyle="1" w:styleId="PY-MainTitleHeading">
    <w:name w:val="PY - Main Title Heading"/>
    <w:basedOn w:val="Normal"/>
    <w:semiHidden/>
    <w:qFormat/>
    <w:rsid w:val="00FC37B7"/>
    <w:pPr>
      <w:widowControl w:val="0"/>
      <w:autoSpaceDE w:val="0"/>
      <w:autoSpaceDN w:val="0"/>
      <w:adjustRightInd w:val="0"/>
      <w:spacing w:after="600" w:line="240" w:lineRule="auto"/>
      <w:ind w:right="-6"/>
      <w:jc w:val="right"/>
    </w:pPr>
    <w:rPr>
      <w:rFonts w:ascii="Palatino Linotype" w:eastAsiaTheme="minorEastAsia" w:hAnsi="Palatino Linotype" w:cs="Cambria"/>
      <w:color w:val="00446A"/>
      <w:sz w:val="56"/>
      <w:szCs w:val="24"/>
      <w:lang w:val="en-US" w:eastAsia="en-US"/>
    </w:rPr>
  </w:style>
  <w:style w:type="character" w:styleId="FollowedHyperlink">
    <w:name w:val="FollowedHyperlink"/>
    <w:basedOn w:val="DefaultParagraphFont"/>
    <w:uiPriority w:val="99"/>
    <w:semiHidden/>
    <w:unhideWhenUsed/>
    <w:rsid w:val="00F94345"/>
    <w:rPr>
      <w:color w:val="800080" w:themeColor="followedHyperlink"/>
      <w:u w:val="single"/>
    </w:rPr>
  </w:style>
  <w:style w:type="paragraph" w:styleId="Revision">
    <w:name w:val="Revision"/>
    <w:hidden/>
    <w:uiPriority w:val="99"/>
    <w:semiHidden/>
    <w:rsid w:val="002B76E5"/>
    <w:pPr>
      <w:spacing w:after="0" w:line="240" w:lineRule="auto"/>
    </w:pPr>
  </w:style>
  <w:style w:type="paragraph" w:styleId="Date">
    <w:name w:val="Date"/>
    <w:basedOn w:val="Subtitle"/>
    <w:next w:val="Normal"/>
    <w:link w:val="DateChar"/>
    <w:uiPriority w:val="2"/>
    <w:rsid w:val="000A7BB7"/>
  </w:style>
  <w:style w:type="character" w:customStyle="1" w:styleId="DateChar">
    <w:name w:val="Date Char"/>
    <w:basedOn w:val="DefaultParagraphFont"/>
    <w:link w:val="Date"/>
    <w:uiPriority w:val="2"/>
    <w:rsid w:val="000A7BB7"/>
    <w:rPr>
      <w:rFonts w:ascii="Palatino Linotype" w:hAnsi="Palatino Linotype"/>
      <w:b/>
      <w:sz w:val="32"/>
      <w:szCs w:val="32"/>
    </w:rPr>
  </w:style>
  <w:style w:type="paragraph" w:customStyle="1" w:styleId="GraphNumber">
    <w:name w:val="Graph Number"/>
    <w:next w:val="Normal"/>
    <w:uiPriority w:val="89"/>
    <w:rsid w:val="00FF1F40"/>
    <w:pPr>
      <w:keepNext/>
      <w:widowControl w:val="0"/>
      <w:spacing w:after="0" w:line="240" w:lineRule="exact"/>
      <w:jc w:val="center"/>
    </w:pPr>
    <w:rPr>
      <w:rFonts w:ascii="Arial" w:eastAsia="Times New Roman" w:hAnsi="Arial" w:cs="Times New Roman"/>
      <w:b/>
      <w:snapToGrid w:val="0"/>
      <w:sz w:val="20"/>
      <w:szCs w:val="20"/>
      <w:lang w:eastAsia="en-US"/>
    </w:rPr>
  </w:style>
  <w:style w:type="table" w:customStyle="1" w:styleId="TableGrid21">
    <w:name w:val="Table Grid21"/>
    <w:basedOn w:val="TableNormal"/>
    <w:next w:val="TableGrid"/>
    <w:rsid w:val="0016655F"/>
    <w:pPr>
      <w:spacing w:after="24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
    <w:name w:val="Headings"/>
    <w:uiPriority w:val="99"/>
    <w:rsid w:val="00792B98"/>
    <w:pPr>
      <w:numPr>
        <w:numId w:val="3"/>
      </w:numPr>
    </w:pPr>
  </w:style>
  <w:style w:type="paragraph" w:styleId="TOC4">
    <w:name w:val="toc 4"/>
    <w:basedOn w:val="Normal"/>
    <w:next w:val="Normal"/>
    <w:autoRedefine/>
    <w:uiPriority w:val="39"/>
    <w:semiHidden/>
    <w:rsid w:val="004C598C"/>
    <w:pPr>
      <w:spacing w:after="100"/>
      <w:ind w:left="660"/>
    </w:pPr>
  </w:style>
  <w:style w:type="paragraph" w:styleId="TOC5">
    <w:name w:val="toc 5"/>
    <w:basedOn w:val="Normal"/>
    <w:next w:val="Normal"/>
    <w:autoRedefine/>
    <w:uiPriority w:val="39"/>
    <w:semiHidden/>
    <w:rsid w:val="004C598C"/>
    <w:pPr>
      <w:spacing w:after="100"/>
      <w:ind w:left="880"/>
    </w:pPr>
  </w:style>
  <w:style w:type="paragraph" w:customStyle="1" w:styleId="Appendix">
    <w:name w:val="Appendix"/>
    <w:basedOn w:val="Heading1"/>
    <w:next w:val="BodyText"/>
    <w:uiPriority w:val="99"/>
    <w:rsid w:val="00935F4B"/>
    <w:pPr>
      <w:pageBreakBefore/>
      <w:numPr>
        <w:numId w:val="5"/>
      </w:numPr>
    </w:pPr>
  </w:style>
  <w:style w:type="character" w:styleId="PlaceholderText">
    <w:name w:val="Placeholder Text"/>
    <w:basedOn w:val="DefaultParagraphFont"/>
    <w:uiPriority w:val="99"/>
    <w:semiHidden/>
    <w:rsid w:val="0039140E"/>
    <w:rPr>
      <w:color w:val="595959" w:themeColor="text1" w:themeTint="A6"/>
      <w:bdr w:val="none" w:sz="0" w:space="0" w:color="auto"/>
      <w:shd w:val="clear" w:color="auto" w:fill="FFFF00"/>
    </w:rPr>
  </w:style>
  <w:style w:type="paragraph" w:customStyle="1" w:styleId="TableFootnote">
    <w:name w:val="Table Footnote"/>
    <w:basedOn w:val="TableBody"/>
    <w:uiPriority w:val="91"/>
    <w:rsid w:val="00145915"/>
    <w:pPr>
      <w:tabs>
        <w:tab w:val="left" w:pos="425"/>
      </w:tabs>
      <w:spacing w:after="40"/>
      <w:ind w:left="425" w:hanging="425"/>
    </w:pPr>
    <w:rPr>
      <w:sz w:val="16"/>
    </w:rPr>
  </w:style>
  <w:style w:type="paragraph" w:customStyle="1" w:styleId="TableTitle">
    <w:name w:val="Table Title"/>
    <w:next w:val="BodyText"/>
    <w:uiPriority w:val="57"/>
    <w:rsid w:val="00EC1D76"/>
    <w:pPr>
      <w:keepNext/>
      <w:spacing w:before="120" w:after="60" w:line="240" w:lineRule="auto"/>
      <w:jc w:val="center"/>
    </w:pPr>
    <w:rPr>
      <w:rFonts w:eastAsiaTheme="minorEastAsia"/>
      <w:b/>
      <w:sz w:val="21"/>
    </w:rPr>
  </w:style>
  <w:style w:type="paragraph" w:styleId="TOCHeading">
    <w:name w:val="TOC Heading"/>
    <w:basedOn w:val="Heading1"/>
    <w:next w:val="Normal"/>
    <w:uiPriority w:val="39"/>
    <w:semiHidden/>
    <w:unhideWhenUsed/>
    <w:qFormat/>
    <w:rsid w:val="00343472"/>
    <w:pPr>
      <w:keepLines/>
      <w:numPr>
        <w:numId w:val="0"/>
      </w:numPr>
      <w:spacing w:before="480" w:after="240" w:line="276" w:lineRule="auto"/>
      <w:outlineLvl w:val="9"/>
    </w:pPr>
    <w:rPr>
      <w:rFonts w:eastAsiaTheme="majorEastAsia" w:cstheme="majorBidi"/>
      <w:bCs/>
      <w:lang w:val="en-US" w:eastAsia="ja-JP"/>
    </w:rPr>
  </w:style>
  <w:style w:type="paragraph" w:customStyle="1" w:styleId="FootnoteFollowing">
    <w:name w:val="Footnote Following"/>
    <w:basedOn w:val="FootnoteText"/>
    <w:uiPriority w:val="98"/>
    <w:semiHidden/>
    <w:rsid w:val="00FD1A76"/>
  </w:style>
  <w:style w:type="paragraph" w:customStyle="1" w:styleId="GraphTitle">
    <w:name w:val="Graph Title"/>
    <w:next w:val="BodyText"/>
    <w:rsid w:val="006C0648"/>
    <w:pPr>
      <w:keepNext/>
      <w:spacing w:before="120" w:after="60" w:line="240" w:lineRule="auto"/>
      <w:jc w:val="center"/>
    </w:pPr>
    <w:rPr>
      <w:rFonts w:ascii="Arial" w:eastAsiaTheme="minorEastAsia" w:hAnsi="Arial"/>
      <w:b/>
      <w:sz w:val="20"/>
    </w:rPr>
  </w:style>
  <w:style w:type="paragraph" w:customStyle="1" w:styleId="ColumnHeading1">
    <w:name w:val="Column Heading 1"/>
    <w:basedOn w:val="TableBody"/>
    <w:next w:val="ColumnHeading2"/>
    <w:rsid w:val="006C0648"/>
    <w:pPr>
      <w:jc w:val="right"/>
    </w:pPr>
    <w:rPr>
      <w:b/>
      <w:szCs w:val="18"/>
    </w:rPr>
  </w:style>
  <w:style w:type="paragraph" w:customStyle="1" w:styleId="ColumnHeading2">
    <w:name w:val="Column Heading 2"/>
    <w:basedOn w:val="ColumnHeading1"/>
    <w:qFormat/>
    <w:rsid w:val="006C0648"/>
    <w:pPr>
      <w:keepNext/>
      <w:keepLines/>
    </w:pPr>
    <w:rPr>
      <w:rFonts w:cs="Times New Roman"/>
      <w:b w:val="0"/>
    </w:rPr>
  </w:style>
  <w:style w:type="paragraph" w:customStyle="1" w:styleId="Default">
    <w:name w:val="Default"/>
    <w:rsid w:val="00B86E72"/>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E82AD3"/>
    <w:rPr>
      <w:b/>
      <w:bCs/>
    </w:rPr>
  </w:style>
  <w:style w:type="character" w:styleId="CommentReference">
    <w:name w:val="annotation reference"/>
    <w:basedOn w:val="DefaultParagraphFont"/>
    <w:semiHidden/>
    <w:unhideWhenUsed/>
    <w:rsid w:val="001E6DB8"/>
    <w:rPr>
      <w:sz w:val="16"/>
      <w:szCs w:val="16"/>
    </w:rPr>
  </w:style>
  <w:style w:type="paragraph" w:styleId="CommentText">
    <w:name w:val="annotation text"/>
    <w:basedOn w:val="Normal"/>
    <w:link w:val="CommentTextChar"/>
    <w:unhideWhenUsed/>
    <w:rsid w:val="001E6DB8"/>
    <w:pPr>
      <w:spacing w:line="240" w:lineRule="auto"/>
    </w:pPr>
    <w:rPr>
      <w:sz w:val="20"/>
      <w:szCs w:val="20"/>
    </w:rPr>
  </w:style>
  <w:style w:type="character" w:customStyle="1" w:styleId="CommentTextChar">
    <w:name w:val="Comment Text Char"/>
    <w:basedOn w:val="DefaultParagraphFont"/>
    <w:link w:val="CommentText"/>
    <w:rsid w:val="001E6DB8"/>
    <w:rPr>
      <w:sz w:val="20"/>
      <w:szCs w:val="20"/>
    </w:rPr>
  </w:style>
  <w:style w:type="character" w:customStyle="1" w:styleId="ui-provider">
    <w:name w:val="ui-provider"/>
    <w:basedOn w:val="DefaultParagraphFont"/>
    <w:rsid w:val="001D16CC"/>
  </w:style>
  <w:style w:type="character" w:styleId="UnresolvedMention">
    <w:name w:val="Unresolved Mention"/>
    <w:basedOn w:val="DefaultParagraphFont"/>
    <w:uiPriority w:val="99"/>
    <w:semiHidden/>
    <w:unhideWhenUsed/>
    <w:rsid w:val="00CD44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318263">
      <w:bodyDiv w:val="1"/>
      <w:marLeft w:val="0"/>
      <w:marRight w:val="0"/>
      <w:marTop w:val="0"/>
      <w:marBottom w:val="0"/>
      <w:divBdr>
        <w:top w:val="none" w:sz="0" w:space="0" w:color="auto"/>
        <w:left w:val="none" w:sz="0" w:space="0" w:color="auto"/>
        <w:bottom w:val="none" w:sz="0" w:space="0" w:color="auto"/>
        <w:right w:val="none" w:sz="0" w:space="0" w:color="auto"/>
      </w:divBdr>
    </w:div>
    <w:div w:id="722558038">
      <w:bodyDiv w:val="1"/>
      <w:marLeft w:val="0"/>
      <w:marRight w:val="0"/>
      <w:marTop w:val="0"/>
      <w:marBottom w:val="0"/>
      <w:divBdr>
        <w:top w:val="none" w:sz="0" w:space="0" w:color="auto"/>
        <w:left w:val="none" w:sz="0" w:space="0" w:color="auto"/>
        <w:bottom w:val="none" w:sz="0" w:space="0" w:color="auto"/>
        <w:right w:val="none" w:sz="0" w:space="0" w:color="auto"/>
      </w:divBdr>
      <w:divsChild>
        <w:div w:id="1959291332">
          <w:marLeft w:val="0"/>
          <w:marRight w:val="0"/>
          <w:marTop w:val="0"/>
          <w:marBottom w:val="0"/>
          <w:divBdr>
            <w:top w:val="none" w:sz="0" w:space="0" w:color="auto"/>
            <w:left w:val="none" w:sz="0" w:space="0" w:color="auto"/>
            <w:bottom w:val="none" w:sz="0" w:space="0" w:color="auto"/>
            <w:right w:val="none" w:sz="0" w:space="0" w:color="auto"/>
          </w:divBdr>
          <w:divsChild>
            <w:div w:id="1869635026">
              <w:marLeft w:val="0"/>
              <w:marRight w:val="0"/>
              <w:marTop w:val="0"/>
              <w:marBottom w:val="0"/>
              <w:divBdr>
                <w:top w:val="none" w:sz="0" w:space="0" w:color="auto"/>
                <w:left w:val="none" w:sz="0" w:space="0" w:color="auto"/>
                <w:bottom w:val="none" w:sz="0" w:space="0" w:color="auto"/>
                <w:right w:val="none" w:sz="0" w:space="0" w:color="auto"/>
              </w:divBdr>
              <w:divsChild>
                <w:div w:id="1198471148">
                  <w:marLeft w:val="0"/>
                  <w:marRight w:val="0"/>
                  <w:marTop w:val="0"/>
                  <w:marBottom w:val="0"/>
                  <w:divBdr>
                    <w:top w:val="none" w:sz="0" w:space="0" w:color="auto"/>
                    <w:left w:val="none" w:sz="0" w:space="0" w:color="auto"/>
                    <w:bottom w:val="none" w:sz="0" w:space="0" w:color="auto"/>
                    <w:right w:val="none" w:sz="0" w:space="0" w:color="auto"/>
                  </w:divBdr>
                  <w:divsChild>
                    <w:div w:id="50200835">
                      <w:marLeft w:val="0"/>
                      <w:marRight w:val="0"/>
                      <w:marTop w:val="0"/>
                      <w:marBottom w:val="0"/>
                      <w:divBdr>
                        <w:top w:val="none" w:sz="0" w:space="0" w:color="auto"/>
                        <w:left w:val="none" w:sz="0" w:space="0" w:color="auto"/>
                        <w:bottom w:val="none" w:sz="0" w:space="0" w:color="auto"/>
                        <w:right w:val="none" w:sz="0" w:space="0" w:color="auto"/>
                      </w:divBdr>
                      <w:divsChild>
                        <w:div w:id="1992362728">
                          <w:marLeft w:val="0"/>
                          <w:marRight w:val="0"/>
                          <w:marTop w:val="0"/>
                          <w:marBottom w:val="0"/>
                          <w:divBdr>
                            <w:top w:val="single" w:sz="6" w:space="0" w:color="828282"/>
                            <w:left w:val="single" w:sz="6" w:space="0" w:color="828282"/>
                            <w:bottom w:val="single" w:sz="6" w:space="0" w:color="828282"/>
                            <w:right w:val="single" w:sz="6" w:space="0" w:color="828282"/>
                          </w:divBdr>
                          <w:divsChild>
                            <w:div w:id="101848469">
                              <w:marLeft w:val="0"/>
                              <w:marRight w:val="0"/>
                              <w:marTop w:val="0"/>
                              <w:marBottom w:val="0"/>
                              <w:divBdr>
                                <w:top w:val="none" w:sz="0" w:space="0" w:color="auto"/>
                                <w:left w:val="none" w:sz="0" w:space="0" w:color="auto"/>
                                <w:bottom w:val="none" w:sz="0" w:space="0" w:color="auto"/>
                                <w:right w:val="none" w:sz="0" w:space="0" w:color="auto"/>
                              </w:divBdr>
                              <w:divsChild>
                                <w:div w:id="1432772688">
                                  <w:marLeft w:val="0"/>
                                  <w:marRight w:val="0"/>
                                  <w:marTop w:val="0"/>
                                  <w:marBottom w:val="0"/>
                                  <w:divBdr>
                                    <w:top w:val="none" w:sz="0" w:space="0" w:color="auto"/>
                                    <w:left w:val="none" w:sz="0" w:space="0" w:color="auto"/>
                                    <w:bottom w:val="none" w:sz="0" w:space="0" w:color="auto"/>
                                    <w:right w:val="none" w:sz="0" w:space="0" w:color="auto"/>
                                  </w:divBdr>
                                  <w:divsChild>
                                    <w:div w:id="1172258435">
                                      <w:marLeft w:val="0"/>
                                      <w:marRight w:val="0"/>
                                      <w:marTop w:val="0"/>
                                      <w:marBottom w:val="0"/>
                                      <w:divBdr>
                                        <w:top w:val="none" w:sz="0" w:space="0" w:color="auto"/>
                                        <w:left w:val="none" w:sz="0" w:space="0" w:color="auto"/>
                                        <w:bottom w:val="none" w:sz="0" w:space="0" w:color="auto"/>
                                        <w:right w:val="none" w:sz="0" w:space="0" w:color="auto"/>
                                      </w:divBdr>
                                      <w:divsChild>
                                        <w:div w:id="1438527933">
                                          <w:marLeft w:val="0"/>
                                          <w:marRight w:val="0"/>
                                          <w:marTop w:val="0"/>
                                          <w:marBottom w:val="0"/>
                                          <w:divBdr>
                                            <w:top w:val="none" w:sz="0" w:space="0" w:color="auto"/>
                                            <w:left w:val="none" w:sz="0" w:space="0" w:color="auto"/>
                                            <w:bottom w:val="none" w:sz="0" w:space="0" w:color="auto"/>
                                            <w:right w:val="none" w:sz="0" w:space="0" w:color="auto"/>
                                          </w:divBdr>
                                          <w:divsChild>
                                            <w:div w:id="1779838067">
                                              <w:marLeft w:val="0"/>
                                              <w:marRight w:val="0"/>
                                              <w:marTop w:val="0"/>
                                              <w:marBottom w:val="0"/>
                                              <w:divBdr>
                                                <w:top w:val="none" w:sz="0" w:space="0" w:color="auto"/>
                                                <w:left w:val="none" w:sz="0" w:space="0" w:color="auto"/>
                                                <w:bottom w:val="none" w:sz="0" w:space="0" w:color="auto"/>
                                                <w:right w:val="none" w:sz="0" w:space="0" w:color="auto"/>
                                              </w:divBdr>
                                              <w:divsChild>
                                                <w:div w:id="113687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36174844">
      <w:bodyDiv w:val="1"/>
      <w:marLeft w:val="0"/>
      <w:marRight w:val="0"/>
      <w:marTop w:val="0"/>
      <w:marBottom w:val="0"/>
      <w:divBdr>
        <w:top w:val="none" w:sz="0" w:space="0" w:color="auto"/>
        <w:left w:val="none" w:sz="0" w:space="0" w:color="auto"/>
        <w:bottom w:val="none" w:sz="0" w:space="0" w:color="auto"/>
        <w:right w:val="none" w:sz="0" w:space="0" w:color="auto"/>
      </w:divBdr>
    </w:div>
    <w:div w:id="1157768219">
      <w:bodyDiv w:val="1"/>
      <w:marLeft w:val="0"/>
      <w:marRight w:val="0"/>
      <w:marTop w:val="0"/>
      <w:marBottom w:val="0"/>
      <w:divBdr>
        <w:top w:val="none" w:sz="0" w:space="0" w:color="auto"/>
        <w:left w:val="none" w:sz="0" w:space="0" w:color="auto"/>
        <w:bottom w:val="none" w:sz="0" w:space="0" w:color="auto"/>
        <w:right w:val="none" w:sz="0" w:space="0" w:color="auto"/>
      </w:divBdr>
    </w:div>
    <w:div w:id="1546327855">
      <w:bodyDiv w:val="1"/>
      <w:marLeft w:val="0"/>
      <w:marRight w:val="0"/>
      <w:marTop w:val="0"/>
      <w:marBottom w:val="0"/>
      <w:divBdr>
        <w:top w:val="none" w:sz="0" w:space="0" w:color="auto"/>
        <w:left w:val="none" w:sz="0" w:space="0" w:color="auto"/>
        <w:bottom w:val="none" w:sz="0" w:space="0" w:color="auto"/>
        <w:right w:val="none" w:sz="0" w:space="0" w:color="auto"/>
      </w:divBdr>
    </w:div>
    <w:div w:id="1889222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Reserve%20Bank%20of%20Australia\RBA%20Templates\WordTemplates\Publications\Submiss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01249F6DFEB40678334D401B951F08E"/>
        <w:category>
          <w:name w:val="General"/>
          <w:gallery w:val="placeholder"/>
        </w:category>
        <w:types>
          <w:type w:val="bbPlcHdr"/>
        </w:types>
        <w:behaviors>
          <w:behavior w:val="content"/>
        </w:behaviors>
        <w:guid w:val="{0084669B-B7E6-4988-A98F-E45A19964C52}"/>
      </w:docPartPr>
      <w:docPartBody>
        <w:p w:rsidR="006262E8" w:rsidRDefault="00680E33">
          <w:pPr>
            <w:pStyle w:val="001249F6DFEB40678334D401B951F08E"/>
          </w:pPr>
          <w:r w:rsidRPr="009644B8">
            <w:rPr>
              <w:rStyle w:val="PlaceholderText"/>
            </w:rPr>
            <w:t>[Title]</w:t>
          </w:r>
        </w:p>
      </w:docPartBody>
    </w:docPart>
    <w:docPart>
      <w:docPartPr>
        <w:name w:val="5E811F89BDB74C84BFCC0FA4CD964BD7"/>
        <w:category>
          <w:name w:val="General"/>
          <w:gallery w:val="placeholder"/>
        </w:category>
        <w:types>
          <w:type w:val="bbPlcHdr"/>
        </w:types>
        <w:behaviors>
          <w:behavior w:val="content"/>
        </w:behaviors>
        <w:guid w:val="{4BB886AA-6D29-4268-BD2A-E6984F498377}"/>
      </w:docPartPr>
      <w:docPartBody>
        <w:p w:rsidR="006262E8" w:rsidRDefault="00680E33">
          <w:pPr>
            <w:pStyle w:val="5E811F89BDB74C84BFCC0FA4CD964BD7"/>
          </w:pPr>
          <w:r>
            <w:rPr>
              <w:rStyle w:val="PlaceholderText"/>
            </w:rPr>
            <w:t>[Draft]</w:t>
          </w:r>
        </w:p>
      </w:docPartBody>
    </w:docPart>
    <w:docPart>
      <w:docPartPr>
        <w:name w:val="20524484FAAA432EB117D313DF6B6544"/>
        <w:category>
          <w:name w:val="General"/>
          <w:gallery w:val="placeholder"/>
        </w:category>
        <w:types>
          <w:type w:val="bbPlcHdr"/>
        </w:types>
        <w:behaviors>
          <w:behavior w:val="content"/>
        </w:behaviors>
        <w:guid w:val="{DF25A31C-A4E3-4D4D-AEBF-33A3DCA41285}"/>
      </w:docPartPr>
      <w:docPartBody>
        <w:p w:rsidR="006262E8" w:rsidRDefault="00680E33">
          <w:pPr>
            <w:pStyle w:val="20524484FAAA432EB117D313DF6B6544"/>
          </w:pPr>
          <w:r>
            <w:rPr>
              <w:rStyle w:val="PlaceholderText"/>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Light">
    <w:altName w:val="Myriad Pro Light"/>
    <w:panose1 w:val="020B0403030403020204"/>
    <w:charset w:val="00"/>
    <w:family w:val="swiss"/>
    <w:notTrueType/>
    <w:pitch w:val="variable"/>
    <w:sig w:usb0="20000287" w:usb1="00000001"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2E8"/>
    <w:rsid w:val="000340FC"/>
    <w:rsid w:val="00074C9C"/>
    <w:rsid w:val="000D3702"/>
    <w:rsid w:val="000E6F75"/>
    <w:rsid w:val="00102E6B"/>
    <w:rsid w:val="00193FC1"/>
    <w:rsid w:val="0024635C"/>
    <w:rsid w:val="002506BE"/>
    <w:rsid w:val="00274411"/>
    <w:rsid w:val="002B0561"/>
    <w:rsid w:val="00343D50"/>
    <w:rsid w:val="003467AF"/>
    <w:rsid w:val="00366739"/>
    <w:rsid w:val="003A44B2"/>
    <w:rsid w:val="00435BF1"/>
    <w:rsid w:val="00450E8B"/>
    <w:rsid w:val="00464BAA"/>
    <w:rsid w:val="00475B1B"/>
    <w:rsid w:val="00484362"/>
    <w:rsid w:val="004B74F9"/>
    <w:rsid w:val="004E12B5"/>
    <w:rsid w:val="004F1659"/>
    <w:rsid w:val="005239FE"/>
    <w:rsid w:val="00580534"/>
    <w:rsid w:val="005A2DFD"/>
    <w:rsid w:val="005D7944"/>
    <w:rsid w:val="005E6E6C"/>
    <w:rsid w:val="006262E8"/>
    <w:rsid w:val="006277B5"/>
    <w:rsid w:val="00643A27"/>
    <w:rsid w:val="00680E33"/>
    <w:rsid w:val="00706F7D"/>
    <w:rsid w:val="00741630"/>
    <w:rsid w:val="007520DA"/>
    <w:rsid w:val="00764768"/>
    <w:rsid w:val="00784C0B"/>
    <w:rsid w:val="007B77DC"/>
    <w:rsid w:val="00801F73"/>
    <w:rsid w:val="00855C0B"/>
    <w:rsid w:val="0086762E"/>
    <w:rsid w:val="00877A63"/>
    <w:rsid w:val="00897ADD"/>
    <w:rsid w:val="008E7B9A"/>
    <w:rsid w:val="0092739C"/>
    <w:rsid w:val="0093182C"/>
    <w:rsid w:val="009872EE"/>
    <w:rsid w:val="009C6F9D"/>
    <w:rsid w:val="009D4783"/>
    <w:rsid w:val="009E36E1"/>
    <w:rsid w:val="00A8407C"/>
    <w:rsid w:val="00A969B1"/>
    <w:rsid w:val="00AD7253"/>
    <w:rsid w:val="00AE7DBD"/>
    <w:rsid w:val="00AF3A87"/>
    <w:rsid w:val="00B004C2"/>
    <w:rsid w:val="00B01D9B"/>
    <w:rsid w:val="00B27A14"/>
    <w:rsid w:val="00B41940"/>
    <w:rsid w:val="00B471D6"/>
    <w:rsid w:val="00C60C34"/>
    <w:rsid w:val="00C73E3A"/>
    <w:rsid w:val="00C851E8"/>
    <w:rsid w:val="00C92384"/>
    <w:rsid w:val="00D348C1"/>
    <w:rsid w:val="00D41D88"/>
    <w:rsid w:val="00D6207F"/>
    <w:rsid w:val="00DA1EB2"/>
    <w:rsid w:val="00DB440E"/>
    <w:rsid w:val="00E37D39"/>
    <w:rsid w:val="00E407BD"/>
    <w:rsid w:val="00EC4742"/>
    <w:rsid w:val="00F43FA0"/>
    <w:rsid w:val="00F45865"/>
    <w:rsid w:val="00F64E75"/>
    <w:rsid w:val="00FB19D0"/>
    <w:rsid w:val="00FB2C79"/>
    <w:rsid w:val="00FC66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AU" w:eastAsia="en-AU"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595959" w:themeColor="text1" w:themeTint="A6"/>
      <w:bdr w:val="none" w:sz="0" w:space="0" w:color="auto"/>
      <w:shd w:val="clear" w:color="auto" w:fill="FFFF00"/>
    </w:rPr>
  </w:style>
  <w:style w:type="paragraph" w:customStyle="1" w:styleId="001249F6DFEB40678334D401B951F08E">
    <w:name w:val="001249F6DFEB40678334D401B951F08E"/>
  </w:style>
  <w:style w:type="paragraph" w:customStyle="1" w:styleId="5E811F89BDB74C84BFCC0FA4CD964BD7">
    <w:name w:val="5E811F89BDB74C84BFCC0FA4CD964BD7"/>
  </w:style>
  <w:style w:type="paragraph" w:customStyle="1" w:styleId="20524484FAAA432EB117D313DF6B6544">
    <w:name w:val="20524484FAAA432EB117D313DF6B654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RBA.XSL" StyleName="RBA"/>
</file>

<file path=customXml/itemProps1.xml><?xml version="1.0" encoding="utf-8"?>
<ds:datastoreItem xmlns:ds="http://schemas.openxmlformats.org/officeDocument/2006/customXml" ds:itemID="{3046FE46-03ED-4F59-BCB0-726DBF51670B}">
  <ds:schemaRefs>
    <ds:schemaRef ds:uri="http://schemas.openxmlformats.org/officeDocument/2006/bibliography"/>
  </ds:schemaRefs>
</ds:datastoreItem>
</file>

<file path=docMetadata/LabelInfo.xml><?xml version="1.0" encoding="utf-8"?>
<clbl:labelList xmlns:clbl="http://schemas.microsoft.com/office/2020/mipLabelMetadata">
  <clbl:label id="{1a0f9a64-9100-4159-b3c9-20653b66b8b0}"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Submission.dotx</Template>
  <TotalTime>6</TotalTime>
  <Pages>7</Pages>
  <Words>2379</Words>
  <Characters>13562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Review of Merchant Card Payment Costs and Surcharging Consultation Paper</vt:lpstr>
    </vt:vector>
  </TitlesOfParts>
  <Company>RBA</Company>
  <LinksUpToDate>false</LinksUpToDate>
  <CharactersWithSpaces>15910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Review of Merchant Card Payment Costs and Surcharging Consultation Paper</dc:title>
  <dc:subject/>
  <dc:creator>WEE, May</dc:creator>
  <cp:keywords/>
  <dc:description/>
  <cp:lastModifiedBy>WEE, May</cp:lastModifiedBy>
  <cp:revision>3</cp:revision>
  <cp:lastPrinted>2014-02-24T04:59:00Z</cp:lastPrinted>
  <dcterms:created xsi:type="dcterms:W3CDTF">2025-08-26T01:03:00Z</dcterms:created>
  <dcterms:modified xsi:type="dcterms:W3CDTF">2025-08-26T01:06:00Z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BA_TrimNumber">
    <vt:lpwstr>D24/101649</vt:lpwstr>
  </property>
  <property fmtid="{D5CDD505-2E9C-101B-9397-08002B2CF9AE}" pid="3" name="RBA_TrimSecurity">
    <vt:lpwstr>RESTRICTED</vt:lpwstr>
  </property>
  <property fmtid="{D5CDD505-2E9C-101B-9397-08002B2CF9AE}" pid="4" name="RBA_TrimDateCreated">
    <vt:lpwstr>08/04/2024 10:48:31 AM</vt:lpwstr>
  </property>
  <property fmtid="{D5CDD505-2E9C-101B-9397-08002B2CF9AE}" pid="5" name="RBA_TrimFolder">
    <vt:lpwstr>18/7870/03</vt:lpwstr>
  </property>
</Properties>
</file>