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E3A27" w14:textId="77777777" w:rsidR="00D16E97" w:rsidRDefault="00D16E97" w:rsidP="00D16E97">
      <w:r>
        <w:t>Head of Payments Policy Department</w:t>
      </w:r>
    </w:p>
    <w:p w14:paraId="7749B23F" w14:textId="77777777" w:rsidR="00D16E97" w:rsidRDefault="00D16E97" w:rsidP="00D16E97">
      <w:r>
        <w:t>Reserve Bank of Australia</w:t>
      </w:r>
    </w:p>
    <w:p w14:paraId="6148110C" w14:textId="77777777" w:rsidR="00D16E97" w:rsidRDefault="00D16E97" w:rsidP="00D16E97">
      <w:r>
        <w:t>GPO Box 3947</w:t>
      </w:r>
    </w:p>
    <w:p w14:paraId="77B8BE39" w14:textId="24C2E46F" w:rsidR="00D16E97" w:rsidRDefault="00D16E97" w:rsidP="00D16E97">
      <w:r>
        <w:t>Sydney NSW 2001</w:t>
      </w:r>
    </w:p>
    <w:p w14:paraId="46CCFAB1" w14:textId="061AD5CA" w:rsidR="00D16E97" w:rsidRDefault="00D16E97" w:rsidP="00D16E97">
      <w:r>
        <w:t xml:space="preserve">Email: </w:t>
      </w:r>
      <w:r w:rsidRPr="00D16E97">
        <w:t>pysubmissions@rba.gov.au</w:t>
      </w:r>
    </w:p>
    <w:p w14:paraId="3FFD5974" w14:textId="77777777" w:rsidR="00D16E97" w:rsidRDefault="00D16E97" w:rsidP="00D16E97"/>
    <w:p w14:paraId="46B587A5" w14:textId="40BA23D4" w:rsidR="00D16E97" w:rsidRDefault="00D16E97" w:rsidP="00D16E97">
      <w:r>
        <w:t>Subject: Feedback on the Reserve Bank of Australia's Consultation Paper: Review of Merchant Card Payment Costs and Surcharging (July 2025)</w:t>
      </w:r>
    </w:p>
    <w:p w14:paraId="4CC13CBE" w14:textId="62216A09" w:rsidR="00D16E97" w:rsidRDefault="00D16E97" w:rsidP="00D16E97">
      <w:r>
        <w:t>Thank you for letting us contribute to this discussion on a subject that we have years of experience as one of the largest POS System providers to many SMB retailers.</w:t>
      </w:r>
    </w:p>
    <w:p w14:paraId="4E1B820A" w14:textId="04DCBC65" w:rsidR="00D16E97" w:rsidRDefault="00D16E97" w:rsidP="00D16E97">
      <w:r>
        <w:t>We are writing as POS Solutions, a POS System provider located in Keysborough, Victoria, to provide feedback on the Consultation Paper dated July 2025. We appreciate the opportunity to contribute, as these reforms directly impact our clients, primarily small and medium businesses (SMBs) in retail that rely on our POS systems for efficient payment processing. Our comments build on our experiences supporting these clients with high payment costs and surcharging. Overall, while the paper proposes several positive steps like fee reductions and transparency, it falls short in addressing root causes and potential fallouts, particularly for our clients. We urge the RBA to incorporate several points to promote competition, efficiency, and fairness better.</w:t>
      </w:r>
    </w:p>
    <w:p w14:paraId="33ADBD25" w14:textId="06A4E247" w:rsidR="00D16E97" w:rsidRDefault="00D16E97" w:rsidP="00D16E97">
      <w:r>
        <w:t xml:space="preserve">1. Cash Remains Cheaper for Small Merchants, Contrary to the Paper's </w:t>
      </w:r>
      <w:r w:rsidR="007A74FE">
        <w:t>Claims in</w:t>
      </w:r>
      <w:r>
        <w:t xml:space="preserve"> a report for SMB retailers</w:t>
      </w:r>
    </w:p>
    <w:p w14:paraId="20D33812" w14:textId="1A79B209" w:rsidR="00D16E97" w:rsidRDefault="00D16E97" w:rsidP="00D16E97">
      <w:r>
        <w:t xml:space="preserve">The paper cites a study claiming cards are cheaper than cash due to back-office costs (Section 2), but this overlooks realities for many of our smaller clients, where their time costs "nothing”; this is a perspective of larger organisations. It is clearly shown that cash is preferable for them. This proposal will force them into a dearer payment method. </w:t>
      </w:r>
    </w:p>
    <w:p w14:paraId="621AD28B" w14:textId="78D29E1B" w:rsidR="00D16E97" w:rsidRDefault="00D16E97" w:rsidP="00D16E97">
      <w:r>
        <w:t xml:space="preserve">2. Root Causes of Surcharges Not Adequately Addressed </w:t>
      </w:r>
    </w:p>
    <w:p w14:paraId="1956F785" w14:textId="5DE32848" w:rsidR="00D16E97" w:rsidRDefault="00D16E97" w:rsidP="00D16E97">
      <w:r>
        <w:t xml:space="preserve">The surcharges exist because a cost exists; banning the surcharge will not cure the problem. At best, if these proposals are adopted, </w:t>
      </w:r>
      <w:r w:rsidR="0066438A">
        <w:t>they only reduce</w:t>
      </w:r>
      <w:r w:rsidR="0066438A" w:rsidRPr="0066438A">
        <w:t xml:space="preserve"> costs without eliminating them</w:t>
      </w:r>
      <w:r>
        <w:t>. It also increases the unfairness of the existing system, where large merchants are better able to negotiate much cheaper rates, and removes the current system, where all merchants can compete equally with cash. As such</w:t>
      </w:r>
      <w:r w:rsidR="007A74FE">
        <w:t xml:space="preserve">, what we have is a greater disparity, contrary to the </w:t>
      </w:r>
      <w:r>
        <w:t>efficiency goals wanted here.</w:t>
      </w:r>
    </w:p>
    <w:p w14:paraId="20379D88" w14:textId="178EDF9D" w:rsidR="007A74FE" w:rsidRDefault="007A74FE" w:rsidP="007A74FE">
      <w:r>
        <w:t xml:space="preserve">3. Interchange Fees as Only One of Many Fees </w:t>
      </w:r>
    </w:p>
    <w:p w14:paraId="35F0188B" w14:textId="043B4991" w:rsidR="007A74FE" w:rsidRDefault="007A74FE" w:rsidP="007A74FE">
      <w:r>
        <w:t xml:space="preserve">While the paper proposes lowering interchange caps (e.g., debit to 6 cents/0.12%), it acknowledges these are just one component (Section 3.1), with scheme fees comprising 25% of debit costs. Other fees by acquirers we already see going up. Although the interchange fee is important, it's hardly the most significant cost. Why doesn't the RBA feel that these other fees will not be increased to cover the acquirer's loss?  Acquirers </w:t>
      </w:r>
      <w:r w:rsidRPr="007A74FE">
        <w:t xml:space="preserve">will likely </w:t>
      </w:r>
      <w:r>
        <w:t xml:space="preserve">attempt to </w:t>
      </w:r>
      <w:r w:rsidRPr="007A74FE">
        <w:t xml:space="preserve">recover interchange reductions via higher </w:t>
      </w:r>
      <w:r w:rsidRPr="007A74FE">
        <w:lastRenderedPageBreak/>
        <w:t>cardholder fees or</w:t>
      </w:r>
      <w:r>
        <w:t>,</w:t>
      </w:r>
      <w:r w:rsidRPr="007A74FE">
        <w:t xml:space="preserve"> </w:t>
      </w:r>
      <w:r>
        <w:t xml:space="preserve">more likely, </w:t>
      </w:r>
      <w:r w:rsidRPr="007A74FE">
        <w:t xml:space="preserve">merchant charges (Section 2.2). </w:t>
      </w:r>
      <w:r w:rsidR="0066438A">
        <w:t xml:space="preserve"> </w:t>
      </w:r>
      <w:r w:rsidR="0066438A" w:rsidRPr="0066438A">
        <w:t>As noted in Section 3.1, scheme fees comprise 25% of debit costs, yet without caps on these, reductions feel marginal.</w:t>
      </w:r>
    </w:p>
    <w:p w14:paraId="73639D4D" w14:textId="3E0A5E8F" w:rsidR="00D16E97" w:rsidRDefault="00D16E97" w:rsidP="00D16E97">
      <w:r>
        <w:t>Consumer savings of $1.2 billion (~$60 per adult) are highlighted (Section 2.2), but this directly means $1.2 billion in business losses</w:t>
      </w:r>
      <w:r w:rsidR="007A74FE">
        <w:t xml:space="preserve">. </w:t>
      </w:r>
      <w:r>
        <w:t xml:space="preserve">The paper </w:t>
      </w:r>
      <w:r w:rsidR="007A74FE">
        <w:t xml:space="preserve">then </w:t>
      </w:r>
      <w:r>
        <w:t xml:space="preserve">estimates </w:t>
      </w:r>
      <w:r w:rsidR="007A74FE">
        <w:t xml:space="preserve">that </w:t>
      </w:r>
      <w:r>
        <w:t>merchants gain $1.2 billion from caps, but this assumes full pass-through</w:t>
      </w:r>
      <w:r w:rsidR="007A74FE">
        <w:t>, which is u</w:t>
      </w:r>
      <w:r>
        <w:t xml:space="preserve">nlikely.  </w:t>
      </w:r>
    </w:p>
    <w:p w14:paraId="7C720955" w14:textId="3EFDAE93" w:rsidR="0066438A" w:rsidRDefault="0066438A" w:rsidP="0066438A">
      <w:r>
        <w:t xml:space="preserve">4. Premium Cards with Extra Benefits Subsidised by Merchants, and How the Proposal Worsens This  </w:t>
      </w:r>
    </w:p>
    <w:p w14:paraId="3DDCFEA3" w14:textId="77777777" w:rsidR="0066438A" w:rsidRDefault="0066438A" w:rsidP="0066438A">
      <w:r>
        <w:t xml:space="preserve">The paper recognises that premium cards impose higher costs on merchants (Section 3.1), proposing to narrow debit-credit fee gaps via caps (e.g., credit at 0.3%). This partially mitigates subsidies, but the ban on surcharging (Section 2) exacerbates the issue by removing our clients' ability to pass these costs to users of premium cards. Our clients end up subsidising bank-offered perks (e.g., rewards points) without recourse, which feels inefficient and anti-competitive.  </w:t>
      </w:r>
    </w:p>
    <w:p w14:paraId="4769F1CA" w14:textId="62217753" w:rsidR="0066438A" w:rsidRDefault="0066438A" w:rsidP="0066438A">
      <w:r>
        <w:t>Currently, there is no way for the merchant to often know in advance if the customer is paying with a premium or standard card. This is wrong. Without stronger protections, the reforms risk entrenching disparities, contrary to the paper's efficiency goals.</w:t>
      </w:r>
    </w:p>
    <w:p w14:paraId="0835EAB6" w14:textId="77777777" w:rsidR="007A74FE" w:rsidRDefault="007A74FE" w:rsidP="00D16E97">
      <w:r>
        <w:t>5</w:t>
      </w:r>
      <w:r w:rsidR="00D16E97">
        <w:t xml:space="preserve">. Uncertainties Around Overseas Cards </w:t>
      </w:r>
    </w:p>
    <w:p w14:paraId="65D450A3" w14:textId="1F7A1584" w:rsidR="00D16E97" w:rsidRDefault="00D16E97" w:rsidP="00D16E97">
      <w:r>
        <w:t xml:space="preserve">The paper proposes caps on foreign cards (0.4-1.5%, Section 3.2) but is unclear on surcharging (Section 2.3). If allowed, distinguishing domestic vs. foreign at checkout creates pain points; POS adaptations for automatic detection are feasible but overdue.  </w:t>
      </w:r>
      <w:r w:rsidR="007A74FE">
        <w:t xml:space="preserve"> More about this later here.</w:t>
      </w:r>
    </w:p>
    <w:p w14:paraId="5637DFB4" w14:textId="117499A7" w:rsidR="00D16E97" w:rsidRDefault="007A74FE" w:rsidP="00D16E97">
      <w:r>
        <w:t>6</w:t>
      </w:r>
      <w:r w:rsidR="00D16E97">
        <w:t xml:space="preserve">. Potential Inflationary Effects and Price Adjustments  </w:t>
      </w:r>
    </w:p>
    <w:p w14:paraId="347491AA" w14:textId="3EA84EFE" w:rsidR="00D16E97" w:rsidRDefault="00D16E97" w:rsidP="00D16E97">
      <w:r>
        <w:t xml:space="preserve">Businesses </w:t>
      </w:r>
      <w:r w:rsidR="007A74FE">
        <w:t xml:space="preserve">will need to </w:t>
      </w:r>
      <w:r>
        <w:t>raise prices to compensate</w:t>
      </w:r>
      <w:r w:rsidR="007A74FE">
        <w:t>; the paper's 0.1% one-off inflationary effect is too low, as broader price adjustments across sectors could result in higher ongoing pressures after all</w:t>
      </w:r>
      <w:r w:rsidR="0066438A">
        <w:t>, b</w:t>
      </w:r>
      <w:r w:rsidR="0066438A" w:rsidRPr="0066438A">
        <w:t>ased on average SMB card fees rising 1-2% post-reform, per our client data</w:t>
      </w:r>
      <w:r w:rsidR="0066438A">
        <w:t>, it seems much too low</w:t>
      </w:r>
      <w:r w:rsidR="007A74FE">
        <w:t>.  For many SMB businesses, m</w:t>
      </w:r>
      <w:r>
        <w:t xml:space="preserve">any items, such as lotto products </w:t>
      </w:r>
      <w:r w:rsidR="007A74FE">
        <w:t xml:space="preserve">and </w:t>
      </w:r>
      <w:r>
        <w:t>commissions, will almost certainly not be raised in price to cover the proposed increases, leading to absorbed costs</w:t>
      </w:r>
      <w:r w:rsidR="007A74FE">
        <w:t xml:space="preserve"> by the SMB retailer</w:t>
      </w:r>
      <w:r>
        <w:t xml:space="preserve">. </w:t>
      </w:r>
    </w:p>
    <w:p w14:paraId="7133C478" w14:textId="654E4B82" w:rsidR="00D16E97" w:rsidRDefault="007A74FE" w:rsidP="00D16E97">
      <w:r>
        <w:t>7</w:t>
      </w:r>
      <w:r w:rsidR="00D16E97">
        <w:t xml:space="preserve">. Practical Strategies </w:t>
      </w:r>
    </w:p>
    <w:p w14:paraId="631321EC" w14:textId="23F85B8F" w:rsidR="00D16E97" w:rsidRDefault="00D16E97" w:rsidP="00D16E97">
      <w:r>
        <w:t>The paper supports cash discounts post-ban (Section 2.3), which we endorse</w:t>
      </w:r>
      <w:r w:rsidR="007A74FE">
        <w:t>; however, w</w:t>
      </w:r>
      <w:r>
        <w:t xml:space="preserve">e see </w:t>
      </w:r>
      <w:r w:rsidR="007A74FE">
        <w:t xml:space="preserve">the evolution here of a </w:t>
      </w:r>
      <w:r>
        <w:t xml:space="preserve">three-tiered retail price system: a base price for credit card payments, with discounts for debit card and </w:t>
      </w:r>
      <w:r w:rsidR="007A74FE">
        <w:t xml:space="preserve">probably further discounts for </w:t>
      </w:r>
      <w:r>
        <w:t xml:space="preserve">cash. </w:t>
      </w:r>
    </w:p>
    <w:p w14:paraId="1F4B7B24" w14:textId="36CA3394" w:rsidR="007A74FE" w:rsidRPr="0066438A" w:rsidRDefault="007A74FE" w:rsidP="00D16E97">
      <w:pPr>
        <w:rPr>
          <w:rStyle w:val="Strong"/>
        </w:rPr>
      </w:pPr>
      <w:r w:rsidRPr="0066438A">
        <w:rPr>
          <w:rStyle w:val="Strong"/>
        </w:rPr>
        <w:t>Here is our proposal, which we would like you to please consider.</w:t>
      </w:r>
    </w:p>
    <w:p w14:paraId="1F3B5C6D" w14:textId="5BD0BB18" w:rsidR="00D16E97" w:rsidRDefault="00D16E97" w:rsidP="00D16E97">
      <w:r>
        <w:t xml:space="preserve">The paper acknowledges fee opacity as a barrier for merchants (e.g., Section 4 on Transparency of Wholesale Fees), proposing quarterly publication of aggregate fees by card networks. However, this does not fully address the practical challenges our clients face in integrating multiple providers due to varying, unpredictable fees. </w:t>
      </w:r>
      <w:r w:rsidR="007A74FE">
        <w:t xml:space="preserve">Most importantly, </w:t>
      </w:r>
      <w:r>
        <w:t xml:space="preserve">they cannot know fees in advance per transaction, making it hard to </w:t>
      </w:r>
      <w:r w:rsidR="007A74FE">
        <w:t xml:space="preserve">determine </w:t>
      </w:r>
      <w:r>
        <w:t xml:space="preserve">costs dynamically.  </w:t>
      </w:r>
      <w:r w:rsidR="007A74FE">
        <w:t xml:space="preserve">What they do is now average over the year and assign a price based on this. This means that the standard and premium card costs are averaged out, meaning that standard cards are subsidising the premium cards. </w:t>
      </w:r>
    </w:p>
    <w:p w14:paraId="455E7330" w14:textId="0AD518C9" w:rsidR="00D16E97" w:rsidRDefault="00D16E97" w:rsidP="00D16E97">
      <w:r>
        <w:lastRenderedPageBreak/>
        <w:t xml:space="preserve">We strongly recommend mandating </w:t>
      </w:r>
      <w:r w:rsidR="007A74FE">
        <w:t xml:space="preserve">that </w:t>
      </w:r>
      <w:r>
        <w:t>merchants can request real-time quotes from multiple providers via their POS systems</w:t>
      </w:r>
      <w:r w:rsidR="007A74FE">
        <w:t xml:space="preserve">. Then allow them to </w:t>
      </w:r>
      <w:r>
        <w:t>selec</w:t>
      </w:r>
      <w:r w:rsidR="007A74FE">
        <w:t xml:space="preserve">t the </w:t>
      </w:r>
      <w:r>
        <w:t>cheapest option per transaction. This could be implemented quickly (</w:t>
      </w:r>
      <w:r w:rsidR="0066438A" w:rsidRPr="0066438A">
        <w:t>As a POS provider, we estimate implementation within months via API integrations, directly addressing Section 4's opacity barriers</w:t>
      </w:r>
      <w:r w:rsidR="0066438A">
        <w:t xml:space="preserve">, which </w:t>
      </w:r>
      <w:r>
        <w:t xml:space="preserve">we believe </w:t>
      </w:r>
      <w:r w:rsidR="0066438A">
        <w:t>is</w:t>
      </w:r>
      <w:r>
        <w:t xml:space="preserve"> feasible within months</w:t>
      </w:r>
      <w:r w:rsidR="007A74FE">
        <w:t xml:space="preserve"> if the acquirers would release the information</w:t>
      </w:r>
      <w:r>
        <w:t xml:space="preserve">) and would foster </w:t>
      </w:r>
      <w:r w:rsidR="0066438A">
        <w:t>actual</w:t>
      </w:r>
      <w:r>
        <w:t xml:space="preserve"> competition by enabling seamless multi-provider use. Without this, the proposed transparency measures (e.g., quarterly aggregates) feel insufficient, as they don't solve per-transaction uncertainty.</w:t>
      </w:r>
      <w:r w:rsidR="0066438A">
        <w:t xml:space="preserve"> </w:t>
      </w:r>
      <w:r w:rsidR="0066438A" w:rsidRPr="0066438A">
        <w:t>This would promote competition (per Section 4) by enabling dynamic cost optimisation.</w:t>
      </w:r>
    </w:p>
    <w:p w14:paraId="1B5E6E45" w14:textId="791B177C" w:rsidR="00D16E97" w:rsidRDefault="00D16E97" w:rsidP="00D16E97">
      <w:r>
        <w:t>Thank you for considering our feedback. We can be reached at our contact details</w:t>
      </w:r>
      <w:r w:rsidR="007A74FE">
        <w:t xml:space="preserve"> if required.</w:t>
      </w:r>
    </w:p>
    <w:p w14:paraId="10B8FF0C" w14:textId="77777777" w:rsidR="00D16E97" w:rsidRDefault="00D16E97" w:rsidP="00D16E97"/>
    <w:p w14:paraId="241D28C2" w14:textId="77777777" w:rsidR="00D16E97" w:rsidRDefault="00D16E97" w:rsidP="00D16E97">
      <w:r>
        <w:t xml:space="preserve">Sincerely,  </w:t>
      </w:r>
    </w:p>
    <w:p w14:paraId="59DEE402" w14:textId="77777777" w:rsidR="00700BBF" w:rsidRDefault="00700BBF" w:rsidP="00700BBF">
      <w:r>
        <w:t>POS Solutions</w:t>
      </w:r>
    </w:p>
    <w:p w14:paraId="3C6B3DC2" w14:textId="7380886C" w:rsidR="007A74FE" w:rsidRDefault="007A74FE" w:rsidP="00700BBF"/>
    <w:sectPr w:rsidR="007A74FE">
      <w:headerReference w:type="even" r:id="rId6"/>
      <w:headerReference w:type="default" r:id="rId7"/>
      <w:footerReference w:type="even" r:id="rId8"/>
      <w:headerReference w:type="firs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3E4E9" w14:textId="77777777" w:rsidR="00A7201A" w:rsidRDefault="00A7201A" w:rsidP="00A7201A">
      <w:pPr>
        <w:spacing w:after="0" w:line="240" w:lineRule="auto"/>
      </w:pPr>
      <w:r>
        <w:separator/>
      </w:r>
    </w:p>
  </w:endnote>
  <w:endnote w:type="continuationSeparator" w:id="0">
    <w:p w14:paraId="7C99D462" w14:textId="77777777" w:rsidR="00A7201A" w:rsidRDefault="00A7201A" w:rsidP="00A720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Segoe UI"/>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88D9B" w14:textId="1C391157" w:rsidR="00A7201A" w:rsidRDefault="00A7201A">
    <w:pPr>
      <w:pStyle w:val="Footer"/>
    </w:pPr>
    <w:r>
      <w:rPr>
        <w:noProof/>
      </w:rPr>
      <mc:AlternateContent>
        <mc:Choice Requires="wps">
          <w:drawing>
            <wp:anchor distT="0" distB="0" distL="0" distR="0" simplePos="0" relativeHeight="251662336" behindDoc="0" locked="0" layoutInCell="1" allowOverlap="1" wp14:anchorId="545AE942" wp14:editId="6504A5A8">
              <wp:simplePos x="635" y="635"/>
              <wp:positionH relativeFrom="page">
                <wp:align>center</wp:align>
              </wp:positionH>
              <wp:positionV relativeFrom="page">
                <wp:align>bottom</wp:align>
              </wp:positionV>
              <wp:extent cx="547370" cy="383540"/>
              <wp:effectExtent l="0" t="0" r="5080" b="0"/>
              <wp:wrapNone/>
              <wp:docPr id="41690375" name="Text Box 5"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83540"/>
                      </a:xfrm>
                      <a:prstGeom prst="rect">
                        <a:avLst/>
                      </a:prstGeom>
                      <a:noFill/>
                      <a:ln>
                        <a:noFill/>
                      </a:ln>
                    </wps:spPr>
                    <wps:txbx>
                      <w:txbxContent>
                        <w:p w14:paraId="49DBC3C8" w14:textId="0EF29BCA"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45AE942" id="_x0000_t202" coordsize="21600,21600" o:spt="202" path="m,l,21600r21600,l21600,xe">
              <v:stroke joinstyle="miter"/>
              <v:path gradientshapeok="t" o:connecttype="rect"/>
            </v:shapetype>
            <v:shape id="Text Box 5" o:spid="_x0000_s1028" type="#_x0000_t202" alt="GENERAL" style="position:absolute;margin-left:0;margin-top:0;width:43.1pt;height:30.2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" filled="f" stroked="f">
              <v:fill o:detectmouseclick="t"/>
              <v:textbox style="mso-fit-shape-to-text:t" inset="0,0,0,15pt">
                <w:txbxContent>
                  <w:p w14:paraId="49DBC3C8" w14:textId="0EF29BCA"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DC661" w14:textId="1D38CD28" w:rsidR="00A7201A" w:rsidRDefault="00A7201A">
    <w:pPr>
      <w:pStyle w:val="Footer"/>
    </w:pPr>
    <w:r>
      <w:rPr>
        <w:noProof/>
      </w:rPr>
      <mc:AlternateContent>
        <mc:Choice Requires="wps">
          <w:drawing>
            <wp:anchor distT="0" distB="0" distL="0" distR="0" simplePos="0" relativeHeight="251661312" behindDoc="0" locked="0" layoutInCell="1" allowOverlap="1" wp14:anchorId="27234C5A" wp14:editId="559AF648">
              <wp:simplePos x="635" y="635"/>
              <wp:positionH relativeFrom="page">
                <wp:align>center</wp:align>
              </wp:positionH>
              <wp:positionV relativeFrom="page">
                <wp:align>bottom</wp:align>
              </wp:positionV>
              <wp:extent cx="547370" cy="383540"/>
              <wp:effectExtent l="0" t="0" r="5080" b="0"/>
              <wp:wrapNone/>
              <wp:docPr id="913490587" name="Text Box 4"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83540"/>
                      </a:xfrm>
                      <a:prstGeom prst="rect">
                        <a:avLst/>
                      </a:prstGeom>
                      <a:noFill/>
                      <a:ln>
                        <a:noFill/>
                      </a:ln>
                    </wps:spPr>
                    <wps:txbx>
                      <w:txbxContent>
                        <w:p w14:paraId="59C40CDE" w14:textId="512E9888"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7234C5A" id="_x0000_t202" coordsize="21600,21600" o:spt="202" path="m,l,21600r21600,l21600,xe">
              <v:stroke joinstyle="miter"/>
              <v:path gradientshapeok="t" o:connecttype="rect"/>
            </v:shapetype>
            <v:shape id="Text Box 4" o:spid="_x0000_s1030" type="#_x0000_t202" alt="GENERAL" style="position:absolute;margin-left:0;margin-top:0;width:43.1pt;height:30.2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" filled="f" stroked="f">
              <v:fill o:detectmouseclick="t"/>
              <v:textbox style="mso-fit-shape-to-text:t" inset="0,0,0,15pt">
                <w:txbxContent>
                  <w:p w14:paraId="59C40CDE" w14:textId="512E9888"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7FD4C" w14:textId="77777777" w:rsidR="00A7201A" w:rsidRDefault="00A7201A" w:rsidP="00A7201A">
      <w:pPr>
        <w:spacing w:after="0" w:line="240" w:lineRule="auto"/>
      </w:pPr>
      <w:r>
        <w:separator/>
      </w:r>
    </w:p>
  </w:footnote>
  <w:footnote w:type="continuationSeparator" w:id="0">
    <w:p w14:paraId="4314EE8E" w14:textId="77777777" w:rsidR="00A7201A" w:rsidRDefault="00A7201A" w:rsidP="00A720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C5293" w14:textId="687B6EE9" w:rsidR="00A7201A" w:rsidRDefault="00A7201A">
    <w:pPr>
      <w:pStyle w:val="Header"/>
    </w:pPr>
    <w:r>
      <w:rPr>
        <w:noProof/>
      </w:rPr>
      <mc:AlternateContent>
        <mc:Choice Requires="wps">
          <w:drawing>
            <wp:anchor distT="0" distB="0" distL="0" distR="0" simplePos="0" relativeHeight="251659264" behindDoc="0" locked="0" layoutInCell="1" allowOverlap="1" wp14:anchorId="625AD010" wp14:editId="4A447D56">
              <wp:simplePos x="635" y="635"/>
              <wp:positionH relativeFrom="page">
                <wp:align>center</wp:align>
              </wp:positionH>
              <wp:positionV relativeFrom="page">
                <wp:align>top</wp:align>
              </wp:positionV>
              <wp:extent cx="29845" cy="383540"/>
              <wp:effectExtent l="0" t="0" r="8255" b="16510"/>
              <wp:wrapNone/>
              <wp:docPr id="271793330" name="Text Box 2"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83540"/>
                      </a:xfrm>
                      <a:prstGeom prst="rect">
                        <a:avLst/>
                      </a:prstGeom>
                      <a:noFill/>
                      <a:ln>
                        <a:noFill/>
                      </a:ln>
                    </wps:spPr>
                    <wps:txbx>
                      <w:txbxContent>
                        <w:p w14:paraId="5DB1FA6B" w14:textId="0FE0BC35"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25AD010" id="_x0000_t202" coordsize="21600,21600" o:spt="202" path="m,l,21600r21600,l21600,xe">
              <v:stroke joinstyle="miter"/>
              <v:path gradientshapeok="t" o:connecttype="rect"/>
            </v:shapetype>
            <v:shape id="Text Box 2" o:spid="_x0000_s1026" type="#_x0000_t202" alt=" " style="position:absolute;margin-left:0;margin-top:0;width:2.35pt;height:30.2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" filled="f" stroked="f">
              <v:fill o:detectmouseclick="t"/>
              <v:textbox style="mso-fit-shape-to-text:t" inset="0,15pt,0,0">
                <w:txbxContent>
                  <w:p w14:paraId="5DB1FA6B" w14:textId="0FE0BC35"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03905" w14:textId="67B20EDE" w:rsidR="00A7201A" w:rsidRDefault="00A7201A">
    <w:pPr>
      <w:pStyle w:val="Header"/>
    </w:pPr>
    <w:r>
      <w:rPr>
        <w:noProof/>
      </w:rPr>
      <mc:AlternateContent>
        <mc:Choice Requires="wps">
          <w:drawing>
            <wp:anchor distT="0" distB="0" distL="0" distR="0" simplePos="0" relativeHeight="251660288" behindDoc="0" locked="0" layoutInCell="1" allowOverlap="1" wp14:anchorId="34F15874" wp14:editId="0DE35C0F">
              <wp:simplePos x="914400" y="449580"/>
              <wp:positionH relativeFrom="page">
                <wp:align>center</wp:align>
              </wp:positionH>
              <wp:positionV relativeFrom="page">
                <wp:align>top</wp:align>
              </wp:positionV>
              <wp:extent cx="29845" cy="383540"/>
              <wp:effectExtent l="0" t="0" r="8255" b="16510"/>
              <wp:wrapNone/>
              <wp:docPr id="849309610" name="Text Box 3"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83540"/>
                      </a:xfrm>
                      <a:prstGeom prst="rect">
                        <a:avLst/>
                      </a:prstGeom>
                      <a:noFill/>
                      <a:ln>
                        <a:noFill/>
                      </a:ln>
                    </wps:spPr>
                    <wps:txbx>
                      <w:txbxContent>
                        <w:p w14:paraId="1E024B5F" w14:textId="591244DE"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4F15874" id="_x0000_t202" coordsize="21600,21600" o:spt="202" path="m,l,21600r21600,l21600,xe">
              <v:stroke joinstyle="miter"/>
              <v:path gradientshapeok="t" o:connecttype="rect"/>
            </v:shapetype>
            <v:shape id="Text Box 3" o:spid="_x0000_s1027" type="#_x0000_t202" alt=" " style="position:absolute;margin-left:0;margin-top:0;width:2.35pt;height:30.2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" filled="f" stroked="f">
              <v:fill o:detectmouseclick="t"/>
              <v:textbox style="mso-fit-shape-to-text:t" inset="0,15pt,0,0">
                <w:txbxContent>
                  <w:p w14:paraId="1E024B5F" w14:textId="591244DE"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C6BF7" w14:textId="08E35244" w:rsidR="00A7201A" w:rsidRDefault="00A7201A">
    <w:pPr>
      <w:pStyle w:val="Header"/>
    </w:pPr>
    <w:r>
      <w:rPr>
        <w:noProof/>
      </w:rPr>
      <mc:AlternateContent>
        <mc:Choice Requires="wps">
          <w:drawing>
            <wp:anchor distT="0" distB="0" distL="0" distR="0" simplePos="0" relativeHeight="251658240" behindDoc="0" locked="0" layoutInCell="1" allowOverlap="1" wp14:anchorId="13D7AD95" wp14:editId="5170EDDB">
              <wp:simplePos x="635" y="635"/>
              <wp:positionH relativeFrom="page">
                <wp:align>center</wp:align>
              </wp:positionH>
              <wp:positionV relativeFrom="page">
                <wp:align>top</wp:align>
              </wp:positionV>
              <wp:extent cx="29845" cy="383540"/>
              <wp:effectExtent l="0" t="0" r="8255" b="16510"/>
              <wp:wrapNone/>
              <wp:docPr id="1965879819" name="Text Box 1"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83540"/>
                      </a:xfrm>
                      <a:prstGeom prst="rect">
                        <a:avLst/>
                      </a:prstGeom>
                      <a:noFill/>
                      <a:ln>
                        <a:noFill/>
                      </a:ln>
                    </wps:spPr>
                    <wps:txbx>
                      <w:txbxContent>
                        <w:p w14:paraId="56FF10E0" w14:textId="1237494E"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3D7AD95" id="_x0000_t202" coordsize="21600,21600" o:spt="202" path="m,l,21600r21600,l21600,xe">
              <v:stroke joinstyle="miter"/>
              <v:path gradientshapeok="t" o:connecttype="rect"/>
            </v:shapetype>
            <v:shape id="Text Box 1" o:spid="_x0000_s1029" type="#_x0000_t202" alt=" " style="position:absolute;margin-left:0;margin-top:0;width:2.35pt;height:30.2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" filled="f" stroked="f">
              <v:fill o:detectmouseclick="t"/>
              <v:textbox style="mso-fit-shape-to-text:t" inset="0,15pt,0,0">
                <w:txbxContent>
                  <w:p w14:paraId="56FF10E0" w14:textId="1237494E" w:rsidR="00A7201A" w:rsidRPr="00A7201A" w:rsidRDefault="00A7201A" w:rsidP="00A7201A">
                    <w:pPr>
                      <w:spacing w:after="0"/>
                      <w:rPr>
                        <w:rFonts w:ascii="Myriad Pro" w:eastAsia="Myriad Pro" w:hAnsi="Myriad Pro" w:cs="Myriad Pro"/>
                        <w:noProof/>
                        <w:color w:val="808080"/>
                      </w:rPr>
                    </w:pPr>
                    <w:r w:rsidRPr="00A7201A">
                      <w:rPr>
                        <w:rFonts w:ascii="Myriad Pro" w:eastAsia="Myriad Pro" w:hAnsi="Myriad Pro" w:cs="Myriad Pro"/>
                        <w:noProof/>
                        <w:color w:val="808080"/>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E97"/>
    <w:rsid w:val="00417809"/>
    <w:rsid w:val="0066438A"/>
    <w:rsid w:val="00667C8E"/>
    <w:rsid w:val="00700BBF"/>
    <w:rsid w:val="00726641"/>
    <w:rsid w:val="007A74FE"/>
    <w:rsid w:val="00A7201A"/>
    <w:rsid w:val="00AF3464"/>
    <w:rsid w:val="00D038B7"/>
    <w:rsid w:val="00D16E97"/>
    <w:rsid w:val="00DA0E57"/>
    <w:rsid w:val="00DB3A4D"/>
    <w:rsid w:val="00DF1E91"/>
    <w:rsid w:val="00E406CD"/>
    <w:rsid w:val="00F965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636E2A"/>
  <w15:chartTrackingRefBased/>
  <w15:docId w15:val="{88CD2578-F5C8-4DF6-9D12-84FC7FB1F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6E9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16E9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16E97"/>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16E97"/>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16E97"/>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16E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E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E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E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E97"/>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16E97"/>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16E97"/>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16E97"/>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16E97"/>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16E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E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E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E97"/>
    <w:rPr>
      <w:rFonts w:eastAsiaTheme="majorEastAsia" w:cstheme="majorBidi"/>
      <w:color w:val="272727" w:themeColor="text1" w:themeTint="D8"/>
    </w:rPr>
  </w:style>
  <w:style w:type="paragraph" w:styleId="Title">
    <w:name w:val="Title"/>
    <w:basedOn w:val="Normal"/>
    <w:next w:val="Normal"/>
    <w:link w:val="TitleChar"/>
    <w:uiPriority w:val="10"/>
    <w:qFormat/>
    <w:rsid w:val="00D16E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E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E9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E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E9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16E97"/>
    <w:rPr>
      <w:i/>
      <w:iCs/>
      <w:color w:val="404040" w:themeColor="text1" w:themeTint="BF"/>
    </w:rPr>
  </w:style>
  <w:style w:type="paragraph" w:styleId="ListParagraph">
    <w:name w:val="List Paragraph"/>
    <w:basedOn w:val="Normal"/>
    <w:uiPriority w:val="34"/>
    <w:qFormat/>
    <w:rsid w:val="00D16E97"/>
    <w:pPr>
      <w:ind w:left="720"/>
      <w:contextualSpacing/>
    </w:pPr>
  </w:style>
  <w:style w:type="character" w:styleId="IntenseEmphasis">
    <w:name w:val="Intense Emphasis"/>
    <w:basedOn w:val="DefaultParagraphFont"/>
    <w:uiPriority w:val="21"/>
    <w:qFormat/>
    <w:rsid w:val="00D16E97"/>
    <w:rPr>
      <w:i/>
      <w:iCs/>
      <w:color w:val="365F91" w:themeColor="accent1" w:themeShade="BF"/>
    </w:rPr>
  </w:style>
  <w:style w:type="paragraph" w:styleId="IntenseQuote">
    <w:name w:val="Intense Quote"/>
    <w:basedOn w:val="Normal"/>
    <w:next w:val="Normal"/>
    <w:link w:val="IntenseQuoteChar"/>
    <w:uiPriority w:val="30"/>
    <w:qFormat/>
    <w:rsid w:val="00D16E9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16E97"/>
    <w:rPr>
      <w:i/>
      <w:iCs/>
      <w:color w:val="365F91" w:themeColor="accent1" w:themeShade="BF"/>
    </w:rPr>
  </w:style>
  <w:style w:type="character" w:styleId="IntenseReference">
    <w:name w:val="Intense Reference"/>
    <w:basedOn w:val="DefaultParagraphFont"/>
    <w:uiPriority w:val="32"/>
    <w:qFormat/>
    <w:rsid w:val="00D16E97"/>
    <w:rPr>
      <w:b/>
      <w:bCs/>
      <w:smallCaps/>
      <w:color w:val="365F91" w:themeColor="accent1" w:themeShade="BF"/>
      <w:spacing w:val="5"/>
    </w:rPr>
  </w:style>
  <w:style w:type="character" w:styleId="Strong">
    <w:name w:val="Strong"/>
    <w:basedOn w:val="DefaultParagraphFont"/>
    <w:uiPriority w:val="22"/>
    <w:qFormat/>
    <w:rsid w:val="0066438A"/>
    <w:rPr>
      <w:b/>
      <w:bCs/>
    </w:rPr>
  </w:style>
  <w:style w:type="character" w:styleId="Hyperlink">
    <w:name w:val="Hyperlink"/>
    <w:basedOn w:val="DefaultParagraphFont"/>
    <w:uiPriority w:val="99"/>
    <w:unhideWhenUsed/>
    <w:rsid w:val="00700BBF"/>
    <w:rPr>
      <w:color w:val="0000FF" w:themeColor="hyperlink"/>
      <w:u w:val="single"/>
    </w:rPr>
  </w:style>
  <w:style w:type="character" w:styleId="UnresolvedMention">
    <w:name w:val="Unresolved Mention"/>
    <w:basedOn w:val="DefaultParagraphFont"/>
    <w:uiPriority w:val="99"/>
    <w:semiHidden/>
    <w:unhideWhenUsed/>
    <w:rsid w:val="00700BBF"/>
    <w:rPr>
      <w:color w:val="605E5C"/>
      <w:shd w:val="clear" w:color="auto" w:fill="E1DFDD"/>
    </w:rPr>
  </w:style>
  <w:style w:type="paragraph" w:styleId="Header">
    <w:name w:val="header"/>
    <w:basedOn w:val="Normal"/>
    <w:link w:val="HeaderChar"/>
    <w:uiPriority w:val="99"/>
    <w:unhideWhenUsed/>
    <w:rsid w:val="00A720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01A"/>
  </w:style>
  <w:style w:type="paragraph" w:styleId="Footer">
    <w:name w:val="footer"/>
    <w:basedOn w:val="Normal"/>
    <w:link w:val="FooterChar"/>
    <w:uiPriority w:val="99"/>
    <w:unhideWhenUsed/>
    <w:rsid w:val="00A720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41c7a5ca-f382-4d46-ae8a-5fb2a9b4adad}" enabled="1" method="Privileged" siteId="{af0d88c1-6605-44c2-999e-e6b2f8790d86}" contentBits="3"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1040</Words>
  <Characters>5757</Characters>
  <Application>Microsoft Office Word</Application>
  <DocSecurity>0</DocSecurity>
  <Lines>94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zimmermann</dc:creator>
  <cp:keywords/>
  <dc:description/>
  <cp:lastModifiedBy>WONG, Sally</cp:lastModifiedBy>
  <cp:revision>3</cp:revision>
  <dcterms:created xsi:type="dcterms:W3CDTF">2025-08-13T04:38:00Z</dcterms:created>
  <dcterms:modified xsi:type="dcterms:W3CDTF">2025-09-03T05:27:00Z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eca54980-c214-4974-bc39-6b6e2521bea8</vt:lpwstr>
  </property>
  <property fmtid="{D5CDD505-2E9C-101B-9397-08002B2CF9AE}" pid="3" name="ClassificationContentMarkingHeaderShapeIds">
    <vt:lpwstr>752cf20b,10333cb2,329f6faa</vt:lpwstr>
  </property>
  <property fmtid="{D5CDD505-2E9C-101B-9397-08002B2CF9AE}" pid="4" name="ClassificationContentMarkingHeaderFontProps">
    <vt:lpwstr>#808080,11,Myriad Pro</vt:lpwstr>
  </property>
  <property fmtid="{D5CDD505-2E9C-101B-9397-08002B2CF9AE}" pid="5" name="ClassificationContentMarkingHeaderText">
    <vt:lpwstr> </vt:lpwstr>
  </property>
  <property fmtid="{D5CDD505-2E9C-101B-9397-08002B2CF9AE}" pid="6" name="ClassificationContentMarkingFooterShapeIds">
    <vt:lpwstr>3672c29b,27c2507,1226489e</vt:lpwstr>
  </property>
  <property fmtid="{D5CDD505-2E9C-101B-9397-08002B2CF9AE}" pid="7" name="ClassificationContentMarkingFooterFontProps">
    <vt:lpwstr>#808080,11,Myriad Pro</vt:lpwstr>
  </property>
  <property fmtid="{D5CDD505-2E9C-101B-9397-08002B2CF9AE}" pid="8" name="ClassificationContentMarkingFooterText">
    <vt:lpwstr>GENERAL</vt:lpwstr>
  </property>
</Properties>
</file>