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464EF" w:rsidRDefault="002039DC">
      <w:pPr>
        <w:pStyle w:val="Heading1"/>
      </w:pPr>
      <w:r>
        <w:t>Submission to the Reserve Bank of Australia – Review of Merchant Card Payment Costs and Surcharging</w:t>
      </w:r>
    </w:p>
    <w:p w:rsidR="005464EF" w:rsidRDefault="002039DC">
      <w:r>
        <w:t>**Date:** 21 August 2025</w:t>
      </w:r>
    </w:p>
    <w:p w:rsidR="005464EF" w:rsidRDefault="002039DC">
      <w:r>
        <w:t>**From:** Pieter Van Baren</w:t>
      </w:r>
    </w:p>
    <w:p w:rsidR="005464EF" w:rsidRDefault="002039DC">
      <w:r>
        <w:t>**To:** Payments Policy Department, Reserve Bank of Australia</w:t>
      </w:r>
    </w:p>
    <w:p w:rsidR="005464EF" w:rsidRDefault="002039DC">
      <w:pPr>
        <w:pStyle w:val="Heading2"/>
      </w:pPr>
      <w:r>
        <w:t>Introduction</w:t>
      </w:r>
    </w:p>
    <w:p w:rsidR="005464EF" w:rsidRDefault="002039DC">
      <w:r>
        <w:t xml:space="preserve">I appreciate the </w:t>
      </w:r>
      <w:r>
        <w:t>opportunity to comment on the RBA’s consultation regarding merchant card payment costs and surcharging. As a consumer who actively chooses lower-cost payment methods, I am concerned that some of the proposed reforms may unintentionally reduce competition, limit consumer choice, and obscure cost signals that currently allow informed payment decisions.</w:t>
      </w:r>
    </w:p>
    <w:p w:rsidR="005464EF" w:rsidRDefault="002039DC">
      <w:pPr>
        <w:pStyle w:val="Heading2"/>
      </w:pPr>
      <w:r>
        <w:t>1. Loss of Eftpos-Only Card Options and Reduced Consumer Choice</w:t>
      </w:r>
    </w:p>
    <w:p w:rsidR="005464EF" w:rsidRDefault="002039DC">
      <w:r>
        <w:t>Following the RBA’s announcement encouraging banks to issue cards that can be used on an international debit network, my bank (ANZ) informed me that my eftpos-only debit card will be phased out and replaced with a Visa Debit card. While I understand the policy intention behind dual-network debit cards (DNDCs) and least-cost routing (LCR), the practical outcome in my case is the removal of eftpos as a stand-alone choice.</w:t>
      </w:r>
    </w:p>
    <w:p w:rsidR="005464EF" w:rsidRDefault="002039DC">
      <w:r>
        <w:t>This change undermines the RBA’s stated goal of enabling consumers and merchants to choose the most cost-effective routing option. Without eftpos branding and functionality clearly available to consumers, there is a risk that merchants and customers will default to higher-cost networks, even when cheaper options exist.</w:t>
      </w:r>
    </w:p>
    <w:p w:rsidR="005464EF" w:rsidRDefault="002039DC">
      <w:r>
        <w:t>For example, I have personally encountered merchants who, when presented with my Visa Debit card, insisted that the surcharge must be based on the Visa rate. I was told I could only access the eftpos rate if I presented an eftpos-only card. This demonstrates that even though least-cost routing is technically available, in practice it is not being applied consistently, and consumers are being charged higher fees than necessary.</w:t>
      </w:r>
    </w:p>
    <w:p w:rsidR="005464EF" w:rsidRDefault="002039DC">
      <w:pPr>
        <w:pStyle w:val="Heading2"/>
      </w:pPr>
      <w:r>
        <w:t>2. Risk of Hidden Cost Shifting When Surcharges Are Removed</w:t>
      </w:r>
    </w:p>
    <w:p w:rsidR="005464EF" w:rsidRDefault="002039DC">
      <w:r>
        <w:t>Although removing surcharges is designed to make payments simpler and fairer, in practice many businesses will simply absorb the cost of merchant fees into their general pricing. This effectively passes the cost of high-fee payment methods onto all customers, including those who use lower-cost options such as cash or eftpos.</w:t>
      </w:r>
    </w:p>
    <w:p w:rsidR="005464EF" w:rsidRDefault="002039DC">
      <w:r>
        <w:t>Without transparency or safeguards, consumers who make cost-conscious payment choices will end up subsidising those who do not.</w:t>
      </w:r>
    </w:p>
    <w:p w:rsidR="005464EF" w:rsidRDefault="002039DC">
      <w:pPr>
        <w:pStyle w:val="Heading2"/>
      </w:pPr>
      <w:r>
        <w:lastRenderedPageBreak/>
        <w:t>3. Incentivising Lower-Cost Payment Methods Through Discounts</w:t>
      </w:r>
    </w:p>
    <w:p w:rsidR="005464EF" w:rsidRDefault="002039DC">
      <w:r>
        <w:t>To preserve price signals and fairness, the RBA could encourage or permit cash discounts or similar incentives for low-cost payment methods. This approach allows merchants to reflect the actual savings from cheaper payment processing in their pricing, while rewarding customers who help reduce transaction costs.</w:t>
      </w:r>
    </w:p>
    <w:p w:rsidR="005464EF" w:rsidRDefault="002039DC">
      <w:r>
        <w:t>This practice is already common in some sectors—for example, many Thai restaurants routinely offer a small cash discount. Such models demonstrate that it is both commercially feasible and acceptable to consumers.</w:t>
      </w:r>
    </w:p>
    <w:p w:rsidR="005464EF" w:rsidRDefault="002039DC">
      <w:pPr>
        <w:pStyle w:val="Heading2"/>
      </w:pPr>
      <w:r>
        <w:t>4. Impact on Credit Card Rewards and Consumer Incentives</w:t>
      </w:r>
    </w:p>
    <w:p w:rsidR="005464EF" w:rsidRDefault="002039DC">
      <w:r>
        <w:t>For consumers who choose to pay merchant surcharges to earn rewards points, removing the ability to differentiate payment costs erodes the value of these loyalty programs. While this may not be the central focus of the RBA’s reforms, rewards programs play a role in competition between card issuers and in consumer decision-making.</w:t>
      </w:r>
    </w:p>
    <w:p w:rsidR="005464EF" w:rsidRDefault="002039DC">
      <w:r>
        <w:t>If surcharges are removed entirely, there should be recognition of this change in consumer value and its potential impact on the competitive landscape between payment types.</w:t>
      </w:r>
    </w:p>
    <w:p w:rsidR="005464EF" w:rsidRDefault="002039DC">
      <w:pPr>
        <w:pStyle w:val="Heading2"/>
      </w:pPr>
      <w:r>
        <w:t>5. Risks from Fintech and Payment Service Provider (PSP) Business Models</w:t>
      </w:r>
    </w:p>
    <w:p w:rsidR="005464EF" w:rsidRDefault="002039DC">
      <w:r>
        <w:t>Removing surcharges could create opportunities for certain fintechs and PSPs to recover or inflate fees through opaque pricing, rather than visible surcharges.</w:t>
      </w:r>
    </w:p>
    <w:p w:rsidR="005464EF" w:rsidRDefault="002039DC">
      <w:r>
        <w:t>For example, Curve—a UK-based digital wallet and payments aggregator—has been reported to be in advanced acquisition talks with Lloyds Banking Group for £100–£120 million. Curve’s model routes transactions through its own systems, enabling it to capture margins that may not be transparent to merchants or consumers. If such models are embedded within large banks without transparency obligations, costs could still be recovered indirectly.</w:t>
      </w:r>
    </w:p>
    <w:p w:rsidR="005464EF" w:rsidRDefault="002039DC">
      <w:r>
        <w:t>The RBA should require PSPs and alternative payment providers to clearly disclose fee structures and routing practices, ensuring that the removal of surcharges does not result in hidden or higher overall costs to merchants and consumers.</w:t>
      </w:r>
    </w:p>
    <w:p w:rsidR="005464EF" w:rsidRDefault="002039DC">
      <w:pPr>
        <w:pStyle w:val="Heading2"/>
      </w:pPr>
      <w:r>
        <w:t>Recommendations</w:t>
      </w:r>
    </w:p>
    <w:p w:rsidR="005464EF" w:rsidRDefault="002039DC">
      <w:r>
        <w:t>I recommend the RBA consider the following in its final policy design:</w:t>
      </w:r>
    </w:p>
    <w:p w:rsidR="005464EF" w:rsidRDefault="002039DC">
      <w:r>
        <w:t>1. Maintain true consumer choice by ensuring eftpos remains a clearly accessible payment option on all debit cards, with merchants and consumers able to identify and select it easily.</w:t>
      </w:r>
    </w:p>
    <w:p w:rsidR="005464EF" w:rsidRDefault="002039DC">
      <w:r>
        <w:t>2. Implement transparency safeguards so that if surcharges are removed, merchants demonstrate that cost savings are passed on to consumers, and that higher-cost methods are not subsidised by all customers.</w:t>
      </w:r>
    </w:p>
    <w:p w:rsidR="005464EF" w:rsidRDefault="002039DC">
      <w:r>
        <w:t>3. Allow or encourage cash discounts or similar incentives for low-cost payment methods to preserve competitive price signals.</w:t>
      </w:r>
    </w:p>
    <w:p w:rsidR="005464EF" w:rsidRDefault="002039DC">
      <w:r>
        <w:lastRenderedPageBreak/>
        <w:t>4. Acknowledge the impact on loyalty programs and consider the broader competitive implications for consumers who value rewards.</w:t>
      </w:r>
    </w:p>
    <w:p w:rsidR="005464EF" w:rsidRDefault="002039DC">
      <w:r>
        <w:t>5. Mandate PSP fee transparency to prevent hidden fee recovery in a surcharge-free environment, especially from fintech-led or bank-integrated payment services.</w:t>
      </w:r>
    </w:p>
    <w:p w:rsidR="005464EF" w:rsidRDefault="002039DC">
      <w:pPr>
        <w:pStyle w:val="Heading2"/>
      </w:pPr>
      <w:r>
        <w:t>Conclusion</w:t>
      </w:r>
    </w:p>
    <w:p w:rsidR="005464EF" w:rsidRDefault="002039DC">
      <w:r>
        <w:t xml:space="preserve">While I support the RBA’s intention to </w:t>
      </w:r>
      <w:r>
        <w:t>simplify payment systems and reduce excessive surcharging, I urge careful consideration of unintended consequences, particularly in relation to consumer choice, cost transparency, and competitive neutrality between payment methods.</w:t>
      </w:r>
    </w:p>
    <w:p w:rsidR="005464EF" w:rsidRDefault="002039DC">
      <w:r>
        <w:t>By incorporating measures to preserve eftpos access, allow targeted incentives, and require transparent PSP practices, the RBA can achieve its policy goals without eroding the value of cost-conscious payment choices for Australian consumers.</w:t>
      </w:r>
    </w:p>
    <w:sectPr w:rsidR="005464E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104299349">
    <w:abstractNumId w:val="8"/>
  </w:num>
  <w:num w:numId="2" w16cid:durableId="195122081">
    <w:abstractNumId w:val="6"/>
  </w:num>
  <w:num w:numId="3" w16cid:durableId="684671118">
    <w:abstractNumId w:val="5"/>
  </w:num>
  <w:num w:numId="4" w16cid:durableId="1721829286">
    <w:abstractNumId w:val="4"/>
  </w:num>
  <w:num w:numId="5" w16cid:durableId="851452865">
    <w:abstractNumId w:val="7"/>
  </w:num>
  <w:num w:numId="6" w16cid:durableId="738669843">
    <w:abstractNumId w:val="3"/>
  </w:num>
  <w:num w:numId="7" w16cid:durableId="1420525188">
    <w:abstractNumId w:val="2"/>
  </w:num>
  <w:num w:numId="8" w16cid:durableId="1893271322">
    <w:abstractNumId w:val="1"/>
  </w:num>
  <w:num w:numId="9" w16cid:durableId="1498379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039DC"/>
    <w:rsid w:val="0029639D"/>
    <w:rsid w:val="00326F90"/>
    <w:rsid w:val="005464EF"/>
    <w:rsid w:val="00AA1D8D"/>
    <w:rsid w:val="00B47730"/>
    <w:rsid w:val="00C66FCA"/>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C46501FB-C758-42D5-91E4-C033C70A5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870</Words>
  <Characters>4963</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5822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WONG, Sally</cp:lastModifiedBy>
  <cp:revision>2</cp:revision>
  <dcterms:created xsi:type="dcterms:W3CDTF">2025-08-22T01:08:00Z</dcterms:created>
  <dcterms:modified xsi:type="dcterms:W3CDTF">2025-08-22T01:08:00Z</dcterms:modified>
  <cp:category/>
</cp:coreProperties>
</file>