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1F3F3"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11 August 2025</w:t>
      </w:r>
    </w:p>
    <w:p w14:paraId="70C88EEF"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4B6805ED"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Michele Bullock</w:t>
      </w:r>
    </w:p>
    <w:p w14:paraId="70B83D6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Governor</w:t>
      </w:r>
    </w:p>
    <w:p w14:paraId="671845E6"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Reserve Bank of Australia</w:t>
      </w:r>
    </w:p>
    <w:p w14:paraId="293E6C49"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GPO Box 3947</w:t>
      </w:r>
    </w:p>
    <w:p w14:paraId="5ACCFD4A"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SYDNEY NSW 2001</w:t>
      </w:r>
    </w:p>
    <w:p w14:paraId="051DF8BF"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14F5B43"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5C6CC6BF"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Dear Governor Bullock,</w:t>
      </w:r>
    </w:p>
    <w:p w14:paraId="54116A13"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B1F344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725EF79" w14:textId="77777777" w:rsidR="00FC3467" w:rsidRPr="00FC3467" w:rsidRDefault="00FC3467" w:rsidP="00FC3467">
      <w:pPr>
        <w:widowControl w:val="0"/>
        <w:suppressAutoHyphens/>
        <w:spacing w:after="0" w:line="240" w:lineRule="auto"/>
        <w:jc w:val="center"/>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xml:space="preserve">PAYMENTS SYSTEM POLICY </w:t>
      </w:r>
    </w:p>
    <w:p w14:paraId="4560C0B6"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2BCDD219"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1201C39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It would be remiss of anyone newly writing to you as Governor, to not acknowledge the ease and  competence with which you first fitted into the role before similarly adapting to the revised framework for the Bank's governance and public communication. </w:t>
      </w:r>
    </w:p>
    <w:p w14:paraId="68B9BF76"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8F30DE0"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Reflecting on the past 25 years, it seems that policy for the retail banking and payments system has been under never-ending public review  – by a raft of parliamentary committees and other policy agencies as well as by the Bank itself and its Payments System Board.</w:t>
      </w:r>
    </w:p>
    <w:p w14:paraId="5F681574"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70BDD21"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For all that, the structure of the retail banking and payments system remains much the same with the same policy issues being apparently intransigent. The concentration of market power may be even greater as the major banks and global card-schemes  have leveraged associations with fin-tech guns for hire.  </w:t>
      </w:r>
    </w:p>
    <w:p w14:paraId="5D2F1A98"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731C30BA"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Concurrently, the mechanics of retail payments changed dramatically – not least the displacement of cheques and, substantially, currency. The community may consider regulatory authority has been coordinated with new technology –  it has, to some extent, but short of reasonable expectations in terms of the fairness, efficiency and competitiveness of the retail payments system.</w:t>
      </w:r>
    </w:p>
    <w:p w14:paraId="1B8644E9"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90E6382"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80C22EF" w14:textId="77777777" w:rsidR="00FC3467" w:rsidRPr="00FC3467" w:rsidRDefault="00FC3467" w:rsidP="00FC3467">
      <w:pPr>
        <w:widowControl w:val="0"/>
        <w:suppressAutoHyphens/>
        <w:spacing w:after="0" w:line="240" w:lineRule="auto"/>
        <w:jc w:val="center"/>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xml:space="preserve">REVIEW PROCESSES </w:t>
      </w:r>
    </w:p>
    <w:p w14:paraId="54A4E0D9" w14:textId="77777777" w:rsidR="00FC3467" w:rsidRPr="00FC3467" w:rsidRDefault="00FC3467" w:rsidP="00FC3467">
      <w:pPr>
        <w:widowControl w:val="0"/>
        <w:suppressAutoHyphens/>
        <w:spacing w:after="0" w:line="240" w:lineRule="auto"/>
        <w:jc w:val="center"/>
        <w:rPr>
          <w:rFonts w:ascii="Times New Roman" w:eastAsia="Arial" w:hAnsi="Times New Roman" w:cs="SimSun"/>
          <w:b/>
          <w:bCs/>
          <w:sz w:val="24"/>
          <w:szCs w:val="24"/>
          <w:lang w:eastAsia="hi-IN" w:bidi="hi-IN"/>
          <w14:ligatures w14:val="none"/>
        </w:rPr>
      </w:pPr>
    </w:p>
    <w:p w14:paraId="5452BD3F"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533009E"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Against that background it is reasonable to point up shortcomings in standard review processes. A protracted sequence of tabling issues-papers and assessing submissions before interim and final reports are issued, is not meeting a reasonable expectation of 'due process'.</w:t>
      </w:r>
    </w:p>
    <w:p w14:paraId="10AB6200"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19DB611C"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The standard process is a 'black box'. The Bank, like a cathedral housing secret powers, encourages faithful parishioners to submit prayerful petitions – alas, with routinely comparable outcomes.</w:t>
      </w:r>
    </w:p>
    <w:p w14:paraId="1029311D"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174DD30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A more transparent process was illustrated by the Royal Commission into banking misconduct. What happened </w:t>
      </w:r>
      <w:proofErr w:type="gramStart"/>
      <w:r w:rsidRPr="00FC3467">
        <w:rPr>
          <w:rFonts w:ascii="Times New Roman" w:eastAsia="Arial" w:hAnsi="Times New Roman" w:cs="SimSun"/>
          <w:sz w:val="24"/>
          <w:szCs w:val="24"/>
          <w:lang w:eastAsia="hi-IN" w:bidi="hi-IN"/>
          <w14:ligatures w14:val="none"/>
        </w:rPr>
        <w:t>in the course of</w:t>
      </w:r>
      <w:proofErr w:type="gramEnd"/>
      <w:r w:rsidRPr="00FC3467">
        <w:rPr>
          <w:rFonts w:ascii="Times New Roman" w:eastAsia="Arial" w:hAnsi="Times New Roman" w:cs="SimSun"/>
          <w:sz w:val="24"/>
          <w:szCs w:val="24"/>
          <w:lang w:eastAsia="hi-IN" w:bidi="hi-IN"/>
          <w14:ligatures w14:val="none"/>
        </w:rPr>
        <w:t xml:space="preserve"> the open hearings was astonishing. The atmosphere in the hearing room was electric, many appearing were discomforted bordering on shocked. It was a revelation to see an open inquiry process led by a team armed with otherwise confidential </w:t>
      </w:r>
      <w:r w:rsidRPr="00FC3467">
        <w:rPr>
          <w:rFonts w:ascii="Times New Roman" w:eastAsia="Arial" w:hAnsi="Times New Roman" w:cs="SimSun"/>
          <w:sz w:val="24"/>
          <w:szCs w:val="24"/>
          <w:lang w:eastAsia="hi-IN" w:bidi="hi-IN"/>
          <w14:ligatures w14:val="none"/>
        </w:rPr>
        <w:lastRenderedPageBreak/>
        <w:t>documents and correspondence. Many were genuinely left 'in Orr', no longer wondering why the government was so reluctant to commission the inquiry and restricted its scope to commercial misconduct.</w:t>
      </w:r>
    </w:p>
    <w:p w14:paraId="1FA5241C"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1D670FFB" w14:textId="77777777" w:rsidR="00FC3467" w:rsidRPr="00FC3467" w:rsidRDefault="00FC3467" w:rsidP="00FC3467">
      <w:pPr>
        <w:widowControl w:val="0"/>
        <w:suppressAutoHyphens/>
        <w:spacing w:after="0" w:line="240" w:lineRule="auto"/>
        <w:jc w:val="right"/>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2</w:t>
      </w:r>
    </w:p>
    <w:p w14:paraId="15DCC071"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Against that dramatic exposition, a banking industry inquiry conducted concurrently, on the standard basis, by the Productivity Commission was unexpectedly disappointing. A report that sank without trace was par for the course in recent times.</w:t>
      </w:r>
    </w:p>
    <w:p w14:paraId="50CF61A0"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EE12844"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Drawing these threads together suggests asking the Bank to take a different attitude and approach – one complementing standard processes for industry and policy reviews with opportunities for independently managed open public exchanges. An arrangement allowing for questions to be openly put and openly answered, on the record, would </w:t>
      </w:r>
      <w:proofErr w:type="gramStart"/>
      <w:r w:rsidRPr="00FC3467">
        <w:rPr>
          <w:rFonts w:ascii="Times New Roman" w:eastAsia="Arial" w:hAnsi="Times New Roman" w:cs="SimSun"/>
          <w:sz w:val="24"/>
          <w:szCs w:val="24"/>
          <w:lang w:eastAsia="hi-IN" w:bidi="hi-IN"/>
          <w14:ligatures w14:val="none"/>
        </w:rPr>
        <w:t>fairly open</w:t>
      </w:r>
      <w:proofErr w:type="gramEnd"/>
      <w:r w:rsidRPr="00FC3467">
        <w:rPr>
          <w:rFonts w:ascii="Times New Roman" w:eastAsia="Arial" w:hAnsi="Times New Roman" w:cs="SimSun"/>
          <w:sz w:val="24"/>
          <w:szCs w:val="24"/>
          <w:lang w:eastAsia="hi-IN" w:bidi="hi-IN"/>
          <w14:ligatures w14:val="none"/>
        </w:rPr>
        <w:t xml:space="preserve"> up  the  process.  </w:t>
      </w:r>
    </w:p>
    <w:p w14:paraId="5ED29D2E"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50E4DDCE"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Sincerity and credibility in review processes are important considerations.</w:t>
      </w:r>
    </w:p>
    <w:p w14:paraId="771DF77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53AC2D1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F4B55BB" w14:textId="77777777" w:rsidR="00FC3467" w:rsidRPr="00FC3467" w:rsidRDefault="00FC3467" w:rsidP="00FC3467">
      <w:pPr>
        <w:widowControl w:val="0"/>
        <w:suppressAutoHyphens/>
        <w:spacing w:after="0" w:line="240" w:lineRule="auto"/>
        <w:jc w:val="center"/>
        <w:rPr>
          <w:rFonts w:ascii="Times New Roman" w:eastAsia="Arial" w:hAnsi="Times New Roman" w:cs="SimSun"/>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CAN QUESTIONS OPENLY PUT BE OPENLY ANSWERED?</w:t>
      </w:r>
    </w:p>
    <w:p w14:paraId="5824902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DBAB18A"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4E39A34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Cutting to the chase is appropriate  – gentle readers likely to be interested will mostly have a sufficient grasp of the context of the questions put to preclude lengthy preambles. </w:t>
      </w:r>
    </w:p>
    <w:p w14:paraId="143A5BE0"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1DE35BDF"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6483608"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THE GLOBAL CONTEXT</w:t>
      </w:r>
    </w:p>
    <w:p w14:paraId="0B4D9758"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AB3B48E"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Considering the retail payments arena, globally, our regulators are unlikely to have much influence on the way the world works and is regulated. A broad question arising is about the benefits and costs of Australia being locked into globally dominant payment schemes and regulatory frameworks. National independence denied, only minor marginal local variations are possible. </w:t>
      </w:r>
    </w:p>
    <w:p w14:paraId="1B227E29"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154EA4D1"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So, is Australia locked into a global regulatory framework dictated by others – or not?</w:t>
      </w:r>
    </w:p>
    <w:p w14:paraId="0515A911"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2B039B10"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A sharper question is about  Australia's regulatory discretion over global credit card schemes.  Here and elsewhere,  the intention to '</w:t>
      </w:r>
      <w:proofErr w:type="gramStart"/>
      <w:r w:rsidRPr="00FC3467">
        <w:rPr>
          <w:rFonts w:ascii="Times New Roman" w:eastAsia="Arial" w:hAnsi="Times New Roman" w:cs="SimSun"/>
          <w:sz w:val="24"/>
          <w:szCs w:val="24"/>
          <w:lang w:eastAsia="hi-IN" w:bidi="hi-IN"/>
          <w14:ligatures w14:val="none"/>
        </w:rPr>
        <w:t>do</w:t>
      </w:r>
      <w:proofErr w:type="gramEnd"/>
      <w:r w:rsidRPr="00FC3467">
        <w:rPr>
          <w:rFonts w:ascii="Times New Roman" w:eastAsia="Arial" w:hAnsi="Times New Roman" w:cs="SimSun"/>
          <w:sz w:val="24"/>
          <w:szCs w:val="24"/>
          <w:lang w:eastAsia="hi-IN" w:bidi="hi-IN"/>
          <w14:ligatures w14:val="none"/>
        </w:rPr>
        <w:t xml:space="preserve"> something' has been a bit fits and starts, advance and retreat, promises made, threats ignored  – but ultimately making little impression on the way a de facto global cartel wields its market power at will.</w:t>
      </w:r>
    </w:p>
    <w:p w14:paraId="44607CE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44A42CFD"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So, can we or can't we pull these global card-scheme operations into line in Australia?</w:t>
      </w:r>
    </w:p>
    <w:p w14:paraId="695ED0E8"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75813CCE"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Moving on, a recurrent theme in what follows is about the framework in place globally allowing major national banks to not pay interest on deposits in everyday-transaction-accounts. </w:t>
      </w:r>
    </w:p>
    <w:p w14:paraId="7A06939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6958B8EE"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This regulatory-rent concession, in place globally, has overwhelming consequences. It precludes competition in retail banking and payments systems while underwriting  unfairness and inefficiency. If no national player in an integrated global framework can go it alone to correct this market failure, our regulators should say so clearly.</w:t>
      </w:r>
    </w:p>
    <w:p w14:paraId="0BBB81C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36E06FC"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lastRenderedPageBreak/>
        <w:t>So, could we, or not, encourage or 'require' the major national banks to pay daily interest, at the cash-rate, on at-call deposits in everyday transaction accounts?</w:t>
      </w:r>
    </w:p>
    <w:p w14:paraId="1F0EAFAA"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1175D67E"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If the true and correct answers to these questions deny national independence,  would it then be best to  openly admit and accept that reality so alternative regulatory strategies can be developed. </w:t>
      </w:r>
    </w:p>
    <w:p w14:paraId="70B2490E"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2A9A184"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Regulatory </w:t>
      </w:r>
      <w:proofErr w:type="gramStart"/>
      <w:r w:rsidRPr="00FC3467">
        <w:rPr>
          <w:rFonts w:ascii="Times New Roman" w:eastAsia="Arial" w:hAnsi="Times New Roman" w:cs="SimSun"/>
          <w:sz w:val="24"/>
          <w:szCs w:val="24"/>
          <w:lang w:eastAsia="hi-IN" w:bidi="hi-IN"/>
          <w14:ligatures w14:val="none"/>
        </w:rPr>
        <w:t>reluctance, and</w:t>
      </w:r>
      <w:proofErr w:type="gramEnd"/>
      <w:r w:rsidRPr="00FC3467">
        <w:rPr>
          <w:rFonts w:ascii="Times New Roman" w:eastAsia="Arial" w:hAnsi="Times New Roman" w:cs="SimSun"/>
          <w:sz w:val="24"/>
          <w:szCs w:val="24"/>
          <w:lang w:eastAsia="hi-IN" w:bidi="hi-IN"/>
          <w14:ligatures w14:val="none"/>
        </w:rPr>
        <w:t xml:space="preserve"> posturing and pretending that the Bank has material discretion over key elements of the retail banking and payments system, remains just that.</w:t>
      </w:r>
    </w:p>
    <w:p w14:paraId="40A5E92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7EE000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4083868D"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10CD94AF" w14:textId="77777777" w:rsidR="00FC3467" w:rsidRPr="00FC3467" w:rsidRDefault="00FC3467" w:rsidP="00FC3467">
      <w:pPr>
        <w:widowControl w:val="0"/>
        <w:suppressAutoHyphens/>
        <w:spacing w:after="0" w:line="240" w:lineRule="auto"/>
        <w:jc w:val="right"/>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3</w:t>
      </w:r>
    </w:p>
    <w:p w14:paraId="39CDBFA9"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MEASURING MARKET DISTORTIONS</w:t>
      </w:r>
      <w:r w:rsidRPr="00FC3467">
        <w:rPr>
          <w:rFonts w:ascii="Times New Roman" w:eastAsia="Arial" w:hAnsi="Times New Roman" w:cs="SimSun"/>
          <w:sz w:val="24"/>
          <w:szCs w:val="24"/>
          <w:lang w:eastAsia="hi-IN" w:bidi="hi-IN"/>
          <w14:ligatures w14:val="none"/>
        </w:rPr>
        <w:t xml:space="preserve"> </w:t>
      </w:r>
    </w:p>
    <w:p w14:paraId="253E982E"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6D60D1C2"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Looking for alternative regulatory strategies could start by putting some numbers on consequences of the present concentrations of market power.</w:t>
      </w:r>
    </w:p>
    <w:p w14:paraId="365BF06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0222258"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global card payment schemes</w:t>
      </w:r>
    </w:p>
    <w:p w14:paraId="388C40A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7799AA86"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One focal point is the global card schemes – fairly seen as a cartel operating behind a benign 'smoke and mirrors' facade, with characteristics akin to gross abuses of market power. The regulatory circus on display concerning these schemes, for decades, has been - a circus act.</w:t>
      </w:r>
    </w:p>
    <w:p w14:paraId="5D2FCD11"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DDADEB8"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A glimmer of hope lies with the plan to, at last, start collecting information on the revenue flows associated with the raft of contrived fees charged by the card payment schemes.</w:t>
      </w:r>
    </w:p>
    <w:p w14:paraId="209EEEA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C35F375"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xml:space="preserve">So, in overdue course, it is expected the numbers on the table will expose cartel-like abuses of market power – but will the options to respond, locally, be taken up and respected?  </w:t>
      </w:r>
    </w:p>
    <w:p w14:paraId="0CC975DF"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27BB9F7D"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A subordinate question in this card-scheme context concerns the embedded practice of charging fees, on an ad-valorem basis, as a percentage of the value of the transaction. Fancifully semantic scenarios can be, and are presently, conjured up from thin air to justify pricing on this basis but, at heart, a transaction is a transaction -- one costs much the same as any other like transaction.</w:t>
      </w:r>
    </w:p>
    <w:p w14:paraId="63E25015"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7C270F04"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So, given the prevalence of card schemes charging ad valorem fees for card payment transactions, can the basis claimed for relating fees to transaction values be openly explained – and be openly challenged in discussion?</w:t>
      </w:r>
    </w:p>
    <w:p w14:paraId="0178010C"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73CCCEBF"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Put differently, the tent long </w:t>
      </w:r>
      <w:proofErr w:type="gramStart"/>
      <w:r w:rsidRPr="00FC3467">
        <w:rPr>
          <w:rFonts w:ascii="Times New Roman" w:eastAsia="Arial" w:hAnsi="Times New Roman" w:cs="SimSun"/>
          <w:sz w:val="24"/>
          <w:szCs w:val="24"/>
          <w:lang w:eastAsia="hi-IN" w:bidi="hi-IN"/>
          <w14:ligatures w14:val="none"/>
        </w:rPr>
        <w:t>covering-up</w:t>
      </w:r>
      <w:proofErr w:type="gramEnd"/>
      <w:r w:rsidRPr="00FC3467">
        <w:rPr>
          <w:rFonts w:ascii="Times New Roman" w:eastAsia="Arial" w:hAnsi="Times New Roman" w:cs="SimSun"/>
          <w:sz w:val="24"/>
          <w:szCs w:val="24"/>
          <w:lang w:eastAsia="hi-IN" w:bidi="hi-IN"/>
          <w14:ligatures w14:val="none"/>
        </w:rPr>
        <w:t xml:space="preserve"> this regulatory circus should be </w:t>
      </w:r>
      <w:proofErr w:type="spellStart"/>
      <w:r w:rsidRPr="00FC3467">
        <w:rPr>
          <w:rFonts w:ascii="Times New Roman" w:eastAsia="Arial" w:hAnsi="Times New Roman" w:cs="SimSun"/>
          <w:sz w:val="24"/>
          <w:szCs w:val="24"/>
          <w:lang w:eastAsia="hi-IN" w:bidi="hi-IN"/>
          <w14:ligatures w14:val="none"/>
        </w:rPr>
        <w:t>be</w:t>
      </w:r>
      <w:proofErr w:type="spellEnd"/>
      <w:r w:rsidRPr="00FC3467">
        <w:rPr>
          <w:rFonts w:ascii="Times New Roman" w:eastAsia="Arial" w:hAnsi="Times New Roman" w:cs="SimSun"/>
          <w:sz w:val="24"/>
          <w:szCs w:val="24"/>
          <w:lang w:eastAsia="hi-IN" w:bidi="hi-IN"/>
          <w14:ligatures w14:val="none"/>
        </w:rPr>
        <w:t xml:space="preserve"> pulled down.</w:t>
      </w:r>
      <w:r w:rsidRPr="00FC3467">
        <w:rPr>
          <w:rFonts w:ascii="Times New Roman" w:eastAsia="Arial" w:hAnsi="Times New Roman" w:cs="SimSun"/>
          <w:b/>
          <w:bCs/>
          <w:sz w:val="24"/>
          <w:szCs w:val="24"/>
          <w:lang w:eastAsia="hi-IN" w:bidi="hi-IN"/>
          <w14:ligatures w14:val="none"/>
        </w:rPr>
        <w:t xml:space="preserve"> </w:t>
      </w:r>
    </w:p>
    <w:p w14:paraId="132467B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76AC36FD"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47C681BE"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everyday-transaction-accounts: interest on deposits withheld</w:t>
      </w:r>
    </w:p>
    <w:p w14:paraId="256C3D5A"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447A6BAE"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Globally, major national banks dominating retail banking and retail payment systems routinely do not pay material interest on deposits in everyday-transaction-accounts. Accounts  from which are made, by number,  most non-cash transactions.</w:t>
      </w:r>
    </w:p>
    <w:p w14:paraId="2781BEB7"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77E376A"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Whatever may have excused the practice in the past, or justified outright regulatory </w:t>
      </w:r>
      <w:r w:rsidRPr="00FC3467">
        <w:rPr>
          <w:rFonts w:ascii="Times New Roman" w:eastAsia="Arial" w:hAnsi="Times New Roman" w:cs="SimSun"/>
          <w:sz w:val="24"/>
          <w:szCs w:val="24"/>
          <w:lang w:eastAsia="hi-IN" w:bidi="hi-IN"/>
          <w14:ligatures w14:val="none"/>
        </w:rPr>
        <w:lastRenderedPageBreak/>
        <w:t>proscription of paying  interest, there seems no reason to continue with what, fairly called, is now a malpractice.</w:t>
      </w:r>
    </w:p>
    <w:p w14:paraId="0020BB8C"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2C79BC4"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Along the way, this condoned malpractice has done untold damage to retail banking and payments systems globally.  </w:t>
      </w:r>
    </w:p>
    <w:p w14:paraId="3EAF60A2"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691AF211"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Perversely, the most egregious damage occurred over the past 40 years or so. This, after a fashionable commitment to deregulation of financial systems was so fundamentally mismanaged. A regulatory failure that is repeatedly evident in national and international financial instability but still, so far, not acknowledged and not corrected.</w:t>
      </w:r>
    </w:p>
    <w:p w14:paraId="49C55E2D"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3BAC2AF"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It would be doubly perverse to now say that this destructive arrangement cannot be cast aside.</w:t>
      </w:r>
    </w:p>
    <w:p w14:paraId="1ECB815A"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02E2201"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So, can and will, the Bank see its way clear to engineer circumstances encouraging banks to pay interest, at least the cash-rate, on deposits in everyday transaction accounts?</w:t>
      </w:r>
    </w:p>
    <w:p w14:paraId="04DB3EB5"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6A015E06"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As for 'engineering mechanics',  that discussion flows seamlessly from answers to related  questions to also  be put squarely and openly on the table for an open public response.</w:t>
      </w:r>
    </w:p>
    <w:p w14:paraId="51810433"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5D8B016D" w14:textId="77777777" w:rsidR="00FC3467" w:rsidRPr="00FC3467" w:rsidRDefault="00FC3467" w:rsidP="00FC3467">
      <w:pPr>
        <w:widowControl w:val="0"/>
        <w:suppressAutoHyphens/>
        <w:spacing w:after="0" w:line="240" w:lineRule="auto"/>
        <w:jc w:val="right"/>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4</w:t>
      </w:r>
    </w:p>
    <w:p w14:paraId="38C297D4"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the interest not paid on deposits</w:t>
      </w:r>
    </w:p>
    <w:p w14:paraId="1C4762B4"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79A26030"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Perusal of the monetary aggregates suggests that, putting aside the $100 billion of currency from M1, there is some $1.75 trillion on deposit in transaction accounts – of which some $1 trillion or so may be in accounts with major national banks. Deposits on which interest to the tune of tens of billions per annum, is not paid as taxable income to the depositors.</w:t>
      </w:r>
    </w:p>
    <w:p w14:paraId="6551189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7329E638"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So, for an open question, will the Bank put in place a statistical collection showing deposits held in transaction accounts with the major banks and the interest paid on those deposits – and, by implication, the interest not paid, relative to the cash rate?</w:t>
      </w:r>
    </w:p>
    <w:p w14:paraId="2971F279"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136FD6D0"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That this has not already been done, and done long ago, raises questions of regulatory sincerity.</w:t>
      </w:r>
    </w:p>
    <w:p w14:paraId="4490AEA5"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7D88DBE9"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Truth told, this question is probably not asked of the major banks because regulators do not want to know the answer  – and especially that the general community be not told the answer. The likely  community reaction to being told the major banks withhold from them interest of some $40 billion annually, would have regulators scrambling to get off the back foot.</w:t>
      </w:r>
    </w:p>
    <w:p w14:paraId="06697009"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15FBBC73"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Far preferably, appointed regulators would take the initiative and start levelling with the community, </w:t>
      </w:r>
      <w:proofErr w:type="gramStart"/>
      <w:r w:rsidRPr="00FC3467">
        <w:rPr>
          <w:rFonts w:ascii="Times New Roman" w:eastAsia="Arial" w:hAnsi="Times New Roman" w:cs="SimSun"/>
          <w:sz w:val="24"/>
          <w:szCs w:val="24"/>
          <w:lang w:eastAsia="hi-IN" w:bidi="hi-IN"/>
          <w14:ligatures w14:val="none"/>
        </w:rPr>
        <w:t>opening up</w:t>
      </w:r>
      <w:proofErr w:type="gramEnd"/>
      <w:r w:rsidRPr="00FC3467">
        <w:rPr>
          <w:rFonts w:ascii="Times New Roman" w:eastAsia="Arial" w:hAnsi="Times New Roman" w:cs="SimSun"/>
          <w:sz w:val="24"/>
          <w:szCs w:val="24"/>
          <w:lang w:eastAsia="hi-IN" w:bidi="hi-IN"/>
          <w14:ligatures w14:val="none"/>
        </w:rPr>
        <w:t xml:space="preserve"> discussion on the need for fundamental reform -- gradually for sure but for sure.</w:t>
      </w:r>
    </w:p>
    <w:p w14:paraId="75793D93"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473C1A47"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Put aside here for brevity is the otherwise inexplicable acceptance, by our best economists and  clever mandarins, of a major part of the day-to-day national economy being left to operate without any semblance of a rational pricing system. The community, </w:t>
      </w:r>
      <w:proofErr w:type="gramStart"/>
      <w:r w:rsidRPr="00FC3467">
        <w:rPr>
          <w:rFonts w:ascii="Times New Roman" w:eastAsia="Arial" w:hAnsi="Times New Roman" w:cs="SimSun"/>
          <w:sz w:val="24"/>
          <w:szCs w:val="24"/>
          <w:lang w:eastAsia="hi-IN" w:bidi="hi-IN"/>
          <w14:ligatures w14:val="none"/>
        </w:rPr>
        <w:t>fairly excused</w:t>
      </w:r>
      <w:proofErr w:type="gramEnd"/>
      <w:r w:rsidRPr="00FC3467">
        <w:rPr>
          <w:rFonts w:ascii="Times New Roman" w:eastAsia="Arial" w:hAnsi="Times New Roman" w:cs="SimSun"/>
          <w:sz w:val="24"/>
          <w:szCs w:val="24"/>
          <w:lang w:eastAsia="hi-IN" w:bidi="hi-IN"/>
          <w14:ligatures w14:val="none"/>
        </w:rPr>
        <w:t xml:space="preserve"> for thinking that retail payments services are  provided free of charge,  is deluded by an illusory hoax.</w:t>
      </w:r>
    </w:p>
    <w:p w14:paraId="67C8E298"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20A9C207"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Someone needs to tell Virginia the truth about Santa.</w:t>
      </w:r>
    </w:p>
    <w:p w14:paraId="2B855418"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34F7F67C"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27B7BDC1"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lastRenderedPageBreak/>
        <w:t>CURRENCY BUSINESS</w:t>
      </w:r>
    </w:p>
    <w:p w14:paraId="4EF74C43"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00357432"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The relevant discussion of currency business has two focal points – one, conventional cash banknotes and the other, electronic cash, held as digital deposits in everyday transaction accounts. </w:t>
      </w:r>
    </w:p>
    <w:p w14:paraId="1DB74B14"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1BC7F87D"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xml:space="preserve">– conventional cash </w:t>
      </w:r>
    </w:p>
    <w:p w14:paraId="61949A71"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1CF5C263"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Conventional cash transactions have been substantially displaced by electronic transfers of funds between bank accounts. So, while cash payment transactions remain an essential option, very little of the $100 billion of banknotes now on issue is used to make in-person payments day-to-day. Most of the notes on issue, 90%+ by value, are high denomination notes  – $50s &amp;$100s.  It is, at long last, now generally accepted that most of those notes are essentially hoarded and accordingly better seen as 'zero-coupon bearer bonds'. Hoarding is, no doubt, usually an immoral practice but one not discouraged and now embedded in the culture of 'sensible' personal financial behaviour.</w:t>
      </w:r>
    </w:p>
    <w:p w14:paraId="1B2F0192"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755BFAF4"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What may be sensible personal behaviour is, however, not sensibly facilitated and condoned by the Treasury and RBA. The RBAs natural profit on the note issue is a fraction of the losses to the federal budget arising in income-tax evasion and inflated entitlements to age-pension payments.</w:t>
      </w:r>
    </w:p>
    <w:p w14:paraId="64B75654"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6877BFBC"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So, a question arising is when the RBA and Treasury will plan to withdraw the $50s&amp;$100s.</w:t>
      </w:r>
    </w:p>
    <w:p w14:paraId="55038CBA"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043A97F6"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To do so may be contentious. As most rarely see a 'green one', any open discussion could initially be about no longer issuing (or reissuing) $100 notes.  The 'most' would just smile wryly.</w:t>
      </w:r>
    </w:p>
    <w:p w14:paraId="56E46A6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13D3719A" w14:textId="77777777" w:rsidR="00FC3467" w:rsidRPr="00FC3467" w:rsidRDefault="00FC3467" w:rsidP="00FC3467">
      <w:pPr>
        <w:widowControl w:val="0"/>
        <w:suppressAutoHyphens/>
        <w:spacing w:after="0" w:line="240" w:lineRule="auto"/>
        <w:jc w:val="right"/>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5</w:t>
      </w:r>
    </w:p>
    <w:p w14:paraId="31B9D58C"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The practical need to use cash for making day-to-day payments in person, would likely be met with the highest cash denomination being the $20 note. </w:t>
      </w:r>
    </w:p>
    <w:p w14:paraId="414222F7"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21444608"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As for those likely to complain, they would be wary of such voluntary confessions being welcomed by the income-tax and welfare-payment authorities. Most complaints would be  'name withheld'.</w:t>
      </w:r>
    </w:p>
    <w:p w14:paraId="533F74C0"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446ECD68"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There would be collateral adjustments of the RBA's current revenue and operational funding.</w:t>
      </w:r>
    </w:p>
    <w:p w14:paraId="69CAD895"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25E3C91C"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digital cash</w:t>
      </w:r>
    </w:p>
    <w:p w14:paraId="2EA7101D"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5A21F350"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roofErr w:type="gramStart"/>
      <w:r w:rsidRPr="00FC3467">
        <w:rPr>
          <w:rFonts w:ascii="Times New Roman" w:eastAsia="Arial" w:hAnsi="Times New Roman" w:cs="SimSun"/>
          <w:sz w:val="24"/>
          <w:szCs w:val="24"/>
          <w:lang w:eastAsia="hi-IN" w:bidi="hi-IN"/>
          <w14:ligatures w14:val="none"/>
        </w:rPr>
        <w:t>Digital-cash</w:t>
      </w:r>
      <w:proofErr w:type="gramEnd"/>
      <w:r w:rsidRPr="00FC3467">
        <w:rPr>
          <w:rFonts w:ascii="Times New Roman" w:eastAsia="Arial" w:hAnsi="Times New Roman" w:cs="SimSun"/>
          <w:sz w:val="24"/>
          <w:szCs w:val="24"/>
          <w:lang w:eastAsia="hi-IN" w:bidi="hi-IN"/>
          <w14:ligatures w14:val="none"/>
        </w:rPr>
        <w:t>, the money on deposit with banks in everyday transaction accounts is now of the order of $1.75 trillion (thousands of billions). So, in essence, digital cash is now the 'currency of the realm', overwhelming the $100 billion on issue as conventional notes and coins.</w:t>
      </w:r>
    </w:p>
    <w:p w14:paraId="6380288A"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46A0263A"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This circumstance gives rise to important policy issues long neglected. These currency-business issues flow from the </w:t>
      </w:r>
      <w:proofErr w:type="gramStart"/>
      <w:r w:rsidRPr="00FC3467">
        <w:rPr>
          <w:rFonts w:ascii="Times New Roman" w:eastAsia="Arial" w:hAnsi="Times New Roman" w:cs="SimSun"/>
          <w:sz w:val="24"/>
          <w:szCs w:val="24"/>
          <w:lang w:eastAsia="hi-IN" w:bidi="hi-IN"/>
          <w14:ligatures w14:val="none"/>
        </w:rPr>
        <w:t>above mentioned</w:t>
      </w:r>
      <w:proofErr w:type="gramEnd"/>
      <w:r w:rsidRPr="00FC3467">
        <w:rPr>
          <w:rFonts w:ascii="Times New Roman" w:eastAsia="Arial" w:hAnsi="Times New Roman" w:cs="SimSun"/>
          <w:sz w:val="24"/>
          <w:szCs w:val="24"/>
          <w:lang w:eastAsia="hi-IN" w:bidi="hi-IN"/>
          <w14:ligatures w14:val="none"/>
        </w:rPr>
        <w:t xml:space="preserve"> convention that major banks do not pay material interest on  deposits in everyday transaction accounts.</w:t>
      </w:r>
    </w:p>
    <w:p w14:paraId="08E74EB9"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2CC3C5E8"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As a necessary aside, by way of context, banknotes can be seen for what they are – a deposit </w:t>
      </w:r>
      <w:r w:rsidRPr="00FC3467">
        <w:rPr>
          <w:rFonts w:ascii="Times New Roman" w:eastAsia="Arial" w:hAnsi="Times New Roman" w:cs="SimSun"/>
          <w:sz w:val="24"/>
          <w:szCs w:val="24"/>
          <w:lang w:eastAsia="hi-IN" w:bidi="hi-IN"/>
          <w14:ligatures w14:val="none"/>
        </w:rPr>
        <w:lastRenderedPageBreak/>
        <w:t>with the RBA: the banknote being the record of the deposit. Being anonymous, as no name attaches to the deposits, no interest can be paid to the holders. Even so the RBA invests these deposited funds in government bonds. The natural profit earned on the note issue funds RBA operations generally before any surplus is passed to the Treasury,  as part of consolidated government revenue.</w:t>
      </w:r>
    </w:p>
    <w:p w14:paraId="6D8C1FAF"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33A86493"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Now, considering digital deposits with banks,  deposits on which interest could be paid but is not, the profit on this private currency-business accrues to the banks. Some of that profit, from investing the 'free deposit' funds, is used to cover services provided, </w:t>
      </w:r>
      <w:proofErr w:type="gramStart"/>
      <w:r w:rsidRPr="00FC3467">
        <w:rPr>
          <w:rFonts w:ascii="Times New Roman" w:eastAsia="Arial" w:hAnsi="Times New Roman" w:cs="SimSun"/>
          <w:sz w:val="24"/>
          <w:szCs w:val="24"/>
          <w:lang w:eastAsia="hi-IN" w:bidi="hi-IN"/>
          <w14:ligatures w14:val="none"/>
        </w:rPr>
        <w:t>more or less freely</w:t>
      </w:r>
      <w:proofErr w:type="gramEnd"/>
      <w:r w:rsidRPr="00FC3467">
        <w:rPr>
          <w:rFonts w:ascii="Times New Roman" w:eastAsia="Arial" w:hAnsi="Times New Roman" w:cs="SimSun"/>
          <w:sz w:val="24"/>
          <w:szCs w:val="24"/>
          <w:lang w:eastAsia="hi-IN" w:bidi="hi-IN"/>
          <w14:ligatures w14:val="none"/>
        </w:rPr>
        <w:t>, to customers.  However,  much of it – the excess if you like – is paid as 'generous' dividends to shareholders and 'very generous', borderline obscenely generous,  salaries and bonuses to senior bank executives.</w:t>
      </w:r>
    </w:p>
    <w:p w14:paraId="5E2739BC"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21DED570"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There is something wrong here – quite a few </w:t>
      </w:r>
      <w:proofErr w:type="gramStart"/>
      <w:r w:rsidRPr="00FC3467">
        <w:rPr>
          <w:rFonts w:ascii="Times New Roman" w:eastAsia="Arial" w:hAnsi="Times New Roman" w:cs="SimSun"/>
          <w:sz w:val="24"/>
          <w:szCs w:val="24"/>
          <w:lang w:eastAsia="hi-IN" w:bidi="hi-IN"/>
          <w14:ligatures w14:val="none"/>
        </w:rPr>
        <w:t>somethings-wrong actually</w:t>
      </w:r>
      <w:proofErr w:type="gramEnd"/>
      <w:r w:rsidRPr="00FC3467">
        <w:rPr>
          <w:rFonts w:ascii="Times New Roman" w:eastAsia="Arial" w:hAnsi="Times New Roman" w:cs="SimSun"/>
          <w:sz w:val="24"/>
          <w:szCs w:val="24"/>
          <w:lang w:eastAsia="hi-IN" w:bidi="hi-IN"/>
          <w14:ligatures w14:val="none"/>
        </w:rPr>
        <w:t>.</w:t>
      </w:r>
    </w:p>
    <w:p w14:paraId="7CAEF1FD"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5E8681FA"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 xml:space="preserve">So, as a first related question – does the RBA and Treasury have any intention to bring the digital-cash business of banks into line with more appropriate public policy settings? </w:t>
      </w:r>
    </w:p>
    <w:p w14:paraId="69353274"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38DD75CA"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As to what public policy settings would be more appropriate the choice, broadly, is between:</w:t>
      </w:r>
    </w:p>
    <w:p w14:paraId="22FCA492"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514234E1" w14:textId="77777777" w:rsidR="00FC3467" w:rsidRPr="00FC3467" w:rsidRDefault="00FC3467" w:rsidP="00FC3467">
      <w:pPr>
        <w:widowControl w:val="0"/>
        <w:numPr>
          <w:ilvl w:val="0"/>
          <w:numId w:val="1"/>
        </w:numPr>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a super-profits tax on banks revenue attributed to not paying interest at the cash-rate on deposits in  transaction accounts; or </w:t>
      </w:r>
    </w:p>
    <w:p w14:paraId="73F36C49"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5C8E1079" w14:textId="77777777" w:rsidR="00FC3467" w:rsidRPr="00FC3467" w:rsidRDefault="00FC3467" w:rsidP="00FC3467">
      <w:pPr>
        <w:widowControl w:val="0"/>
        <w:numPr>
          <w:ilvl w:val="0"/>
          <w:numId w:val="1"/>
        </w:numPr>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an agreement with banks that they will voluntarily pay interest at the cash-rate on deposits in transaction accounts.</w:t>
      </w:r>
    </w:p>
    <w:p w14:paraId="511AD7C9"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0DD50E18"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A hybrid setting would levy a super-profits tax on only the deposit-interest equivalent not paid.</w:t>
      </w:r>
    </w:p>
    <w:p w14:paraId="418A5A8D"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 </w:t>
      </w:r>
    </w:p>
    <w:p w14:paraId="73C0B706"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r w:rsidRPr="00FC3467">
        <w:rPr>
          <w:rFonts w:ascii="Times New Roman" w:eastAsia="Arial" w:hAnsi="Times New Roman" w:cs="SimSun"/>
          <w:b/>
          <w:bCs/>
          <w:sz w:val="24"/>
          <w:szCs w:val="24"/>
          <w:lang w:eastAsia="hi-IN" w:bidi="hi-IN"/>
          <w14:ligatures w14:val="none"/>
        </w:rPr>
        <w:t>End piece</w:t>
      </w:r>
    </w:p>
    <w:p w14:paraId="433A5F49" w14:textId="77777777" w:rsidR="00FC3467" w:rsidRPr="00FC3467" w:rsidRDefault="00FC3467" w:rsidP="00FC3467">
      <w:pPr>
        <w:widowControl w:val="0"/>
        <w:suppressAutoHyphens/>
        <w:spacing w:after="0" w:line="240" w:lineRule="auto"/>
        <w:jc w:val="both"/>
        <w:rPr>
          <w:rFonts w:ascii="Times New Roman" w:eastAsia="Arial" w:hAnsi="Times New Roman" w:cs="SimSun"/>
          <w:b/>
          <w:bCs/>
          <w:sz w:val="24"/>
          <w:szCs w:val="24"/>
          <w:lang w:eastAsia="hi-IN" w:bidi="hi-IN"/>
          <w14:ligatures w14:val="none"/>
        </w:rPr>
      </w:pPr>
    </w:p>
    <w:p w14:paraId="316641F8"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Seriously tough  questions deserving 'open responses' have been 'openly asked' on the record. </w:t>
      </w:r>
    </w:p>
    <w:p w14:paraId="3AFDA7C0"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301956BB"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….over to you, Governor.</w:t>
      </w:r>
    </w:p>
    <w:p w14:paraId="5720FF93"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        </w:t>
      </w:r>
    </w:p>
    <w:p w14:paraId="27F99AB9" w14:textId="77777777" w:rsidR="00FC3467" w:rsidRPr="00FC3467" w:rsidRDefault="00FC3467" w:rsidP="00FC3467">
      <w:pPr>
        <w:widowControl w:val="0"/>
        <w:suppressAutoHyphens/>
        <w:spacing w:after="0" w:line="240" w:lineRule="auto"/>
        <w:jc w:val="right"/>
        <w:rPr>
          <w:rFonts w:ascii="Times New Roman" w:eastAsia="Arial" w:hAnsi="Times New Roman" w:cs="SimSun"/>
          <w:sz w:val="24"/>
          <w:szCs w:val="24"/>
          <w:lang w:eastAsia="hi-IN" w:bidi="hi-IN"/>
          <w14:ligatures w14:val="none"/>
        </w:rPr>
      </w:pPr>
      <w:r w:rsidRPr="00FC3467">
        <w:rPr>
          <w:rFonts w:ascii="Times New Roman" w:eastAsia="Arial" w:hAnsi="Times New Roman" w:cs="SimSun"/>
          <w:sz w:val="24"/>
          <w:szCs w:val="24"/>
          <w:lang w:eastAsia="hi-IN" w:bidi="hi-IN"/>
          <w14:ligatures w14:val="none"/>
        </w:rPr>
        <w:t xml:space="preserve">Peter Mair 11 August 2025          </w:t>
      </w:r>
    </w:p>
    <w:p w14:paraId="2DB16966" w14:textId="77777777" w:rsidR="00FC3467" w:rsidRPr="00FC3467" w:rsidRDefault="00FC3467" w:rsidP="00FC3467">
      <w:pPr>
        <w:widowControl w:val="0"/>
        <w:suppressAutoHyphens/>
        <w:spacing w:after="0" w:line="240" w:lineRule="auto"/>
        <w:jc w:val="both"/>
        <w:rPr>
          <w:rFonts w:ascii="Times New Roman" w:eastAsia="Arial" w:hAnsi="Times New Roman" w:cs="SimSun"/>
          <w:sz w:val="24"/>
          <w:szCs w:val="24"/>
          <w:lang w:eastAsia="hi-IN" w:bidi="hi-IN"/>
          <w14:ligatures w14:val="none"/>
        </w:rPr>
      </w:pPr>
    </w:p>
    <w:p w14:paraId="761E63CB"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16cid:durableId="95109116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467"/>
    <w:rsid w:val="00097D57"/>
    <w:rsid w:val="004778C4"/>
    <w:rsid w:val="005D00EC"/>
    <w:rsid w:val="008238EF"/>
    <w:rsid w:val="00B3670A"/>
    <w:rsid w:val="00FC34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786EE"/>
  <w15:chartTrackingRefBased/>
  <w15:docId w15:val="{248C8DA8-D90B-4593-A843-6B8B6EBC2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4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34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34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34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34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34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4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4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4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4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34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34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34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34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34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4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4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467"/>
    <w:rPr>
      <w:rFonts w:eastAsiaTheme="majorEastAsia" w:cstheme="majorBidi"/>
      <w:color w:val="272727" w:themeColor="text1" w:themeTint="D8"/>
    </w:rPr>
  </w:style>
  <w:style w:type="paragraph" w:styleId="Title">
    <w:name w:val="Title"/>
    <w:basedOn w:val="Normal"/>
    <w:next w:val="Normal"/>
    <w:link w:val="TitleChar"/>
    <w:uiPriority w:val="10"/>
    <w:qFormat/>
    <w:rsid w:val="00FC34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4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4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4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467"/>
    <w:pPr>
      <w:spacing w:before="160"/>
      <w:jc w:val="center"/>
    </w:pPr>
    <w:rPr>
      <w:i/>
      <w:iCs/>
      <w:color w:val="404040" w:themeColor="text1" w:themeTint="BF"/>
    </w:rPr>
  </w:style>
  <w:style w:type="character" w:customStyle="1" w:styleId="QuoteChar">
    <w:name w:val="Quote Char"/>
    <w:basedOn w:val="DefaultParagraphFont"/>
    <w:link w:val="Quote"/>
    <w:uiPriority w:val="29"/>
    <w:rsid w:val="00FC3467"/>
    <w:rPr>
      <w:i/>
      <w:iCs/>
      <w:color w:val="404040" w:themeColor="text1" w:themeTint="BF"/>
    </w:rPr>
  </w:style>
  <w:style w:type="paragraph" w:styleId="ListParagraph">
    <w:name w:val="List Paragraph"/>
    <w:basedOn w:val="Normal"/>
    <w:uiPriority w:val="34"/>
    <w:qFormat/>
    <w:rsid w:val="00FC3467"/>
    <w:pPr>
      <w:ind w:left="720"/>
      <w:contextualSpacing/>
    </w:pPr>
  </w:style>
  <w:style w:type="character" w:styleId="IntenseEmphasis">
    <w:name w:val="Intense Emphasis"/>
    <w:basedOn w:val="DefaultParagraphFont"/>
    <w:uiPriority w:val="21"/>
    <w:qFormat/>
    <w:rsid w:val="00FC3467"/>
    <w:rPr>
      <w:i/>
      <w:iCs/>
      <w:color w:val="0F4761" w:themeColor="accent1" w:themeShade="BF"/>
    </w:rPr>
  </w:style>
  <w:style w:type="paragraph" w:styleId="IntenseQuote">
    <w:name w:val="Intense Quote"/>
    <w:basedOn w:val="Normal"/>
    <w:next w:val="Normal"/>
    <w:link w:val="IntenseQuoteChar"/>
    <w:uiPriority w:val="30"/>
    <w:qFormat/>
    <w:rsid w:val="00FC34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3467"/>
    <w:rPr>
      <w:i/>
      <w:iCs/>
      <w:color w:val="0F4761" w:themeColor="accent1" w:themeShade="BF"/>
    </w:rPr>
  </w:style>
  <w:style w:type="character" w:styleId="IntenseReference">
    <w:name w:val="Intense Reference"/>
    <w:basedOn w:val="DefaultParagraphFont"/>
    <w:uiPriority w:val="32"/>
    <w:qFormat/>
    <w:rsid w:val="00FC346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5458">
      <w:bodyDiv w:val="1"/>
      <w:marLeft w:val="0"/>
      <w:marRight w:val="0"/>
      <w:marTop w:val="0"/>
      <w:marBottom w:val="0"/>
      <w:divBdr>
        <w:top w:val="none" w:sz="0" w:space="0" w:color="auto"/>
        <w:left w:val="none" w:sz="0" w:space="0" w:color="auto"/>
        <w:bottom w:val="none" w:sz="0" w:space="0" w:color="auto"/>
        <w:right w:val="none" w:sz="0" w:space="0" w:color="auto"/>
      </w:divBdr>
    </w:div>
    <w:div w:id="230509936">
      <w:bodyDiv w:val="1"/>
      <w:marLeft w:val="0"/>
      <w:marRight w:val="0"/>
      <w:marTop w:val="0"/>
      <w:marBottom w:val="0"/>
      <w:divBdr>
        <w:top w:val="none" w:sz="0" w:space="0" w:color="auto"/>
        <w:left w:val="none" w:sz="0" w:space="0" w:color="auto"/>
        <w:bottom w:val="none" w:sz="0" w:space="0" w:color="auto"/>
        <w:right w:val="none" w:sz="0" w:space="0" w:color="auto"/>
      </w:divBdr>
    </w:div>
    <w:div w:id="335234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6</Pages>
  <Words>2146</Words>
  <Characters>12233</Characters>
  <Application>Microsoft Office Word</Application>
  <DocSecurity>0</DocSecurity>
  <Lines>101</Lines>
  <Paragraphs>28</Paragraphs>
  <ScaleCrop>false</ScaleCrop>
  <Company/>
  <LinksUpToDate>false</LinksUpToDate>
  <CharactersWithSpaces>14351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2025-08-25T23:39:00Z</dcterms:created>
  <dcterms:modified xsi:type="dcterms:W3CDTF">2025-08-25T23:40:00Z</dcterms:modified>
</cp:coreProperties>
</file>