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D5045" w14:textId="77777777" w:rsidR="006F19D2" w:rsidRPr="006F19D2" w:rsidRDefault="006F19D2" w:rsidP="006F19D2">
      <w:r w:rsidRPr="006F19D2">
        <w:t>Dear Sir/Madam,</w:t>
      </w:r>
    </w:p>
    <w:p w14:paraId="07AD0C76" w14:textId="77777777" w:rsidR="006F19D2" w:rsidRPr="006F19D2" w:rsidRDefault="006F19D2" w:rsidP="006F19D2">
      <w:r w:rsidRPr="006F19D2">
        <w:t xml:space="preserve">I am writing on behalf of </w:t>
      </w:r>
      <w:proofErr w:type="spellStart"/>
      <w:r w:rsidRPr="006F19D2">
        <w:t>Nayax</w:t>
      </w:r>
      <w:proofErr w:type="spellEnd"/>
      <w:r w:rsidRPr="006F19D2">
        <w:t xml:space="preserve"> Australia, a global leader in cashless payment and telemetry solutions, to express serious concern over the Reserve Bank of Australia's potential move to ban surcharges on credit and debit card payments.</w:t>
      </w:r>
    </w:p>
    <w:p w14:paraId="14C3B07C" w14:textId="77777777" w:rsidR="006F19D2" w:rsidRPr="006F19D2" w:rsidRDefault="006F19D2" w:rsidP="006F19D2">
      <w:proofErr w:type="spellStart"/>
      <w:r w:rsidRPr="006F19D2">
        <w:t>Nayax</w:t>
      </w:r>
      <w:proofErr w:type="spellEnd"/>
      <w:r w:rsidRPr="006F19D2">
        <w:t xml:space="preserve"> serves thousands of merchants across Australia (tens of thousands of machines), primarily within the vending and unattended retail sectors. These are industries with extremely low margins, where operators depend on payment surcharges to cover the unavoidable costs associated with card processing. For many of our clients—small business owners and sole traders—this modest surcharge is often the difference between operating at a profit or a loss.</w:t>
      </w:r>
    </w:p>
    <w:p w14:paraId="32563F91" w14:textId="77777777" w:rsidR="006F19D2" w:rsidRPr="006F19D2" w:rsidRDefault="006F19D2" w:rsidP="006F19D2">
      <w:r w:rsidRPr="006F19D2">
        <w:t>The vending industry</w:t>
      </w:r>
      <w:proofErr w:type="gramStart"/>
      <w:r w:rsidRPr="006F19D2">
        <w:t>, in particular, does</w:t>
      </w:r>
      <w:proofErr w:type="gramEnd"/>
      <w:r w:rsidRPr="006F19D2">
        <w:t xml:space="preserve"> not benefit from economies of scale in the same way as traditional retail. A single transaction may involve the purchase of a $2 item, for which interchange and acquiring fees can consume 10+% of the value if the surcharge is removed. In such a scenario, businesses are left absorbing these costs, often making the sale unsustainable.</w:t>
      </w:r>
    </w:p>
    <w:p w14:paraId="31D17232" w14:textId="77777777" w:rsidR="006F19D2" w:rsidRPr="006F19D2" w:rsidRDefault="006F19D2" w:rsidP="006F19D2">
      <w:r w:rsidRPr="006F19D2">
        <w:t>The ability to pass on a reasonable surcharge not only ensures transparency for consumers, but also allows merchants to remain viable while continuing to accept the card payments that are expected in today’s cashless economy. Without this flexibility, we foresee a ripple effect across the vending and unattended payments space, potentially leading to price increases, reduced access to cashless options, or even business closures.</w:t>
      </w:r>
    </w:p>
    <w:p w14:paraId="4B16BDCF" w14:textId="77777777" w:rsidR="006F19D2" w:rsidRPr="006F19D2" w:rsidRDefault="006F19D2" w:rsidP="006F19D2">
      <w:r w:rsidRPr="006F19D2">
        <w:t>We fully support efforts to reduce excessive surcharging and improve transparency in the payments system. However, a blanket ban, without exception for low-margin industries would have a disproportionate and damaging impact on the very small businesses the RBA seeks to protect.</w:t>
      </w:r>
    </w:p>
    <w:p w14:paraId="427C7947" w14:textId="77777777" w:rsidR="006F19D2" w:rsidRPr="006F19D2" w:rsidRDefault="006F19D2" w:rsidP="006F19D2">
      <w:r w:rsidRPr="006F19D2">
        <w:t>We respectfully urge the RBA to reconsider a total ban on surcharges and instead explore a balanced approach, perhaps through capped surcharging or exemptions for sectors like vending, where the economics of card acceptance differ significantly from traditional retail environments.</w:t>
      </w:r>
    </w:p>
    <w:p w14:paraId="3C4572C8" w14:textId="77777777" w:rsidR="006F19D2" w:rsidRPr="006F19D2" w:rsidRDefault="006F19D2" w:rsidP="006F19D2">
      <w:r w:rsidRPr="006F19D2">
        <w:t>Thank you for the opportunity to provide feedback on this critical issue. We would welcome the chance to speak further or provide additional industry data to support our position.</w:t>
      </w:r>
    </w:p>
    <w:p w14:paraId="5F35A92B" w14:textId="5929181E" w:rsidR="006F19D2" w:rsidRPr="006F19D2" w:rsidRDefault="006F19D2" w:rsidP="006F19D2">
      <w:r w:rsidRPr="006F19D2">
        <w:t>Kind Regards,</w:t>
      </w:r>
    </w:p>
    <w:p w14:paraId="28A7C1D8" w14:textId="77777777" w:rsidR="006F19D2" w:rsidRPr="006F19D2" w:rsidRDefault="006F19D2" w:rsidP="006F19D2">
      <w:r w:rsidRPr="006F19D2">
        <w:rPr>
          <w:b/>
          <w:bCs/>
        </w:rPr>
        <w:t xml:space="preserve">Dylan </w:t>
      </w:r>
      <w:proofErr w:type="spellStart"/>
      <w:r w:rsidRPr="006F19D2">
        <w:rPr>
          <w:b/>
          <w:bCs/>
        </w:rPr>
        <w:t>Winik</w:t>
      </w:r>
      <w:proofErr w:type="spellEnd"/>
    </w:p>
    <w:p w14:paraId="749F2E27" w14:textId="188F2126" w:rsidR="006F19D2" w:rsidRPr="006F19D2" w:rsidRDefault="006F19D2" w:rsidP="006F19D2">
      <w:r w:rsidRPr="006F19D2">
        <w:t>CEO – Australia | Indonesia | New Zealand</w:t>
      </w:r>
      <w:r w:rsidRPr="006F19D2">
        <w:br/>
      </w:r>
    </w:p>
    <w:p w14:paraId="71163453" w14:textId="45F77802" w:rsidR="008238EF" w:rsidRDefault="008238EF" w:rsidP="006F19D2"/>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9D2"/>
    <w:rsid w:val="00097D57"/>
    <w:rsid w:val="005D00EC"/>
    <w:rsid w:val="006F19D2"/>
    <w:rsid w:val="008238EF"/>
    <w:rsid w:val="00B3670A"/>
    <w:rsid w:val="00E073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4FA3A"/>
  <w15:chartTrackingRefBased/>
  <w15:docId w15:val="{F833257B-1DAC-48C2-B3AC-EA469A208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19D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F19D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F19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F19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F19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F19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19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19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19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9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F19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F19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F19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F19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F19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19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19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19D2"/>
    <w:rPr>
      <w:rFonts w:eastAsiaTheme="majorEastAsia" w:cstheme="majorBidi"/>
      <w:color w:val="272727" w:themeColor="text1" w:themeTint="D8"/>
    </w:rPr>
  </w:style>
  <w:style w:type="paragraph" w:styleId="Title">
    <w:name w:val="Title"/>
    <w:basedOn w:val="Normal"/>
    <w:next w:val="Normal"/>
    <w:link w:val="TitleChar"/>
    <w:uiPriority w:val="10"/>
    <w:qFormat/>
    <w:rsid w:val="006F19D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19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19D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19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19D2"/>
    <w:pPr>
      <w:spacing w:before="160"/>
      <w:jc w:val="center"/>
    </w:pPr>
    <w:rPr>
      <w:i/>
      <w:iCs/>
      <w:color w:val="404040" w:themeColor="text1" w:themeTint="BF"/>
    </w:rPr>
  </w:style>
  <w:style w:type="character" w:customStyle="1" w:styleId="QuoteChar">
    <w:name w:val="Quote Char"/>
    <w:basedOn w:val="DefaultParagraphFont"/>
    <w:link w:val="Quote"/>
    <w:uiPriority w:val="29"/>
    <w:rsid w:val="006F19D2"/>
    <w:rPr>
      <w:i/>
      <w:iCs/>
      <w:color w:val="404040" w:themeColor="text1" w:themeTint="BF"/>
    </w:rPr>
  </w:style>
  <w:style w:type="paragraph" w:styleId="ListParagraph">
    <w:name w:val="List Paragraph"/>
    <w:basedOn w:val="Normal"/>
    <w:uiPriority w:val="34"/>
    <w:qFormat/>
    <w:rsid w:val="006F19D2"/>
    <w:pPr>
      <w:ind w:left="720"/>
      <w:contextualSpacing/>
    </w:pPr>
  </w:style>
  <w:style w:type="character" w:styleId="IntenseEmphasis">
    <w:name w:val="Intense Emphasis"/>
    <w:basedOn w:val="DefaultParagraphFont"/>
    <w:uiPriority w:val="21"/>
    <w:qFormat/>
    <w:rsid w:val="006F19D2"/>
    <w:rPr>
      <w:i/>
      <w:iCs/>
      <w:color w:val="0F4761" w:themeColor="accent1" w:themeShade="BF"/>
    </w:rPr>
  </w:style>
  <w:style w:type="paragraph" w:styleId="IntenseQuote">
    <w:name w:val="Intense Quote"/>
    <w:basedOn w:val="Normal"/>
    <w:next w:val="Normal"/>
    <w:link w:val="IntenseQuoteChar"/>
    <w:uiPriority w:val="30"/>
    <w:qFormat/>
    <w:rsid w:val="006F19D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F19D2"/>
    <w:rPr>
      <w:i/>
      <w:iCs/>
      <w:color w:val="0F4761" w:themeColor="accent1" w:themeShade="BF"/>
    </w:rPr>
  </w:style>
  <w:style w:type="character" w:styleId="IntenseReference">
    <w:name w:val="Intense Reference"/>
    <w:basedOn w:val="DefaultParagraphFont"/>
    <w:uiPriority w:val="32"/>
    <w:qFormat/>
    <w:rsid w:val="006F19D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Pages>
  <Words>427</Words>
  <Characters>1900</Characters>
  <Application>Microsoft Office Word</Application>
  <DocSecurity>0</DocSecurity>
  <Lines>40</Lines>
  <Paragraphs>14</Paragraphs>
  <ScaleCrop>false</ScaleCrop>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RBA</dc:creator>
  <cp:keywords/>
  <dc:description/>
  <cp:lastModifiedBy>RBA</cp:lastModifiedBy>
  <cp:revision>1</cp:revision>
  <dcterms:created xsi:type="dcterms:W3CDTF">2025-07-23T05:17:00Z</dcterms:created>
  <dcterms:modified xsi:type="dcterms:W3CDTF">2025-07-23T05:18:00Z</dcterms:modified>
</cp:coreProperties>
</file>