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EA6BF" w14:textId="5CFAE342" w:rsidR="006B74FC" w:rsidRPr="004C4EBC" w:rsidRDefault="00A875B4" w:rsidP="006B74FC">
      <w:pPr>
        <w:rPr>
          <w:rFonts w:ascii="Arial" w:hAnsi="Arial" w:cs="Arial"/>
        </w:rPr>
      </w:pPr>
      <w:r>
        <w:rPr>
          <w:rFonts w:ascii="Arial" w:hAnsi="Arial" w:cs="Arial"/>
          <w:noProof/>
        </w:rPr>
        <w:drawing>
          <wp:anchor distT="0" distB="0" distL="114300" distR="114300" simplePos="0" relativeHeight="251658240" behindDoc="1" locked="0" layoutInCell="1" allowOverlap="1" wp14:anchorId="289BBF49" wp14:editId="6D173212">
            <wp:simplePos x="0" y="0"/>
            <wp:positionH relativeFrom="page">
              <wp:posOffset>-22578</wp:posOffset>
            </wp:positionH>
            <wp:positionV relativeFrom="page">
              <wp:posOffset>-24199</wp:posOffset>
            </wp:positionV>
            <wp:extent cx="7596000" cy="10744664"/>
            <wp:effectExtent l="0" t="0" r="0" b="0"/>
            <wp:wrapNone/>
            <wp:docPr id="43430920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309207" name="Picture 2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96000" cy="10744664"/>
                    </a:xfrm>
                    <a:prstGeom prst="rect">
                      <a:avLst/>
                    </a:prstGeom>
                  </pic:spPr>
                </pic:pic>
              </a:graphicData>
            </a:graphic>
            <wp14:sizeRelH relativeFrom="page">
              <wp14:pctWidth>0</wp14:pctWidth>
            </wp14:sizeRelH>
            <wp14:sizeRelV relativeFrom="page">
              <wp14:pctHeight>0</wp14:pctHeight>
            </wp14:sizeRelV>
          </wp:anchor>
        </w:drawing>
      </w:r>
    </w:p>
    <w:p w14:paraId="0ED623C3" w14:textId="6FD2D1CC" w:rsidR="000A217C" w:rsidRPr="004C4EBC" w:rsidRDefault="005E56C7">
      <w:pPr>
        <w:rPr>
          <w:rFonts w:ascii="Arial" w:hAnsi="Arial" w:cs="Arial"/>
          <w:noProof/>
          <w:color w:val="000000" w:themeColor="text1"/>
          <w:sz w:val="36"/>
          <w:szCs w:val="36"/>
        </w:rPr>
      </w:pPr>
      <w:r>
        <w:rPr>
          <w:rFonts w:ascii="Arial" w:hAnsi="Arial" w:cs="Arial"/>
          <w:noProof/>
          <w:color w:val="000000" w:themeColor="text1"/>
          <w:sz w:val="36"/>
          <w:szCs w:val="36"/>
        </w:rPr>
        <mc:AlternateContent>
          <mc:Choice Requires="wps">
            <w:drawing>
              <wp:anchor distT="0" distB="0" distL="114300" distR="114300" simplePos="0" relativeHeight="251658243" behindDoc="0" locked="0" layoutInCell="1" allowOverlap="1" wp14:anchorId="012B2F97" wp14:editId="5817D4FB">
                <wp:simplePos x="0" y="0"/>
                <wp:positionH relativeFrom="column">
                  <wp:posOffset>126365</wp:posOffset>
                </wp:positionH>
                <wp:positionV relativeFrom="paragraph">
                  <wp:posOffset>1754726</wp:posOffset>
                </wp:positionV>
                <wp:extent cx="5486400" cy="1847850"/>
                <wp:effectExtent l="0" t="0" r="0" b="0"/>
                <wp:wrapNone/>
                <wp:docPr id="354100881" name="Text Box 1"/>
                <wp:cNvGraphicFramePr/>
                <a:graphic xmlns:a="http://schemas.openxmlformats.org/drawingml/2006/main">
                  <a:graphicData uri="http://schemas.microsoft.com/office/word/2010/wordprocessingShape">
                    <wps:wsp>
                      <wps:cNvSpPr txBox="1"/>
                      <wps:spPr>
                        <a:xfrm>
                          <a:off x="0" y="0"/>
                          <a:ext cx="5486400" cy="1847850"/>
                        </a:xfrm>
                        <a:prstGeom prst="rect">
                          <a:avLst/>
                        </a:prstGeom>
                        <a:noFill/>
                        <a:ln w="6350">
                          <a:noFill/>
                        </a:ln>
                      </wps:spPr>
                      <wps:txbx>
                        <w:txbxContent>
                          <w:p w14:paraId="114D0D36" w14:textId="578CD269" w:rsidR="00884DDF" w:rsidRPr="00884DDF" w:rsidRDefault="005E56C7">
                            <w:pPr>
                              <w:rPr>
                                <w:rFonts w:ascii="Arial" w:hAnsi="Arial" w:cs="Arial"/>
                                <w:b/>
                                <w:bCs/>
                                <w:color w:val="FFFFFF" w:themeColor="background1"/>
                                <w:sz w:val="72"/>
                                <w:szCs w:val="72"/>
                              </w:rPr>
                            </w:pPr>
                            <w:bookmarkStart w:id="0" w:name="OLE_LINK1"/>
                            <w:bookmarkStart w:id="1" w:name="OLE_LINK2"/>
                            <w:bookmarkStart w:id="2" w:name="_Hlk205881336"/>
                            <w:r>
                              <w:rPr>
                                <w:rFonts w:ascii="Arial" w:hAnsi="Arial" w:cs="Arial"/>
                                <w:b/>
                                <w:bCs/>
                                <w:color w:val="FFFFFF" w:themeColor="background1"/>
                                <w:sz w:val="72"/>
                                <w:szCs w:val="72"/>
                              </w:rPr>
                              <w:t>Review of Merchant Card Payment Costs and Surcharging</w:t>
                            </w:r>
                            <w:bookmarkEnd w:id="0"/>
                            <w:bookmarkEnd w:id="1"/>
                            <w:bookmarkEnd w:id="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2B2F97" id="_x0000_t202" coordsize="21600,21600" o:spt="202" path="m,l,21600r21600,l21600,xe">
                <v:stroke joinstyle="miter"/>
                <v:path gradientshapeok="t" o:connecttype="rect"/>
              </v:shapetype>
              <v:shape id="Text Box 1" o:spid="_x0000_s1026" type="#_x0000_t202" style="position:absolute;margin-left:9.95pt;margin-top:138.15pt;width:6in;height:14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" filled="f" stroked="f" strokeweight=".5pt">
                <v:textbox>
                  <w:txbxContent>
                    <w:p w14:paraId="114D0D36" w14:textId="578CD269" w:rsidR="00884DDF" w:rsidRPr="00884DDF" w:rsidRDefault="005E56C7">
                      <w:pPr>
                        <w:rPr>
                          <w:rFonts w:ascii="Arial" w:hAnsi="Arial" w:cs="Arial"/>
                          <w:b/>
                          <w:bCs/>
                          <w:color w:val="FFFFFF" w:themeColor="background1"/>
                          <w:sz w:val="72"/>
                          <w:szCs w:val="72"/>
                        </w:rPr>
                      </w:pPr>
                      <w:bookmarkStart w:id="3" w:name="OLE_LINK1"/>
                      <w:bookmarkStart w:id="4" w:name="OLE_LINK2"/>
                      <w:bookmarkStart w:id="5" w:name="_Hlk205881336"/>
                      <w:r>
                        <w:rPr>
                          <w:rFonts w:ascii="Arial" w:hAnsi="Arial" w:cs="Arial"/>
                          <w:b/>
                          <w:bCs/>
                          <w:color w:val="FFFFFF" w:themeColor="background1"/>
                          <w:sz w:val="72"/>
                          <w:szCs w:val="72"/>
                        </w:rPr>
                        <w:t>Review of Merchant Card Payment Costs and Surcharging</w:t>
                      </w:r>
                      <w:bookmarkEnd w:id="3"/>
                      <w:bookmarkEnd w:id="4"/>
                      <w:bookmarkEnd w:id="5"/>
                    </w:p>
                  </w:txbxContent>
                </v:textbox>
              </v:shape>
            </w:pict>
          </mc:Fallback>
        </mc:AlternateContent>
      </w:r>
      <w:r w:rsidR="00285372">
        <w:rPr>
          <w:rFonts w:ascii="Arial" w:hAnsi="Arial" w:cs="Arial"/>
          <w:noProof/>
          <w:color w:val="000000" w:themeColor="text1"/>
          <w:sz w:val="36"/>
          <w:szCs w:val="36"/>
        </w:rPr>
        <mc:AlternateContent>
          <mc:Choice Requires="wps">
            <w:drawing>
              <wp:anchor distT="0" distB="0" distL="114300" distR="114300" simplePos="0" relativeHeight="251658244" behindDoc="0" locked="0" layoutInCell="1" allowOverlap="1" wp14:anchorId="3914DBDA" wp14:editId="33C81EF1">
                <wp:simplePos x="0" y="0"/>
                <wp:positionH relativeFrom="column">
                  <wp:posOffset>125095</wp:posOffset>
                </wp:positionH>
                <wp:positionV relativeFrom="paragraph">
                  <wp:posOffset>8665281</wp:posOffset>
                </wp:positionV>
                <wp:extent cx="3612445" cy="835378"/>
                <wp:effectExtent l="0" t="0" r="0" b="0"/>
                <wp:wrapNone/>
                <wp:docPr id="514737744" name="Text Box 2"/>
                <wp:cNvGraphicFramePr/>
                <a:graphic xmlns:a="http://schemas.openxmlformats.org/drawingml/2006/main">
                  <a:graphicData uri="http://schemas.microsoft.com/office/word/2010/wordprocessingShape">
                    <wps:wsp>
                      <wps:cNvSpPr txBox="1"/>
                      <wps:spPr>
                        <a:xfrm>
                          <a:off x="0" y="0"/>
                          <a:ext cx="3612445" cy="835378"/>
                        </a:xfrm>
                        <a:prstGeom prst="rect">
                          <a:avLst/>
                        </a:prstGeom>
                        <a:noFill/>
                        <a:ln w="6350">
                          <a:noFill/>
                        </a:ln>
                      </wps:spPr>
                      <wps:txbx>
                        <w:txbxContent>
                          <w:p w14:paraId="576686DE" w14:textId="617E8646" w:rsidR="00285372" w:rsidRPr="00285372" w:rsidRDefault="00285372" w:rsidP="00285372">
                            <w:pPr>
                              <w:spacing w:line="276" w:lineRule="auto"/>
                              <w:rPr>
                                <w:rFonts w:ascii="Arial" w:hAnsi="Arial" w:cs="Arial"/>
                                <w:b/>
                                <w:bCs/>
                                <w:color w:val="FFFFFF" w:themeColor="background1"/>
                                <w:sz w:val="28"/>
                                <w:szCs w:val="28"/>
                              </w:rPr>
                            </w:pPr>
                            <w:r w:rsidRPr="00285372">
                              <w:rPr>
                                <w:rFonts w:ascii="Arial" w:hAnsi="Arial" w:cs="Arial"/>
                                <w:b/>
                                <w:bCs/>
                                <w:color w:val="FFFFFF" w:themeColor="background1"/>
                                <w:sz w:val="28"/>
                                <w:szCs w:val="28"/>
                              </w:rPr>
                              <w:t>MYOB Submission</w:t>
                            </w:r>
                          </w:p>
                          <w:p w14:paraId="48FB998B" w14:textId="6A9EFEA9" w:rsidR="00285372" w:rsidRDefault="005E56C7" w:rsidP="00285372">
                            <w:pPr>
                              <w:spacing w:line="276" w:lineRule="auto"/>
                              <w:rPr>
                                <w:rFonts w:ascii="Arial" w:hAnsi="Arial" w:cs="Arial"/>
                                <w:color w:val="FFFFFF" w:themeColor="background1"/>
                              </w:rPr>
                            </w:pPr>
                            <w:r>
                              <w:rPr>
                                <w:rFonts w:ascii="Arial" w:hAnsi="Arial" w:cs="Arial"/>
                                <w:color w:val="FFFFFF" w:themeColor="background1"/>
                              </w:rPr>
                              <w:t>August 2025</w:t>
                            </w:r>
                          </w:p>
                          <w:p w14:paraId="551C2360" w14:textId="709C7FBE" w:rsidR="00285372" w:rsidRPr="00285372" w:rsidRDefault="00285372" w:rsidP="00285372">
                            <w:pPr>
                              <w:spacing w:line="276" w:lineRule="auto"/>
                              <w:rPr>
                                <w:rFonts w:ascii="Arial" w:hAnsi="Arial" w:cs="Arial"/>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14DBDA" id="Text Box 2" o:spid="_x0000_s1027" type="#_x0000_t202" style="position:absolute;margin-left:9.85pt;margin-top:682.3pt;width:284.45pt;height:65.8pt;z-index:2516582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" filled="f" stroked="f" strokeweight=".5pt">
                <v:textbox>
                  <w:txbxContent>
                    <w:p w14:paraId="576686DE" w14:textId="617E8646" w:rsidR="00285372" w:rsidRPr="00285372" w:rsidRDefault="00285372" w:rsidP="00285372">
                      <w:pPr>
                        <w:spacing w:line="276" w:lineRule="auto"/>
                        <w:rPr>
                          <w:rFonts w:ascii="Arial" w:hAnsi="Arial" w:cs="Arial"/>
                          <w:b/>
                          <w:bCs/>
                          <w:color w:val="FFFFFF" w:themeColor="background1"/>
                          <w:sz w:val="28"/>
                          <w:szCs w:val="28"/>
                        </w:rPr>
                      </w:pPr>
                      <w:r w:rsidRPr="00285372">
                        <w:rPr>
                          <w:rFonts w:ascii="Arial" w:hAnsi="Arial" w:cs="Arial"/>
                          <w:b/>
                          <w:bCs/>
                          <w:color w:val="FFFFFF" w:themeColor="background1"/>
                          <w:sz w:val="28"/>
                          <w:szCs w:val="28"/>
                        </w:rPr>
                        <w:t>MYOB Submission</w:t>
                      </w:r>
                    </w:p>
                    <w:p w14:paraId="48FB998B" w14:textId="6A9EFEA9" w:rsidR="00285372" w:rsidRDefault="005E56C7" w:rsidP="00285372">
                      <w:pPr>
                        <w:spacing w:line="276" w:lineRule="auto"/>
                        <w:rPr>
                          <w:rFonts w:ascii="Arial" w:hAnsi="Arial" w:cs="Arial"/>
                          <w:color w:val="FFFFFF" w:themeColor="background1"/>
                        </w:rPr>
                      </w:pPr>
                      <w:r>
                        <w:rPr>
                          <w:rFonts w:ascii="Arial" w:hAnsi="Arial" w:cs="Arial"/>
                          <w:color w:val="FFFFFF" w:themeColor="background1"/>
                        </w:rPr>
                        <w:t>August 2025</w:t>
                      </w:r>
                    </w:p>
                    <w:p w14:paraId="551C2360" w14:textId="709C7FBE" w:rsidR="00285372" w:rsidRPr="00285372" w:rsidRDefault="00285372" w:rsidP="00285372">
                      <w:pPr>
                        <w:spacing w:line="276" w:lineRule="auto"/>
                        <w:rPr>
                          <w:rFonts w:ascii="Arial" w:hAnsi="Arial" w:cs="Arial"/>
                          <w:color w:val="FFFFFF" w:themeColor="background1"/>
                        </w:rPr>
                      </w:pPr>
                    </w:p>
                  </w:txbxContent>
                </v:textbox>
              </v:shape>
            </w:pict>
          </mc:Fallback>
        </mc:AlternateContent>
      </w:r>
      <w:r w:rsidR="000A217C" w:rsidRPr="004C4EBC">
        <w:rPr>
          <w:rFonts w:ascii="Arial" w:hAnsi="Arial" w:cs="Arial"/>
          <w:noProof/>
          <w:color w:val="000000" w:themeColor="text1"/>
          <w:sz w:val="36"/>
          <w:szCs w:val="36"/>
        </w:rPr>
        <w:br w:type="page"/>
      </w:r>
    </w:p>
    <w:p w14:paraId="1E12746D" w14:textId="5ECD1D80" w:rsidR="006B74FC" w:rsidRPr="0002244F" w:rsidRDefault="0048577C" w:rsidP="006B74FC">
      <w:pPr>
        <w:rPr>
          <w:rFonts w:ascii="Arial" w:hAnsi="Arial" w:cs="Arial"/>
          <w:noProof/>
          <w:color w:val="000000" w:themeColor="text1"/>
          <w:sz w:val="20"/>
          <w:szCs w:val="20"/>
        </w:rPr>
      </w:pPr>
      <w:r>
        <w:rPr>
          <w:rFonts w:ascii="Arial" w:hAnsi="Arial" w:cs="Arial"/>
          <w:noProof/>
          <w:color w:val="000000" w:themeColor="text1"/>
          <w:sz w:val="20"/>
          <w:szCs w:val="20"/>
        </w:rPr>
        <w:lastRenderedPageBreak/>
        <w:t>26 August</w:t>
      </w:r>
      <w:r w:rsidR="0088676B">
        <w:rPr>
          <w:rFonts w:ascii="Arial" w:hAnsi="Arial" w:cs="Arial"/>
          <w:noProof/>
          <w:color w:val="000000" w:themeColor="text1"/>
          <w:sz w:val="20"/>
          <w:szCs w:val="20"/>
        </w:rPr>
        <w:t xml:space="preserve"> 2025</w:t>
      </w:r>
    </w:p>
    <w:p w14:paraId="12691DF3" w14:textId="77777777" w:rsidR="004C4EBC" w:rsidRPr="0002244F" w:rsidRDefault="004C4EBC" w:rsidP="006B74FC">
      <w:pPr>
        <w:rPr>
          <w:rFonts w:ascii="Arial" w:hAnsi="Arial" w:cs="Arial"/>
          <w:noProof/>
          <w:color w:val="000000" w:themeColor="text1"/>
          <w:sz w:val="20"/>
          <w:szCs w:val="20"/>
        </w:rPr>
      </w:pPr>
    </w:p>
    <w:p w14:paraId="319055D1" w14:textId="33F077C7" w:rsidR="00E975B0" w:rsidRDefault="0048577C" w:rsidP="006B74FC">
      <w:pPr>
        <w:rPr>
          <w:rFonts w:ascii="Arial" w:hAnsi="Arial" w:cs="Arial"/>
          <w:noProof/>
          <w:color w:val="000000" w:themeColor="text1"/>
          <w:sz w:val="20"/>
          <w:szCs w:val="20"/>
        </w:rPr>
      </w:pPr>
      <w:r>
        <w:rPr>
          <w:rFonts w:ascii="Arial" w:hAnsi="Arial" w:cs="Arial"/>
          <w:noProof/>
          <w:color w:val="000000" w:themeColor="text1"/>
          <w:sz w:val="20"/>
          <w:szCs w:val="20"/>
        </w:rPr>
        <w:t>Head of Payments Policy Department</w:t>
      </w:r>
    </w:p>
    <w:p w14:paraId="681BF103" w14:textId="3B6B600E" w:rsidR="0048577C" w:rsidRDefault="0048577C" w:rsidP="006B74FC">
      <w:pPr>
        <w:rPr>
          <w:rFonts w:ascii="Arial" w:hAnsi="Arial" w:cs="Arial"/>
          <w:noProof/>
          <w:color w:val="000000" w:themeColor="text1"/>
          <w:sz w:val="20"/>
          <w:szCs w:val="20"/>
        </w:rPr>
      </w:pPr>
      <w:r>
        <w:rPr>
          <w:rFonts w:ascii="Arial" w:hAnsi="Arial" w:cs="Arial"/>
          <w:noProof/>
          <w:color w:val="000000" w:themeColor="text1"/>
          <w:sz w:val="20"/>
          <w:szCs w:val="20"/>
        </w:rPr>
        <w:t>Reserve Bank of Australia</w:t>
      </w:r>
    </w:p>
    <w:p w14:paraId="31320861" w14:textId="3A4B9599" w:rsidR="0048577C" w:rsidRDefault="0048577C" w:rsidP="006B74FC">
      <w:pPr>
        <w:rPr>
          <w:rFonts w:ascii="Arial" w:hAnsi="Arial" w:cs="Arial"/>
          <w:noProof/>
          <w:color w:val="000000" w:themeColor="text1"/>
          <w:sz w:val="20"/>
          <w:szCs w:val="20"/>
        </w:rPr>
      </w:pPr>
      <w:r>
        <w:rPr>
          <w:rFonts w:ascii="Arial" w:hAnsi="Arial" w:cs="Arial"/>
          <w:noProof/>
          <w:color w:val="000000" w:themeColor="text1"/>
          <w:sz w:val="20"/>
          <w:szCs w:val="20"/>
        </w:rPr>
        <w:t>GPO Box 3947</w:t>
      </w:r>
    </w:p>
    <w:p w14:paraId="005912F1" w14:textId="18183F16" w:rsidR="0048577C" w:rsidRDefault="0048577C" w:rsidP="006B74FC">
      <w:pPr>
        <w:rPr>
          <w:rFonts w:ascii="Arial" w:hAnsi="Arial" w:cs="Arial"/>
          <w:noProof/>
          <w:color w:val="000000" w:themeColor="text1"/>
          <w:sz w:val="20"/>
          <w:szCs w:val="20"/>
        </w:rPr>
      </w:pPr>
      <w:r>
        <w:rPr>
          <w:rFonts w:ascii="Arial" w:hAnsi="Arial" w:cs="Arial"/>
          <w:noProof/>
          <w:color w:val="000000" w:themeColor="text1"/>
          <w:sz w:val="20"/>
          <w:szCs w:val="20"/>
        </w:rPr>
        <w:t>Sydney NSW 2001</w:t>
      </w:r>
    </w:p>
    <w:p w14:paraId="0EDBB566" w14:textId="02E7FE71" w:rsidR="004C4EBC" w:rsidRPr="0048577C" w:rsidRDefault="00E975B0" w:rsidP="006B74FC">
      <w:pPr>
        <w:rPr>
          <w:rFonts w:ascii="Arial" w:hAnsi="Arial" w:cs="Arial"/>
          <w:noProof/>
          <w:color w:val="000000" w:themeColor="text1"/>
          <w:sz w:val="20"/>
          <w:szCs w:val="20"/>
        </w:rPr>
      </w:pPr>
      <w:r>
        <w:rPr>
          <w:rFonts w:ascii="Arial" w:hAnsi="Arial" w:cs="Arial"/>
          <w:noProof/>
          <w:color w:val="000000" w:themeColor="text1"/>
          <w:sz w:val="20"/>
          <w:szCs w:val="20"/>
        </w:rPr>
        <w:t xml:space="preserve">Sent via email: </w:t>
      </w:r>
      <w:hyperlink r:id="rId12" w:history="1">
        <w:r w:rsidR="0048577C" w:rsidRPr="0048577C">
          <w:rPr>
            <w:rStyle w:val="Hyperlink"/>
            <w:rFonts w:ascii="Arial" w:hAnsi="Arial" w:cs="Arial"/>
            <w:sz w:val="20"/>
            <w:szCs w:val="20"/>
          </w:rPr>
          <w:t>pysubmissions@rba.gov.au</w:t>
        </w:r>
      </w:hyperlink>
      <w:r w:rsidR="0048577C" w:rsidRPr="0048577C">
        <w:rPr>
          <w:sz w:val="20"/>
          <w:szCs w:val="20"/>
        </w:rPr>
        <w:t xml:space="preserve"> </w:t>
      </w:r>
    </w:p>
    <w:p w14:paraId="0465ECA3" w14:textId="77777777" w:rsidR="004C4EBC" w:rsidRDefault="004C4EBC" w:rsidP="006B74FC">
      <w:pPr>
        <w:rPr>
          <w:rFonts w:ascii="Arial" w:hAnsi="Arial" w:cs="Arial"/>
          <w:noProof/>
          <w:color w:val="000000" w:themeColor="text1"/>
        </w:rPr>
      </w:pPr>
    </w:p>
    <w:p w14:paraId="12726DAD" w14:textId="77777777" w:rsidR="00A875B4" w:rsidRDefault="00A875B4" w:rsidP="006B74FC">
      <w:pPr>
        <w:rPr>
          <w:rFonts w:ascii="Arial" w:hAnsi="Arial" w:cs="Arial"/>
          <w:noProof/>
          <w:color w:val="000000" w:themeColor="text1"/>
        </w:rPr>
      </w:pPr>
    </w:p>
    <w:p w14:paraId="1F3D7493" w14:textId="77777777" w:rsidR="0048577C" w:rsidRPr="0048577C" w:rsidRDefault="0048577C" w:rsidP="0048577C">
      <w:pPr>
        <w:rPr>
          <w:rFonts w:ascii="Arial" w:eastAsiaTheme="majorEastAsia" w:hAnsi="Arial" w:cstheme="majorBidi"/>
          <w:b/>
          <w:bCs/>
          <w:noProof/>
          <w:color w:val="7B15EF"/>
          <w:spacing w:val="-10"/>
          <w:kern w:val="28"/>
          <w:sz w:val="40"/>
          <w:szCs w:val="56"/>
        </w:rPr>
      </w:pPr>
      <w:r w:rsidRPr="0048577C">
        <w:rPr>
          <w:rFonts w:ascii="Arial" w:eastAsiaTheme="majorEastAsia" w:hAnsi="Arial" w:cstheme="majorBidi"/>
          <w:b/>
          <w:bCs/>
          <w:noProof/>
          <w:color w:val="7B15EF"/>
          <w:spacing w:val="-10"/>
          <w:kern w:val="28"/>
          <w:sz w:val="40"/>
          <w:szCs w:val="56"/>
        </w:rPr>
        <w:t>Review of Merchant Card Payment Costs and Surcharging</w:t>
      </w:r>
    </w:p>
    <w:p w14:paraId="3FEB79E4" w14:textId="77777777" w:rsidR="004C4EBC" w:rsidRDefault="004C4EBC" w:rsidP="00413622">
      <w:pPr>
        <w:ind w:firstLine="720"/>
        <w:rPr>
          <w:rFonts w:ascii="Arial" w:hAnsi="Arial" w:cs="Arial"/>
          <w:noProof/>
          <w:color w:val="000000" w:themeColor="text1"/>
          <w:sz w:val="36"/>
          <w:szCs w:val="36"/>
        </w:rPr>
      </w:pPr>
    </w:p>
    <w:p w14:paraId="7FD9CECE" w14:textId="52072584" w:rsidR="004766F3" w:rsidRDefault="00CB73A6" w:rsidP="0048577C">
      <w:pPr>
        <w:rPr>
          <w:rFonts w:ascii="Arial" w:hAnsi="Arial" w:cs="Arial"/>
          <w:noProof/>
          <w:color w:val="215E99" w:themeColor="text2" w:themeTint="BF"/>
          <w:sz w:val="20"/>
          <w:szCs w:val="20"/>
        </w:rPr>
      </w:pPr>
      <w:r w:rsidRPr="00413622">
        <w:rPr>
          <w:rFonts w:ascii="Arial" w:hAnsi="Arial" w:cs="Arial"/>
          <w:noProof/>
          <w:color w:val="000000" w:themeColor="text1"/>
          <w:sz w:val="20"/>
          <w:szCs w:val="20"/>
        </w:rPr>
        <w:t>On beh</w:t>
      </w:r>
      <w:r w:rsidR="00413622" w:rsidRPr="00413622">
        <w:rPr>
          <w:rFonts w:ascii="Arial" w:hAnsi="Arial" w:cs="Arial"/>
          <w:noProof/>
          <w:color w:val="000000" w:themeColor="text1"/>
          <w:sz w:val="20"/>
          <w:szCs w:val="20"/>
        </w:rPr>
        <w:t>a</w:t>
      </w:r>
      <w:r w:rsidRPr="00413622">
        <w:rPr>
          <w:rFonts w:ascii="Arial" w:hAnsi="Arial" w:cs="Arial"/>
          <w:noProof/>
          <w:color w:val="000000" w:themeColor="text1"/>
          <w:sz w:val="20"/>
          <w:szCs w:val="20"/>
        </w:rPr>
        <w:t>lf of MYOB, thank you for the opportunity</w:t>
      </w:r>
      <w:r w:rsidR="00D81316" w:rsidRPr="00413622">
        <w:rPr>
          <w:rFonts w:ascii="Arial" w:hAnsi="Arial" w:cs="Arial"/>
          <w:noProof/>
          <w:color w:val="000000" w:themeColor="text1"/>
          <w:sz w:val="20"/>
          <w:szCs w:val="20"/>
        </w:rPr>
        <w:t xml:space="preserve"> to</w:t>
      </w:r>
      <w:r w:rsidRPr="00413622">
        <w:rPr>
          <w:rFonts w:ascii="Arial" w:hAnsi="Arial" w:cs="Arial"/>
          <w:noProof/>
          <w:color w:val="000000" w:themeColor="text1"/>
          <w:sz w:val="20"/>
          <w:szCs w:val="20"/>
        </w:rPr>
        <w:t xml:space="preserve"> </w:t>
      </w:r>
      <w:r w:rsidR="00D81316" w:rsidRPr="00413622">
        <w:rPr>
          <w:rFonts w:ascii="Arial" w:hAnsi="Arial" w:cs="Arial"/>
          <w:noProof/>
          <w:color w:val="000000" w:themeColor="text1"/>
          <w:sz w:val="20"/>
          <w:szCs w:val="20"/>
        </w:rPr>
        <w:t xml:space="preserve">contribute </w:t>
      </w:r>
      <w:r w:rsidR="00D81316" w:rsidRPr="00400B47">
        <w:rPr>
          <w:rFonts w:ascii="Arial" w:hAnsi="Arial" w:cs="Arial"/>
          <w:noProof/>
          <w:color w:val="000000" w:themeColor="text1"/>
          <w:sz w:val="20"/>
          <w:szCs w:val="20"/>
        </w:rPr>
        <w:t xml:space="preserve">to the </w:t>
      </w:r>
      <w:r w:rsidR="00D81316">
        <w:rPr>
          <w:rFonts w:ascii="Arial" w:hAnsi="Arial" w:cs="Arial"/>
          <w:noProof/>
          <w:color w:val="000000" w:themeColor="text1"/>
          <w:sz w:val="20"/>
          <w:szCs w:val="20"/>
        </w:rPr>
        <w:t xml:space="preserve">RBA’s </w:t>
      </w:r>
      <w:r w:rsidR="00D81316" w:rsidRPr="00400B47">
        <w:rPr>
          <w:rFonts w:ascii="Arial" w:hAnsi="Arial" w:cs="Arial"/>
          <w:noProof/>
          <w:color w:val="000000" w:themeColor="text1"/>
          <w:sz w:val="20"/>
          <w:szCs w:val="20"/>
        </w:rPr>
        <w:t>consultation on payment</w:t>
      </w:r>
      <w:r w:rsidR="00D81316">
        <w:rPr>
          <w:rFonts w:ascii="Arial" w:hAnsi="Arial" w:cs="Arial"/>
          <w:noProof/>
          <w:color w:val="000000" w:themeColor="text1"/>
          <w:sz w:val="20"/>
          <w:szCs w:val="20"/>
        </w:rPr>
        <w:t xml:space="preserve"> costs</w:t>
      </w:r>
      <w:r w:rsidR="00D81316" w:rsidRPr="00400B47">
        <w:rPr>
          <w:rFonts w:ascii="Arial" w:hAnsi="Arial" w:cs="Arial"/>
          <w:noProof/>
          <w:color w:val="000000" w:themeColor="text1"/>
          <w:sz w:val="20"/>
          <w:szCs w:val="20"/>
        </w:rPr>
        <w:t xml:space="preserve"> and surcharging</w:t>
      </w:r>
      <w:r w:rsidR="00D81316">
        <w:rPr>
          <w:rFonts w:ascii="Arial" w:hAnsi="Arial" w:cs="Arial"/>
          <w:noProof/>
          <w:color w:val="000000" w:themeColor="text1"/>
          <w:sz w:val="20"/>
          <w:szCs w:val="20"/>
        </w:rPr>
        <w:t>. We believe the consultation paper represents a thorough and considered understanding of the issues, and makes sensible and practical recommendations for improving transparency, competition and fairness</w:t>
      </w:r>
      <w:r w:rsidR="00821D2E">
        <w:rPr>
          <w:rFonts w:ascii="Arial" w:hAnsi="Arial" w:cs="Arial"/>
          <w:noProof/>
          <w:color w:val="000000" w:themeColor="text1"/>
          <w:sz w:val="20"/>
          <w:szCs w:val="20"/>
        </w:rPr>
        <w:t xml:space="preserve"> </w:t>
      </w:r>
      <w:r w:rsidR="00D81316">
        <w:rPr>
          <w:rFonts w:ascii="Arial" w:hAnsi="Arial" w:cs="Arial"/>
          <w:noProof/>
          <w:color w:val="000000" w:themeColor="text1"/>
          <w:sz w:val="20"/>
          <w:szCs w:val="20"/>
        </w:rPr>
        <w:t>—especially for small businesses.</w:t>
      </w:r>
    </w:p>
    <w:p w14:paraId="5EDB7A21" w14:textId="77777777" w:rsidR="00D81316" w:rsidRDefault="00D81316" w:rsidP="0048577C">
      <w:pPr>
        <w:rPr>
          <w:rFonts w:ascii="Arial" w:hAnsi="Arial" w:cs="Arial"/>
          <w:noProof/>
          <w:color w:val="215E99" w:themeColor="text2" w:themeTint="BF"/>
          <w:sz w:val="20"/>
          <w:szCs w:val="20"/>
        </w:rPr>
      </w:pPr>
    </w:p>
    <w:p w14:paraId="7008CFF2" w14:textId="606DDC2F" w:rsidR="00D81316" w:rsidRDefault="00400B47" w:rsidP="0048577C">
      <w:pPr>
        <w:rPr>
          <w:rFonts w:ascii="Arial" w:hAnsi="Arial" w:cs="Arial"/>
          <w:noProof/>
          <w:color w:val="000000" w:themeColor="text1"/>
          <w:sz w:val="20"/>
          <w:szCs w:val="20"/>
        </w:rPr>
      </w:pPr>
      <w:r w:rsidRPr="00400B47">
        <w:rPr>
          <w:rFonts w:ascii="Arial" w:hAnsi="Arial" w:cs="Arial"/>
          <w:noProof/>
          <w:color w:val="000000" w:themeColor="text1"/>
          <w:sz w:val="20"/>
          <w:szCs w:val="20"/>
        </w:rPr>
        <w:t>MYOB is a leading provider of business management, accounting, and payments solutions</w:t>
      </w:r>
      <w:r w:rsidR="002A7ED5">
        <w:rPr>
          <w:rFonts w:ascii="Arial" w:hAnsi="Arial" w:cs="Arial"/>
          <w:noProof/>
          <w:color w:val="000000" w:themeColor="text1"/>
          <w:sz w:val="20"/>
          <w:szCs w:val="20"/>
        </w:rPr>
        <w:t xml:space="preserve"> for</w:t>
      </w:r>
      <w:r w:rsidRPr="00400B47">
        <w:rPr>
          <w:rFonts w:ascii="Arial" w:hAnsi="Arial" w:cs="Arial"/>
          <w:noProof/>
          <w:color w:val="000000" w:themeColor="text1"/>
          <w:sz w:val="20"/>
          <w:szCs w:val="20"/>
        </w:rPr>
        <w:t xml:space="preserve"> Australia’s small and medium business sector. As both a technology provider and payments </w:t>
      </w:r>
      <w:r w:rsidR="00D81316">
        <w:rPr>
          <w:rFonts w:ascii="Arial" w:hAnsi="Arial" w:cs="Arial"/>
          <w:noProof/>
          <w:color w:val="000000" w:themeColor="text1"/>
          <w:sz w:val="20"/>
          <w:szCs w:val="20"/>
        </w:rPr>
        <w:t xml:space="preserve">system </w:t>
      </w:r>
      <w:r w:rsidRPr="00400B47">
        <w:rPr>
          <w:rFonts w:ascii="Arial" w:hAnsi="Arial" w:cs="Arial"/>
          <w:noProof/>
          <w:color w:val="000000" w:themeColor="text1"/>
          <w:sz w:val="20"/>
          <w:szCs w:val="20"/>
        </w:rPr>
        <w:t xml:space="preserve">participant, MYOB helps small businesses access efficient, secure, and affordable digital payment options—supporting economic participation and innovation in the broader Australian payments system. </w:t>
      </w:r>
    </w:p>
    <w:p w14:paraId="7014D27C" w14:textId="77777777" w:rsidR="00D81316" w:rsidRDefault="00D81316" w:rsidP="0048577C">
      <w:pPr>
        <w:rPr>
          <w:rFonts w:ascii="Arial" w:hAnsi="Arial" w:cs="Arial"/>
          <w:noProof/>
          <w:color w:val="000000" w:themeColor="text1"/>
          <w:sz w:val="20"/>
          <w:szCs w:val="20"/>
        </w:rPr>
      </w:pPr>
    </w:p>
    <w:p w14:paraId="34EC2A4C" w14:textId="390D404D" w:rsidR="00D81316" w:rsidRDefault="00D81316" w:rsidP="0048577C">
      <w:pPr>
        <w:rPr>
          <w:rFonts w:ascii="Arial" w:hAnsi="Arial" w:cs="Arial"/>
          <w:noProof/>
          <w:color w:val="000000" w:themeColor="text1"/>
          <w:sz w:val="20"/>
          <w:szCs w:val="20"/>
        </w:rPr>
      </w:pPr>
      <w:r>
        <w:rPr>
          <w:rFonts w:ascii="Arial" w:hAnsi="Arial" w:cs="Arial"/>
          <w:noProof/>
          <w:color w:val="000000" w:themeColor="text1"/>
          <w:sz w:val="20"/>
          <w:szCs w:val="20"/>
        </w:rPr>
        <w:t>MYOB broadly agrees with the approach recommended by the Payments System Board (PSB) and that the PSB’s recommendations will make meaningful progress in addressing the issues raised in our previous submission—namely</w:t>
      </w:r>
      <w:r w:rsidR="00413622">
        <w:rPr>
          <w:rFonts w:ascii="Arial" w:hAnsi="Arial" w:cs="Arial"/>
          <w:noProof/>
          <w:color w:val="000000" w:themeColor="text1"/>
          <w:sz w:val="20"/>
          <w:szCs w:val="20"/>
        </w:rPr>
        <w:t xml:space="preserve"> achieving</w:t>
      </w:r>
      <w:r>
        <w:rPr>
          <w:rFonts w:ascii="Arial" w:hAnsi="Arial" w:cs="Arial"/>
          <w:noProof/>
          <w:color w:val="000000" w:themeColor="text1"/>
          <w:sz w:val="20"/>
          <w:szCs w:val="20"/>
        </w:rPr>
        <w:t xml:space="preserve"> </w:t>
      </w:r>
      <w:r w:rsidR="00413622">
        <w:rPr>
          <w:rFonts w:ascii="Arial" w:hAnsi="Arial" w:cs="Arial"/>
          <w:noProof/>
          <w:color w:val="000000" w:themeColor="text1"/>
          <w:sz w:val="20"/>
          <w:szCs w:val="20"/>
        </w:rPr>
        <w:t>fee fairness for smaller merchants</w:t>
      </w:r>
      <w:r w:rsidR="009C6167">
        <w:rPr>
          <w:rFonts w:ascii="Arial" w:hAnsi="Arial" w:cs="Arial"/>
          <w:noProof/>
          <w:color w:val="000000" w:themeColor="text1"/>
          <w:sz w:val="20"/>
          <w:szCs w:val="20"/>
        </w:rPr>
        <w:t>,</w:t>
      </w:r>
      <w:r w:rsidR="00413622">
        <w:rPr>
          <w:rFonts w:ascii="Arial" w:hAnsi="Arial" w:cs="Arial"/>
          <w:noProof/>
          <w:color w:val="000000" w:themeColor="text1"/>
          <w:sz w:val="20"/>
          <w:szCs w:val="20"/>
        </w:rPr>
        <w:t xml:space="preserve"> and improving scheme and interchange fee transparency</w:t>
      </w:r>
      <w:r>
        <w:rPr>
          <w:rFonts w:ascii="Arial" w:hAnsi="Arial" w:cs="Arial"/>
          <w:noProof/>
          <w:color w:val="000000" w:themeColor="text1"/>
          <w:sz w:val="20"/>
          <w:szCs w:val="20"/>
        </w:rPr>
        <w:t xml:space="preserve">. </w:t>
      </w:r>
      <w:r w:rsidR="0040353C" w:rsidRPr="0040353C">
        <w:rPr>
          <w:rFonts w:ascii="Arial" w:hAnsi="Arial" w:cs="Arial"/>
          <w:noProof/>
          <w:color w:val="000000" w:themeColor="text1"/>
          <w:sz w:val="20"/>
          <w:szCs w:val="20"/>
        </w:rPr>
        <w:t>In our submission, we</w:t>
      </w:r>
      <w:r w:rsidR="00794092">
        <w:rPr>
          <w:rFonts w:ascii="Arial" w:hAnsi="Arial" w:cs="Arial"/>
          <w:noProof/>
          <w:color w:val="000000" w:themeColor="text1"/>
          <w:sz w:val="20"/>
          <w:szCs w:val="20"/>
        </w:rPr>
        <w:t xml:space="preserve"> ha</w:t>
      </w:r>
      <w:r w:rsidR="0040353C" w:rsidRPr="0040353C">
        <w:rPr>
          <w:rFonts w:ascii="Arial" w:hAnsi="Arial" w:cs="Arial"/>
          <w:noProof/>
          <w:color w:val="000000" w:themeColor="text1"/>
          <w:sz w:val="20"/>
          <w:szCs w:val="20"/>
        </w:rPr>
        <w:t>ve outlined the areas where we differ from the PSB’s recommendations</w:t>
      </w:r>
      <w:r w:rsidR="00794092">
        <w:rPr>
          <w:rFonts w:ascii="Arial" w:hAnsi="Arial" w:cs="Arial"/>
          <w:noProof/>
          <w:color w:val="000000" w:themeColor="text1"/>
          <w:sz w:val="20"/>
          <w:szCs w:val="20"/>
        </w:rPr>
        <w:t xml:space="preserve">. </w:t>
      </w:r>
    </w:p>
    <w:p w14:paraId="4B634533" w14:textId="77777777" w:rsidR="00D81316" w:rsidRDefault="00D81316" w:rsidP="0048577C">
      <w:pPr>
        <w:rPr>
          <w:rFonts w:ascii="Arial" w:hAnsi="Arial" w:cs="Arial"/>
          <w:noProof/>
          <w:color w:val="000000" w:themeColor="text1"/>
          <w:sz w:val="20"/>
          <w:szCs w:val="20"/>
        </w:rPr>
      </w:pPr>
    </w:p>
    <w:p w14:paraId="45D0A355" w14:textId="46B47165" w:rsidR="00400B47" w:rsidRPr="00643CE4" w:rsidRDefault="00413622" w:rsidP="0048577C">
      <w:pPr>
        <w:rPr>
          <w:rFonts w:ascii="Arial" w:hAnsi="Arial" w:cs="Arial"/>
          <w:noProof/>
          <w:color w:val="000000" w:themeColor="text1"/>
          <w:sz w:val="20"/>
          <w:szCs w:val="20"/>
        </w:rPr>
      </w:pPr>
      <w:r>
        <w:rPr>
          <w:rFonts w:ascii="Arial" w:hAnsi="Arial" w:cs="Arial"/>
          <w:noProof/>
          <w:color w:val="000000" w:themeColor="text1"/>
          <w:sz w:val="20"/>
          <w:szCs w:val="20"/>
        </w:rPr>
        <w:t>Thank you for the approach taken to this consultation</w:t>
      </w:r>
      <w:r w:rsidR="002E78B6">
        <w:rPr>
          <w:rFonts w:ascii="Arial" w:hAnsi="Arial" w:cs="Arial"/>
          <w:noProof/>
          <w:color w:val="000000" w:themeColor="text1"/>
          <w:sz w:val="20"/>
          <w:szCs w:val="20"/>
        </w:rPr>
        <w:t xml:space="preserve">. We </w:t>
      </w:r>
      <w:r w:rsidR="007F778F">
        <w:rPr>
          <w:rFonts w:ascii="Arial" w:hAnsi="Arial" w:cs="Arial"/>
          <w:noProof/>
          <w:color w:val="000000" w:themeColor="text1"/>
          <w:sz w:val="20"/>
          <w:szCs w:val="20"/>
        </w:rPr>
        <w:t>found the report comprehensive</w:t>
      </w:r>
      <w:r w:rsidR="0076182C">
        <w:rPr>
          <w:rFonts w:ascii="Arial" w:hAnsi="Arial" w:cs="Arial"/>
          <w:noProof/>
          <w:color w:val="000000" w:themeColor="text1"/>
          <w:sz w:val="20"/>
          <w:szCs w:val="20"/>
        </w:rPr>
        <w:t xml:space="preserve"> and valued </w:t>
      </w:r>
      <w:r w:rsidR="00AF1571">
        <w:rPr>
          <w:rFonts w:ascii="Arial" w:hAnsi="Arial" w:cs="Arial"/>
          <w:noProof/>
          <w:color w:val="000000" w:themeColor="text1"/>
          <w:sz w:val="20"/>
          <w:szCs w:val="20"/>
        </w:rPr>
        <w:t>reading</w:t>
      </w:r>
      <w:r w:rsidR="002E78B6">
        <w:rPr>
          <w:rFonts w:ascii="Arial" w:hAnsi="Arial" w:cs="Arial"/>
          <w:noProof/>
          <w:color w:val="000000" w:themeColor="text1"/>
          <w:sz w:val="20"/>
          <w:szCs w:val="20"/>
        </w:rPr>
        <w:t xml:space="preserve"> </w:t>
      </w:r>
      <w:r>
        <w:rPr>
          <w:rFonts w:ascii="Arial" w:hAnsi="Arial" w:cs="Arial"/>
          <w:noProof/>
          <w:color w:val="000000" w:themeColor="text1"/>
          <w:sz w:val="20"/>
          <w:szCs w:val="20"/>
        </w:rPr>
        <w:t>the PSB</w:t>
      </w:r>
      <w:r w:rsidR="0076182C">
        <w:rPr>
          <w:rFonts w:ascii="Arial" w:hAnsi="Arial" w:cs="Arial"/>
          <w:noProof/>
          <w:color w:val="000000" w:themeColor="text1"/>
          <w:sz w:val="20"/>
          <w:szCs w:val="20"/>
        </w:rPr>
        <w:t>’s</w:t>
      </w:r>
      <w:r>
        <w:rPr>
          <w:rFonts w:ascii="Arial" w:hAnsi="Arial" w:cs="Arial"/>
          <w:noProof/>
          <w:color w:val="000000" w:themeColor="text1"/>
          <w:sz w:val="20"/>
          <w:szCs w:val="20"/>
        </w:rPr>
        <w:t xml:space="preserve"> rationale and findings. </w:t>
      </w:r>
      <w:r w:rsidR="00400B47" w:rsidRPr="00400B47">
        <w:rPr>
          <w:rFonts w:ascii="Arial" w:hAnsi="Arial" w:cs="Arial"/>
          <w:noProof/>
          <w:color w:val="000000" w:themeColor="text1"/>
          <w:sz w:val="20"/>
          <w:szCs w:val="20"/>
        </w:rPr>
        <w:t>We welcome further regulatory conversations to enhance competition, transparency and fairness</w:t>
      </w:r>
      <w:r w:rsidR="00D81316">
        <w:rPr>
          <w:rFonts w:ascii="Arial" w:hAnsi="Arial" w:cs="Arial"/>
          <w:noProof/>
          <w:color w:val="000000" w:themeColor="text1"/>
          <w:sz w:val="20"/>
          <w:szCs w:val="20"/>
        </w:rPr>
        <w:t xml:space="preserve"> in this </w:t>
      </w:r>
      <w:r w:rsidR="00543630">
        <w:rPr>
          <w:rFonts w:ascii="Arial" w:hAnsi="Arial" w:cs="Arial"/>
          <w:noProof/>
          <w:color w:val="000000" w:themeColor="text1"/>
          <w:sz w:val="20"/>
          <w:szCs w:val="20"/>
        </w:rPr>
        <w:t>critical</w:t>
      </w:r>
      <w:r w:rsidR="00D81316">
        <w:rPr>
          <w:rFonts w:ascii="Arial" w:hAnsi="Arial" w:cs="Arial"/>
          <w:noProof/>
          <w:color w:val="000000" w:themeColor="text1"/>
          <w:sz w:val="20"/>
          <w:szCs w:val="20"/>
        </w:rPr>
        <w:t xml:space="preserve"> sector</w:t>
      </w:r>
      <w:r w:rsidR="00400B47" w:rsidRPr="00400B47">
        <w:rPr>
          <w:rFonts w:ascii="Arial" w:hAnsi="Arial" w:cs="Arial"/>
          <w:noProof/>
          <w:color w:val="000000" w:themeColor="text1"/>
          <w:sz w:val="20"/>
          <w:szCs w:val="20"/>
        </w:rPr>
        <w:t>.</w:t>
      </w:r>
    </w:p>
    <w:p w14:paraId="341F7A99" w14:textId="77777777" w:rsidR="00A875B4" w:rsidRPr="00643CE4" w:rsidRDefault="00A875B4" w:rsidP="006B74FC">
      <w:pPr>
        <w:rPr>
          <w:rFonts w:ascii="Arial" w:hAnsi="Arial" w:cs="Arial"/>
          <w:noProof/>
          <w:color w:val="000000" w:themeColor="text1"/>
          <w:sz w:val="20"/>
          <w:szCs w:val="20"/>
        </w:rPr>
      </w:pPr>
    </w:p>
    <w:p w14:paraId="5211DD11" w14:textId="091E913B" w:rsidR="00413622" w:rsidRDefault="000028C5" w:rsidP="006B74FC">
      <w:pPr>
        <w:rPr>
          <w:rFonts w:ascii="Arial" w:hAnsi="Arial" w:cs="Arial"/>
          <w:noProof/>
          <w:color w:val="000000" w:themeColor="text1"/>
          <w:sz w:val="20"/>
          <w:szCs w:val="20"/>
        </w:rPr>
      </w:pPr>
      <w:r>
        <w:rPr>
          <w:rFonts w:ascii="Arial" w:hAnsi="Arial" w:cs="Arial"/>
          <w:noProof/>
          <w:color w:val="000000" w:themeColor="text1"/>
          <w:sz w:val="20"/>
          <w:szCs w:val="20"/>
        </w:rPr>
        <w:t xml:space="preserve">For any </w:t>
      </w:r>
      <w:r w:rsidR="00413622">
        <w:rPr>
          <w:rFonts w:ascii="Arial" w:hAnsi="Arial" w:cs="Arial"/>
          <w:noProof/>
          <w:color w:val="000000" w:themeColor="text1"/>
          <w:sz w:val="20"/>
          <w:szCs w:val="20"/>
        </w:rPr>
        <w:t xml:space="preserve">questions </w:t>
      </w:r>
      <w:r>
        <w:rPr>
          <w:rFonts w:ascii="Arial" w:hAnsi="Arial" w:cs="Arial"/>
          <w:noProof/>
          <w:color w:val="000000" w:themeColor="text1"/>
          <w:sz w:val="20"/>
          <w:szCs w:val="20"/>
        </w:rPr>
        <w:t xml:space="preserve">relating to </w:t>
      </w:r>
      <w:r w:rsidR="00413622">
        <w:rPr>
          <w:rFonts w:ascii="Arial" w:hAnsi="Arial" w:cs="Arial"/>
          <w:noProof/>
          <w:color w:val="000000" w:themeColor="text1"/>
          <w:sz w:val="20"/>
          <w:szCs w:val="20"/>
        </w:rPr>
        <w:t xml:space="preserve">our response, please contact Courtney Sloane, </w:t>
      </w:r>
      <w:r w:rsidR="00277A99">
        <w:rPr>
          <w:rFonts w:ascii="Arial" w:hAnsi="Arial" w:cs="Arial"/>
          <w:noProof/>
          <w:color w:val="000000" w:themeColor="text1"/>
          <w:sz w:val="20"/>
          <w:szCs w:val="20"/>
        </w:rPr>
        <w:t xml:space="preserve">MYOB </w:t>
      </w:r>
      <w:r w:rsidR="00413622">
        <w:rPr>
          <w:rFonts w:ascii="Arial" w:hAnsi="Arial" w:cs="Arial"/>
          <w:noProof/>
          <w:color w:val="000000" w:themeColor="text1"/>
          <w:sz w:val="20"/>
          <w:szCs w:val="20"/>
        </w:rPr>
        <w:t xml:space="preserve">Government Relations Lead at </w:t>
      </w:r>
      <w:hyperlink r:id="rId13" w:history="1">
        <w:r w:rsidR="00413622" w:rsidRPr="0048728D">
          <w:rPr>
            <w:rStyle w:val="Hyperlink"/>
            <w:rFonts w:ascii="Arial" w:hAnsi="Arial" w:cs="Arial"/>
            <w:noProof/>
            <w:sz w:val="20"/>
            <w:szCs w:val="20"/>
          </w:rPr>
          <w:t>courtney.sloane@myob.com</w:t>
        </w:r>
      </w:hyperlink>
      <w:r w:rsidR="00413622">
        <w:rPr>
          <w:rFonts w:ascii="Arial" w:hAnsi="Arial" w:cs="Arial"/>
          <w:noProof/>
          <w:color w:val="000000" w:themeColor="text1"/>
          <w:sz w:val="20"/>
          <w:szCs w:val="20"/>
        </w:rPr>
        <w:t xml:space="preserve"> or 0473 777 037.</w:t>
      </w:r>
    </w:p>
    <w:p w14:paraId="3F8563A5" w14:textId="77777777" w:rsidR="00413622" w:rsidRPr="00643CE4" w:rsidRDefault="00413622" w:rsidP="006B74FC">
      <w:pPr>
        <w:rPr>
          <w:rFonts w:ascii="Arial" w:hAnsi="Arial" w:cs="Arial"/>
          <w:noProof/>
          <w:color w:val="000000" w:themeColor="text1"/>
          <w:sz w:val="20"/>
          <w:szCs w:val="20"/>
        </w:rPr>
      </w:pPr>
    </w:p>
    <w:p w14:paraId="017A9794" w14:textId="4446853C" w:rsidR="00A875B4" w:rsidRPr="00643CE4" w:rsidRDefault="0048577C" w:rsidP="006B74FC">
      <w:pPr>
        <w:rPr>
          <w:rFonts w:ascii="Arial" w:hAnsi="Arial" w:cs="Arial"/>
          <w:noProof/>
          <w:color w:val="000000" w:themeColor="text1"/>
          <w:sz w:val="20"/>
          <w:szCs w:val="20"/>
        </w:rPr>
      </w:pPr>
      <w:r w:rsidRPr="00643CE4">
        <w:rPr>
          <w:rFonts w:ascii="Arial" w:hAnsi="Arial" w:cs="Arial"/>
          <w:noProof/>
          <w:color w:val="000000" w:themeColor="text1"/>
          <w:sz w:val="20"/>
          <w:szCs w:val="20"/>
        </w:rPr>
        <w:t>Yours sincerely,</w:t>
      </w:r>
    </w:p>
    <w:p w14:paraId="56B42E77" w14:textId="77777777" w:rsidR="00A875B4" w:rsidRDefault="00A875B4" w:rsidP="006B74FC">
      <w:pPr>
        <w:rPr>
          <w:rFonts w:ascii="Arial" w:hAnsi="Arial" w:cs="Arial"/>
          <w:noProof/>
          <w:color w:val="000000" w:themeColor="text1"/>
          <w:sz w:val="20"/>
          <w:szCs w:val="20"/>
        </w:rPr>
      </w:pPr>
    </w:p>
    <w:p w14:paraId="41FC31C3" w14:textId="77777777" w:rsidR="00413622" w:rsidRPr="00643CE4" w:rsidRDefault="00413622" w:rsidP="006B74FC">
      <w:pPr>
        <w:rPr>
          <w:rFonts w:ascii="Arial" w:hAnsi="Arial" w:cs="Arial"/>
          <w:noProof/>
          <w:color w:val="000000" w:themeColor="text1"/>
          <w:sz w:val="20"/>
          <w:szCs w:val="20"/>
        </w:rPr>
      </w:pPr>
    </w:p>
    <w:p w14:paraId="708E7ED6" w14:textId="25CB22A1" w:rsidR="00285372" w:rsidRPr="00643CE4" w:rsidRDefault="0048577C" w:rsidP="006B74FC">
      <w:pPr>
        <w:rPr>
          <w:rFonts w:ascii="Arial" w:hAnsi="Arial" w:cs="Arial"/>
          <w:b/>
          <w:bCs/>
          <w:noProof/>
          <w:color w:val="000000" w:themeColor="text1"/>
          <w:sz w:val="20"/>
          <w:szCs w:val="20"/>
        </w:rPr>
      </w:pPr>
      <w:r w:rsidRPr="00643CE4">
        <w:rPr>
          <w:rFonts w:ascii="Arial" w:hAnsi="Arial" w:cs="Arial"/>
          <w:b/>
          <w:bCs/>
          <w:noProof/>
          <w:color w:val="000000" w:themeColor="text1"/>
          <w:sz w:val="20"/>
          <w:szCs w:val="20"/>
        </w:rPr>
        <w:t>Paul Robson</w:t>
      </w:r>
    </w:p>
    <w:p w14:paraId="72792305" w14:textId="26EDF27A" w:rsidR="0048577C" w:rsidRPr="00643CE4" w:rsidRDefault="0048577C" w:rsidP="006B74FC">
      <w:pPr>
        <w:rPr>
          <w:rFonts w:ascii="Arial" w:hAnsi="Arial" w:cs="Arial"/>
          <w:noProof/>
          <w:color w:val="000000" w:themeColor="text1"/>
          <w:sz w:val="20"/>
          <w:szCs w:val="20"/>
        </w:rPr>
      </w:pPr>
      <w:r w:rsidRPr="00643CE4">
        <w:rPr>
          <w:rFonts w:ascii="Arial" w:hAnsi="Arial" w:cs="Arial"/>
          <w:noProof/>
          <w:color w:val="000000" w:themeColor="text1"/>
          <w:sz w:val="20"/>
          <w:szCs w:val="20"/>
        </w:rPr>
        <w:t>CEO</w:t>
      </w:r>
    </w:p>
    <w:p w14:paraId="1637824D" w14:textId="1482F43C" w:rsidR="00285372" w:rsidRDefault="0048577C">
      <w:pPr>
        <w:rPr>
          <w:rFonts w:ascii="Arial" w:hAnsi="Arial" w:cs="Arial"/>
          <w:noProof/>
          <w:color w:val="000000" w:themeColor="text1"/>
          <w:sz w:val="20"/>
          <w:szCs w:val="20"/>
        </w:rPr>
      </w:pPr>
      <w:r w:rsidRPr="00643CE4">
        <w:rPr>
          <w:rFonts w:ascii="Arial" w:hAnsi="Arial" w:cs="Arial"/>
          <w:noProof/>
          <w:color w:val="000000" w:themeColor="text1"/>
          <w:sz w:val="20"/>
          <w:szCs w:val="20"/>
        </w:rPr>
        <w:t>MYOB</w:t>
      </w:r>
    </w:p>
    <w:p w14:paraId="5CB2EE81" w14:textId="77777777" w:rsidR="007D681D" w:rsidRDefault="007D681D">
      <w:pPr>
        <w:rPr>
          <w:rFonts w:ascii="Arial" w:hAnsi="Arial" w:cs="Arial"/>
          <w:noProof/>
          <w:color w:val="000000" w:themeColor="text1"/>
          <w:sz w:val="20"/>
          <w:szCs w:val="20"/>
        </w:rPr>
      </w:pPr>
    </w:p>
    <w:p w14:paraId="35AAC7D7" w14:textId="77777777" w:rsidR="007D681D" w:rsidRDefault="007D681D">
      <w:pPr>
        <w:rPr>
          <w:rFonts w:ascii="Arial" w:hAnsi="Arial" w:cs="Arial"/>
          <w:noProof/>
          <w:color w:val="000000" w:themeColor="text1"/>
          <w:sz w:val="20"/>
          <w:szCs w:val="20"/>
        </w:rPr>
      </w:pPr>
    </w:p>
    <w:p w14:paraId="5CC6D9B2" w14:textId="77777777" w:rsidR="007D681D" w:rsidRPr="00413622" w:rsidRDefault="007D681D">
      <w:pPr>
        <w:rPr>
          <w:rFonts w:ascii="Arial" w:hAnsi="Arial" w:cs="Arial"/>
          <w:noProof/>
          <w:color w:val="000000" w:themeColor="text1"/>
          <w:sz w:val="20"/>
          <w:szCs w:val="20"/>
        </w:rPr>
      </w:pPr>
    </w:p>
    <w:p w14:paraId="6A8E80AA" w14:textId="4FFD191A" w:rsidR="00285372" w:rsidRPr="00486DF5" w:rsidRDefault="00226B68" w:rsidP="00285372">
      <w:pPr>
        <w:pStyle w:val="Mainheading"/>
        <w:ind w:left="142"/>
      </w:pPr>
      <w:r>
        <w:lastRenderedPageBreak/>
        <w:t>Surcharging</w:t>
      </w:r>
    </w:p>
    <w:p w14:paraId="3DA0EA41" w14:textId="1AE189BE" w:rsidR="002B48C5" w:rsidRDefault="002B48C5" w:rsidP="00E30F38">
      <w:pPr>
        <w:pStyle w:val="Bodycopy"/>
        <w:numPr>
          <w:ilvl w:val="0"/>
          <w:numId w:val="8"/>
        </w:numPr>
        <w:rPr>
          <w:sz w:val="24"/>
          <w:szCs w:val="24"/>
        </w:rPr>
      </w:pPr>
      <w:r w:rsidRPr="002B48C5">
        <w:rPr>
          <w:sz w:val="24"/>
          <w:szCs w:val="24"/>
        </w:rPr>
        <w:t>Would removing surcharging on designated card networks best support the RBA’s objectives to promote the public interest through improving competition, efficiency and safety in the payments system? In particular, the RBA welcomes feedback on whether there are additional public interest considerations that should be taken into account for each policy option.</w:t>
      </w:r>
    </w:p>
    <w:p w14:paraId="614F4F2C" w14:textId="6037548A" w:rsidR="000E6ADE" w:rsidRPr="000E6ADE" w:rsidRDefault="000E6ADE" w:rsidP="00285372">
      <w:pPr>
        <w:pStyle w:val="Bodycopy"/>
        <w:ind w:left="142"/>
        <w:rPr>
          <w:color w:val="000000" w:themeColor="text1"/>
        </w:rPr>
      </w:pPr>
      <w:r w:rsidRPr="000E6ADE">
        <w:rPr>
          <w:color w:val="000000" w:themeColor="text1"/>
        </w:rPr>
        <w:t>MYOB believes option 2</w:t>
      </w:r>
      <w:r w:rsidR="00CF1391">
        <w:rPr>
          <w:rStyle w:val="FootnoteReference"/>
          <w:color w:val="000000" w:themeColor="text1"/>
        </w:rPr>
        <w:footnoteReference w:id="2"/>
      </w:r>
      <w:r w:rsidRPr="000E6ADE">
        <w:rPr>
          <w:color w:val="000000" w:themeColor="text1"/>
        </w:rPr>
        <w:t xml:space="preserve"> would achieve the policy objective of having a fee-free way of accessing funds electronically, while also retaining current issuer and scheme business models that can add value for consumers. While the RBA has clarified that interchange fees should not be used to fund ‘extras’ like frequent flyer points schemes, this is a feature valued by small businesses today.</w:t>
      </w:r>
    </w:p>
    <w:p w14:paraId="6950D286" w14:textId="151F7FDC" w:rsidR="002B48C5" w:rsidRDefault="000E6ADE" w:rsidP="000E6ADE">
      <w:pPr>
        <w:pStyle w:val="Bodycopy"/>
        <w:ind w:left="142"/>
        <w:rPr>
          <w:color w:val="000000" w:themeColor="text1"/>
        </w:rPr>
      </w:pPr>
      <w:r w:rsidRPr="000E6ADE">
        <w:rPr>
          <w:color w:val="000000" w:themeColor="text1"/>
        </w:rPr>
        <w:t>MYOB agrees with the RBA’s assessment that merchants would pass on surcharges through higher ticket prices. Removing surcharging would make card fees</w:t>
      </w:r>
      <w:r w:rsidR="00C7199F">
        <w:rPr>
          <w:color w:val="000000" w:themeColor="text1"/>
        </w:rPr>
        <w:t xml:space="preserve"> less transparent</w:t>
      </w:r>
      <w:r w:rsidRPr="000E6ADE">
        <w:rPr>
          <w:color w:val="000000" w:themeColor="text1"/>
        </w:rPr>
        <w:t xml:space="preserve"> and many businesses may be tempted to increase prices beyond the cost of th</w:t>
      </w:r>
      <w:r w:rsidRPr="005020DF">
        <w:rPr>
          <w:color w:val="000000" w:themeColor="text1"/>
        </w:rPr>
        <w:t xml:space="preserve">e surcharge. For those that value simplicity, this may be a rounded-up price. For example, </w:t>
      </w:r>
      <w:r w:rsidR="0086287D" w:rsidRPr="005020DF">
        <w:rPr>
          <w:color w:val="000000" w:themeColor="text1"/>
        </w:rPr>
        <w:t>the price of a</w:t>
      </w:r>
      <w:r w:rsidRPr="005020DF">
        <w:rPr>
          <w:color w:val="000000" w:themeColor="text1"/>
        </w:rPr>
        <w:t xml:space="preserve"> $4.50 coffee </w:t>
      </w:r>
      <w:r w:rsidR="00B4732F" w:rsidRPr="005020DF">
        <w:rPr>
          <w:color w:val="000000" w:themeColor="text1"/>
        </w:rPr>
        <w:t xml:space="preserve">may </w:t>
      </w:r>
      <w:r w:rsidRPr="005020DF">
        <w:rPr>
          <w:color w:val="000000" w:themeColor="text1"/>
        </w:rPr>
        <w:t xml:space="preserve">not increase </w:t>
      </w:r>
      <w:r w:rsidR="004E0462" w:rsidRPr="005020DF">
        <w:rPr>
          <w:color w:val="000000" w:themeColor="text1"/>
        </w:rPr>
        <w:t>by 2 percent</w:t>
      </w:r>
      <w:r w:rsidRPr="005020DF">
        <w:rPr>
          <w:color w:val="000000" w:themeColor="text1"/>
        </w:rPr>
        <w:t xml:space="preserve">; it may increase to $5 for accounting and handling ease. We would caution that any estimates to </w:t>
      </w:r>
      <w:r w:rsidR="00A669F4" w:rsidRPr="005020DF">
        <w:rPr>
          <w:color w:val="000000" w:themeColor="text1"/>
        </w:rPr>
        <w:t xml:space="preserve">broader </w:t>
      </w:r>
      <w:r w:rsidRPr="005020DF">
        <w:rPr>
          <w:color w:val="000000" w:themeColor="text1"/>
        </w:rPr>
        <w:t xml:space="preserve">price increases that occur because </w:t>
      </w:r>
      <w:r w:rsidR="00A669F4" w:rsidRPr="005020DF">
        <w:rPr>
          <w:color w:val="000000" w:themeColor="text1"/>
        </w:rPr>
        <w:t>of</w:t>
      </w:r>
      <w:r w:rsidR="008450B2" w:rsidRPr="005020DF">
        <w:rPr>
          <w:color w:val="000000" w:themeColor="text1"/>
        </w:rPr>
        <w:t xml:space="preserve"> businesses passing on the costs of </w:t>
      </w:r>
      <w:r w:rsidR="008950BB" w:rsidRPr="005020DF">
        <w:rPr>
          <w:color w:val="000000" w:themeColor="text1"/>
        </w:rPr>
        <w:t>accepting card payments</w:t>
      </w:r>
      <w:r w:rsidRPr="005020DF">
        <w:rPr>
          <w:color w:val="000000" w:themeColor="text1"/>
        </w:rPr>
        <w:t xml:space="preserve"> (and</w:t>
      </w:r>
      <w:r w:rsidR="005020DF" w:rsidRPr="005020DF">
        <w:rPr>
          <w:color w:val="000000" w:themeColor="text1"/>
        </w:rPr>
        <w:t xml:space="preserve"> therefore</w:t>
      </w:r>
      <w:r w:rsidRPr="005020DF">
        <w:rPr>
          <w:color w:val="000000" w:themeColor="text1"/>
        </w:rPr>
        <w:t xml:space="preserve"> the associated inflationary impacts) </w:t>
      </w:r>
      <w:r w:rsidR="00935033" w:rsidRPr="005020DF">
        <w:rPr>
          <w:color w:val="000000" w:themeColor="text1"/>
        </w:rPr>
        <w:t xml:space="preserve">may be </w:t>
      </w:r>
      <w:r w:rsidRPr="005020DF">
        <w:rPr>
          <w:color w:val="000000" w:themeColor="text1"/>
        </w:rPr>
        <w:t>conservative.</w:t>
      </w:r>
    </w:p>
    <w:p w14:paraId="016796C2" w14:textId="77777777" w:rsidR="00413622" w:rsidRPr="000E6ADE" w:rsidRDefault="00413622" w:rsidP="000E6ADE">
      <w:pPr>
        <w:pStyle w:val="Bodycopy"/>
        <w:ind w:left="142"/>
        <w:rPr>
          <w:color w:val="000000" w:themeColor="text1"/>
        </w:rPr>
      </w:pPr>
    </w:p>
    <w:p w14:paraId="4644F7BA" w14:textId="0B6759A4" w:rsidR="002B48C5" w:rsidRPr="006B58AE" w:rsidRDefault="002B48C5" w:rsidP="002B48C5">
      <w:pPr>
        <w:pStyle w:val="Mainheading"/>
        <w:ind w:left="142"/>
      </w:pPr>
      <w:r>
        <w:t>Interchange fees</w:t>
      </w:r>
    </w:p>
    <w:p w14:paraId="24507734" w14:textId="6A209F25" w:rsidR="00CF2F60" w:rsidRDefault="00CF2F60" w:rsidP="00E30F38">
      <w:pPr>
        <w:pStyle w:val="Bodycopy"/>
        <w:numPr>
          <w:ilvl w:val="0"/>
          <w:numId w:val="8"/>
        </w:numPr>
        <w:rPr>
          <w:sz w:val="24"/>
          <w:szCs w:val="24"/>
        </w:rPr>
      </w:pPr>
      <w:r w:rsidRPr="00CF2F60">
        <w:rPr>
          <w:sz w:val="24"/>
          <w:szCs w:val="24"/>
        </w:rPr>
        <w:t>Do the proposed changes to interchange regulation promote the public interest by improving competition and efficiency in the payments system?</w:t>
      </w:r>
    </w:p>
    <w:p w14:paraId="4F4523F6" w14:textId="1FC076AF" w:rsidR="00285372" w:rsidRPr="00D52BE1" w:rsidRDefault="00D52BE1" w:rsidP="00285372">
      <w:pPr>
        <w:pStyle w:val="Bodycopy"/>
        <w:ind w:left="142"/>
        <w:rPr>
          <w:color w:val="000000" w:themeColor="text1"/>
        </w:rPr>
      </w:pPr>
      <w:r w:rsidRPr="00D52BE1">
        <w:rPr>
          <w:color w:val="000000" w:themeColor="text1"/>
        </w:rPr>
        <w:t>We agree with the RBA’s assessment</w:t>
      </w:r>
      <w:r w:rsidR="003527A4">
        <w:rPr>
          <w:color w:val="000000" w:themeColor="text1"/>
        </w:rPr>
        <w:t xml:space="preserve"> that </w:t>
      </w:r>
      <w:r w:rsidR="004D26A9">
        <w:rPr>
          <w:color w:val="000000" w:themeColor="text1"/>
        </w:rPr>
        <w:t>interchange fee regulation</w:t>
      </w:r>
      <w:r w:rsidR="00785CF3">
        <w:rPr>
          <w:color w:val="000000" w:themeColor="text1"/>
        </w:rPr>
        <w:t xml:space="preserve"> is the public </w:t>
      </w:r>
      <w:r w:rsidR="005020DF">
        <w:rPr>
          <w:color w:val="000000" w:themeColor="text1"/>
        </w:rPr>
        <w:t>interest and</w:t>
      </w:r>
      <w:r w:rsidR="00785CF3">
        <w:rPr>
          <w:color w:val="000000" w:themeColor="text1"/>
        </w:rPr>
        <w:t xml:space="preserve"> improves competition and efficiency</w:t>
      </w:r>
      <w:r w:rsidR="00E86D19">
        <w:rPr>
          <w:color w:val="000000" w:themeColor="text1"/>
        </w:rPr>
        <w:t xml:space="preserve"> across the payments system. We support</w:t>
      </w:r>
      <w:r w:rsidR="00E45F5B">
        <w:rPr>
          <w:color w:val="000000" w:themeColor="text1"/>
        </w:rPr>
        <w:t xml:space="preserve"> the PSB’s recommendation</w:t>
      </w:r>
      <w:r w:rsidR="00E86D19">
        <w:rPr>
          <w:color w:val="000000" w:themeColor="text1"/>
        </w:rPr>
        <w:t xml:space="preserve"> </w:t>
      </w:r>
      <w:r w:rsidRPr="00D52BE1">
        <w:rPr>
          <w:color w:val="000000" w:themeColor="text1"/>
        </w:rPr>
        <w:t>a combination of option 2</w:t>
      </w:r>
      <w:r w:rsidR="00D77E39">
        <w:rPr>
          <w:rStyle w:val="FootnoteReference"/>
          <w:color w:val="000000" w:themeColor="text1"/>
        </w:rPr>
        <w:footnoteReference w:id="3"/>
      </w:r>
      <w:r w:rsidRPr="00D52BE1">
        <w:rPr>
          <w:color w:val="000000" w:themeColor="text1"/>
        </w:rPr>
        <w:t>, option 4</w:t>
      </w:r>
      <w:r w:rsidR="00D77E39">
        <w:rPr>
          <w:rStyle w:val="FootnoteReference"/>
          <w:color w:val="000000" w:themeColor="text1"/>
        </w:rPr>
        <w:footnoteReference w:id="4"/>
      </w:r>
      <w:r w:rsidRPr="00D52BE1">
        <w:rPr>
          <w:color w:val="000000" w:themeColor="text1"/>
        </w:rPr>
        <w:t xml:space="preserve"> and option 8</w:t>
      </w:r>
      <w:r w:rsidR="004B7793">
        <w:rPr>
          <w:rStyle w:val="FootnoteReference"/>
          <w:color w:val="000000" w:themeColor="text1"/>
        </w:rPr>
        <w:footnoteReference w:id="5"/>
      </w:r>
      <w:r w:rsidR="00C50850">
        <w:rPr>
          <w:color w:val="000000" w:themeColor="text1"/>
        </w:rPr>
        <w:t>.</w:t>
      </w:r>
      <w:r w:rsidRPr="00D52BE1">
        <w:rPr>
          <w:color w:val="000000" w:themeColor="text1"/>
        </w:rPr>
        <w:t xml:space="preserve"> </w:t>
      </w:r>
    </w:p>
    <w:p w14:paraId="06192E72" w14:textId="77777777" w:rsidR="00A875B4" w:rsidRDefault="00A875B4" w:rsidP="006B74FC">
      <w:pPr>
        <w:rPr>
          <w:rFonts w:ascii="Arial" w:hAnsi="Arial" w:cs="Arial"/>
          <w:noProof/>
          <w:color w:val="000000" w:themeColor="text1"/>
        </w:rPr>
      </w:pPr>
    </w:p>
    <w:p w14:paraId="51B1FFD4" w14:textId="77777777" w:rsidR="005020DF" w:rsidRDefault="005020DF" w:rsidP="006B74FC">
      <w:pPr>
        <w:rPr>
          <w:rFonts w:ascii="Arial" w:hAnsi="Arial" w:cs="Arial"/>
          <w:noProof/>
          <w:color w:val="000000" w:themeColor="text1"/>
        </w:rPr>
      </w:pPr>
    </w:p>
    <w:p w14:paraId="6B6D829D" w14:textId="77777777" w:rsidR="005020DF" w:rsidRDefault="005020DF" w:rsidP="006B74FC">
      <w:pPr>
        <w:rPr>
          <w:rFonts w:ascii="Arial" w:hAnsi="Arial" w:cs="Arial"/>
          <w:noProof/>
          <w:color w:val="000000" w:themeColor="text1"/>
        </w:rPr>
      </w:pPr>
    </w:p>
    <w:p w14:paraId="65B921A3" w14:textId="4CCAE88E" w:rsidR="00A65771" w:rsidRDefault="00A65771" w:rsidP="00E30F38">
      <w:pPr>
        <w:pStyle w:val="Bodycopy"/>
        <w:numPr>
          <w:ilvl w:val="0"/>
          <w:numId w:val="8"/>
        </w:numPr>
        <w:rPr>
          <w:sz w:val="24"/>
          <w:szCs w:val="24"/>
        </w:rPr>
      </w:pPr>
      <w:r w:rsidRPr="00A65771">
        <w:rPr>
          <w:sz w:val="24"/>
          <w:szCs w:val="24"/>
        </w:rPr>
        <w:lastRenderedPageBreak/>
        <w:t>Are there further considerations for smaller issuers that the RBA should take into account to enhance competition and efficiency in the payments system?</w:t>
      </w:r>
    </w:p>
    <w:p w14:paraId="2D15196E" w14:textId="4DDEB3BD" w:rsidR="00CF2F60" w:rsidRPr="00D52BE1" w:rsidRDefault="00D52BE1" w:rsidP="00CF2F60">
      <w:pPr>
        <w:pStyle w:val="Bodycopy"/>
        <w:ind w:left="142"/>
        <w:rPr>
          <w:color w:val="000000" w:themeColor="text1"/>
        </w:rPr>
      </w:pPr>
      <w:r w:rsidRPr="00D52BE1">
        <w:rPr>
          <w:color w:val="000000" w:themeColor="text1"/>
        </w:rPr>
        <w:t xml:space="preserve">Only a general observation that </w:t>
      </w:r>
      <w:r w:rsidR="00961722" w:rsidRPr="00961722">
        <w:rPr>
          <w:color w:val="000000" w:themeColor="text1"/>
        </w:rPr>
        <w:t>adding more issuers to the payments ecosystem would increase competition, which should lead to lower prices.</w:t>
      </w:r>
    </w:p>
    <w:p w14:paraId="7EC19BD9" w14:textId="77777777" w:rsidR="00A875B4" w:rsidRDefault="00A875B4" w:rsidP="006B74FC">
      <w:pPr>
        <w:rPr>
          <w:rFonts w:ascii="Arial" w:hAnsi="Arial" w:cs="Arial"/>
          <w:noProof/>
          <w:color w:val="000000" w:themeColor="text1"/>
        </w:rPr>
      </w:pPr>
    </w:p>
    <w:p w14:paraId="1D24811F" w14:textId="0F102B6F" w:rsidR="00A65771" w:rsidRDefault="00A65771" w:rsidP="00E30F38">
      <w:pPr>
        <w:pStyle w:val="Bodycopy"/>
        <w:numPr>
          <w:ilvl w:val="0"/>
          <w:numId w:val="8"/>
        </w:numPr>
        <w:rPr>
          <w:sz w:val="24"/>
          <w:szCs w:val="24"/>
        </w:rPr>
      </w:pPr>
      <w:r w:rsidRPr="00A65771">
        <w:rPr>
          <w:sz w:val="24"/>
          <w:szCs w:val="24"/>
        </w:rPr>
        <w:t>Do the proposed changes to the net compensation provisions effectively achieve the RBA’s objectives and promote the public interest? Will Australian issuers sponsored by overseas entities be able to comply with the changes?</w:t>
      </w:r>
    </w:p>
    <w:p w14:paraId="6043988E" w14:textId="45743391" w:rsidR="00A65771" w:rsidRPr="00D52BE1" w:rsidRDefault="002C31ED" w:rsidP="00A65771">
      <w:pPr>
        <w:pStyle w:val="Bodycopy"/>
        <w:ind w:left="142"/>
        <w:rPr>
          <w:color w:val="000000" w:themeColor="text1"/>
        </w:rPr>
      </w:pPr>
      <w:r w:rsidRPr="00D52BE1">
        <w:rPr>
          <w:color w:val="000000" w:themeColor="text1"/>
        </w:rPr>
        <w:t xml:space="preserve">Yes, we believe they broadly achieve the objectives. </w:t>
      </w:r>
    </w:p>
    <w:p w14:paraId="0A0281F7" w14:textId="77777777" w:rsidR="00226B68" w:rsidRDefault="00226B68" w:rsidP="00A65771">
      <w:pPr>
        <w:pStyle w:val="Bodycopy"/>
        <w:ind w:left="142"/>
      </w:pPr>
    </w:p>
    <w:p w14:paraId="517DDD6D" w14:textId="038A79D0" w:rsidR="00226B68" w:rsidRPr="006B58AE" w:rsidRDefault="00226B68" w:rsidP="00226B68">
      <w:pPr>
        <w:pStyle w:val="Mainheading"/>
        <w:ind w:left="142"/>
      </w:pPr>
      <w:r>
        <w:t>Transparency of wholesale fees</w:t>
      </w:r>
    </w:p>
    <w:p w14:paraId="7F7DBB04" w14:textId="60BAE4DB" w:rsidR="008604D8" w:rsidRDefault="008604D8" w:rsidP="00E30F38">
      <w:pPr>
        <w:pStyle w:val="Bodycopy"/>
        <w:numPr>
          <w:ilvl w:val="0"/>
          <w:numId w:val="8"/>
        </w:numPr>
        <w:rPr>
          <w:sz w:val="24"/>
          <w:szCs w:val="24"/>
        </w:rPr>
      </w:pPr>
      <w:r w:rsidRPr="008604D8">
        <w:rPr>
          <w:sz w:val="24"/>
          <w:szCs w:val="24"/>
        </w:rPr>
        <w:t>Does the proposal for card networks to publish aggregate wholesale fee data achieve the RBA’s objectives of improving competition and efficiency among the card networks? Does the proposal adequately balance the information needs of the market with commercial concerns?</w:t>
      </w:r>
    </w:p>
    <w:p w14:paraId="6BD0F93C" w14:textId="03D5DC3A" w:rsidR="00717276" w:rsidRPr="000509F8" w:rsidRDefault="00D52BE1" w:rsidP="00D52BE1">
      <w:pPr>
        <w:pStyle w:val="Bodycopy"/>
        <w:ind w:left="142"/>
        <w:rPr>
          <w:color w:val="000000" w:themeColor="text1"/>
        </w:rPr>
      </w:pPr>
      <w:r w:rsidRPr="000509F8">
        <w:rPr>
          <w:color w:val="000000" w:themeColor="text1"/>
        </w:rPr>
        <w:t>MYOB supports both options 2</w:t>
      </w:r>
      <w:r w:rsidR="007E07E0">
        <w:rPr>
          <w:rStyle w:val="FootnoteReference"/>
          <w:color w:val="000000" w:themeColor="text1"/>
        </w:rPr>
        <w:footnoteReference w:id="6"/>
      </w:r>
      <w:r w:rsidRPr="000509F8">
        <w:rPr>
          <w:color w:val="000000" w:themeColor="text1"/>
        </w:rPr>
        <w:t xml:space="preserve"> and 3</w:t>
      </w:r>
      <w:r w:rsidR="007E07E0">
        <w:rPr>
          <w:rStyle w:val="FootnoteReference"/>
          <w:color w:val="000000" w:themeColor="text1"/>
        </w:rPr>
        <w:footnoteReference w:id="7"/>
      </w:r>
      <w:r w:rsidR="000509F8">
        <w:rPr>
          <w:color w:val="000000" w:themeColor="text1"/>
        </w:rPr>
        <w:t xml:space="preserve"> and believes adopting these options would improve fee transparency and lead to a more efficient and competitive payments system</w:t>
      </w:r>
      <w:r w:rsidRPr="000509F8">
        <w:rPr>
          <w:color w:val="000000" w:themeColor="text1"/>
        </w:rPr>
        <w:t xml:space="preserve">. We believe </w:t>
      </w:r>
      <w:r w:rsidR="000509F8" w:rsidRPr="000509F8">
        <w:rPr>
          <w:color w:val="000000" w:themeColor="text1"/>
        </w:rPr>
        <w:t>combining these with</w:t>
      </w:r>
      <w:r w:rsidRPr="000509F8">
        <w:rPr>
          <w:color w:val="000000" w:themeColor="text1"/>
        </w:rPr>
        <w:t xml:space="preserve"> option 4</w:t>
      </w:r>
      <w:r w:rsidR="00923D91">
        <w:rPr>
          <w:rStyle w:val="FootnoteReference"/>
          <w:color w:val="000000" w:themeColor="text1"/>
        </w:rPr>
        <w:footnoteReference w:id="8"/>
      </w:r>
      <w:r w:rsidRPr="000509F8">
        <w:rPr>
          <w:color w:val="000000" w:themeColor="text1"/>
        </w:rPr>
        <w:t xml:space="preserve"> is also possible, however we would not support </w:t>
      </w:r>
      <w:r w:rsidR="000509F8" w:rsidRPr="000509F8">
        <w:rPr>
          <w:color w:val="000000" w:themeColor="text1"/>
        </w:rPr>
        <w:t>option 4</w:t>
      </w:r>
      <w:r w:rsidRPr="000509F8">
        <w:rPr>
          <w:color w:val="000000" w:themeColor="text1"/>
        </w:rPr>
        <w:t xml:space="preserve"> in the absence of 2 and 3</w:t>
      </w:r>
    </w:p>
    <w:p w14:paraId="716C8425" w14:textId="77777777" w:rsidR="00D52BE1" w:rsidRPr="00D52BE1" w:rsidRDefault="00D52BE1" w:rsidP="00D52BE1">
      <w:pPr>
        <w:pStyle w:val="Bodycopy"/>
        <w:ind w:left="142"/>
        <w:rPr>
          <w:color w:val="215E99" w:themeColor="text2" w:themeTint="BF"/>
        </w:rPr>
      </w:pPr>
    </w:p>
    <w:p w14:paraId="25B46122" w14:textId="1B9C6D80" w:rsidR="00E30F38" w:rsidRDefault="00E30F38" w:rsidP="00E30F38">
      <w:pPr>
        <w:pStyle w:val="Bodycopy"/>
        <w:numPr>
          <w:ilvl w:val="0"/>
          <w:numId w:val="8"/>
        </w:numPr>
        <w:rPr>
          <w:sz w:val="24"/>
          <w:szCs w:val="24"/>
        </w:rPr>
      </w:pPr>
      <w:r w:rsidRPr="00E30F38">
        <w:rPr>
          <w:sz w:val="24"/>
          <w:szCs w:val="24"/>
        </w:rPr>
        <w:t xml:space="preserve">Does the proposal for card networks to work with industry to reduce the complexity and improve the transparency of their scheme fee schedules enhance the competitiveness and efficiency of the card payments system? </w:t>
      </w:r>
    </w:p>
    <w:p w14:paraId="0A42D78E" w14:textId="25D9BF4F" w:rsidR="008604D8" w:rsidRPr="000509F8" w:rsidRDefault="00156DFA" w:rsidP="008604D8">
      <w:pPr>
        <w:pStyle w:val="Bodycopy"/>
        <w:ind w:left="142"/>
        <w:rPr>
          <w:color w:val="000000" w:themeColor="text1"/>
        </w:rPr>
      </w:pPr>
      <w:r w:rsidRPr="000509F8">
        <w:rPr>
          <w:color w:val="000000" w:themeColor="text1"/>
        </w:rPr>
        <w:t>Given the market dominance of the larger networks</w:t>
      </w:r>
      <w:r w:rsidR="000509F8" w:rsidRPr="000509F8">
        <w:rPr>
          <w:color w:val="000000" w:themeColor="text1"/>
        </w:rPr>
        <w:t xml:space="preserve"> and the power asymmetry that exists between them and smaller entities</w:t>
      </w:r>
      <w:r w:rsidRPr="000509F8">
        <w:rPr>
          <w:color w:val="000000" w:themeColor="text1"/>
        </w:rPr>
        <w:t>, we don’t believe this would be effective in the absence of the requirements outlined in options 2 and 3.</w:t>
      </w:r>
      <w:r w:rsidR="000509F8">
        <w:rPr>
          <w:color w:val="000000" w:themeColor="text1"/>
        </w:rPr>
        <w:t xml:space="preserve"> Stronger regulatory expectations are necessary to drive greater transparency.</w:t>
      </w:r>
    </w:p>
    <w:p w14:paraId="2303E298" w14:textId="77777777" w:rsidR="00E30F38" w:rsidRDefault="00E30F38" w:rsidP="008604D8">
      <w:pPr>
        <w:pStyle w:val="Bodycopy"/>
        <w:ind w:left="142"/>
      </w:pPr>
    </w:p>
    <w:p w14:paraId="0FD65B77" w14:textId="77777777" w:rsidR="005020DF" w:rsidRDefault="005020DF" w:rsidP="008604D8">
      <w:pPr>
        <w:pStyle w:val="Bodycopy"/>
        <w:ind w:left="142"/>
      </w:pPr>
    </w:p>
    <w:p w14:paraId="12C66E1C" w14:textId="77777777" w:rsidR="005020DF" w:rsidRPr="006B58AE" w:rsidRDefault="005020DF" w:rsidP="008604D8">
      <w:pPr>
        <w:pStyle w:val="Bodycopy"/>
        <w:ind w:left="142"/>
      </w:pPr>
    </w:p>
    <w:p w14:paraId="1683ADDD" w14:textId="4B6ECD77" w:rsidR="00E30F38" w:rsidRDefault="00E30F38" w:rsidP="00E30F38">
      <w:pPr>
        <w:pStyle w:val="Mainheading"/>
        <w:ind w:left="142"/>
      </w:pPr>
      <w:r>
        <w:lastRenderedPageBreak/>
        <w:t>Scheme fees</w:t>
      </w:r>
    </w:p>
    <w:p w14:paraId="40D13098" w14:textId="77777777" w:rsidR="00CF3EC9" w:rsidRPr="00CF3EC9" w:rsidRDefault="00CF3EC9" w:rsidP="00CF3EC9">
      <w:pPr>
        <w:pStyle w:val="Bodycopy"/>
        <w:numPr>
          <w:ilvl w:val="0"/>
          <w:numId w:val="8"/>
        </w:numPr>
      </w:pPr>
      <w:r w:rsidRPr="00CF3EC9">
        <w:rPr>
          <w:sz w:val="24"/>
          <w:szCs w:val="24"/>
        </w:rPr>
        <w:t xml:space="preserve">Does the proposed expectation on scheme fees achieve the RBA’s objectives of competition and efficiency in the payments system? </w:t>
      </w:r>
    </w:p>
    <w:p w14:paraId="4B11DAC5" w14:textId="70EA0C7E" w:rsidR="000509F8" w:rsidRPr="00487376" w:rsidRDefault="000509F8" w:rsidP="00CF3EC9">
      <w:pPr>
        <w:pStyle w:val="Bodycopy"/>
        <w:ind w:left="142"/>
        <w:rPr>
          <w:color w:val="000000" w:themeColor="text1"/>
        </w:rPr>
      </w:pPr>
      <w:r w:rsidRPr="00487376">
        <w:rPr>
          <w:color w:val="000000" w:themeColor="text1"/>
        </w:rPr>
        <w:t>MYOB prefers policy option 3</w:t>
      </w:r>
      <w:r w:rsidR="00991761">
        <w:rPr>
          <w:rStyle w:val="FootnoteReference"/>
          <w:color w:val="000000" w:themeColor="text1"/>
        </w:rPr>
        <w:footnoteReference w:id="9"/>
      </w:r>
      <w:r w:rsidRPr="00487376">
        <w:rPr>
          <w:color w:val="000000" w:themeColor="text1"/>
        </w:rPr>
        <w:t xml:space="preserve">. </w:t>
      </w:r>
      <w:r w:rsidR="005361B7" w:rsidRPr="005361B7">
        <w:rPr>
          <w:color w:val="000000" w:themeColor="text1"/>
        </w:rPr>
        <w:t>While price caps go against the principles of competition and efficiency, we don't believe simply requiring an explanation for rising scheme fees will effectively prevent price increases or lead to more transparency.</w:t>
      </w:r>
      <w:r w:rsidR="009245E0">
        <w:rPr>
          <w:color w:val="000000" w:themeColor="text1"/>
        </w:rPr>
        <w:t xml:space="preserve"> Such e</w:t>
      </w:r>
      <w:r w:rsidR="00487376" w:rsidRPr="00487376">
        <w:rPr>
          <w:color w:val="000000" w:themeColor="text1"/>
        </w:rPr>
        <w:t xml:space="preserve">xplanations </w:t>
      </w:r>
      <w:r w:rsidR="002C5276">
        <w:rPr>
          <w:color w:val="000000" w:themeColor="text1"/>
        </w:rPr>
        <w:t>could</w:t>
      </w:r>
      <w:r w:rsidR="00487376" w:rsidRPr="00487376">
        <w:rPr>
          <w:color w:val="000000" w:themeColor="text1"/>
        </w:rPr>
        <w:t xml:space="preserve"> be opaque</w:t>
      </w:r>
      <w:r w:rsidR="00097A0B">
        <w:rPr>
          <w:color w:val="000000" w:themeColor="text1"/>
        </w:rPr>
        <w:t>, confusing or vague.</w:t>
      </w:r>
    </w:p>
    <w:p w14:paraId="1327037C" w14:textId="62941B93" w:rsidR="00E30F38" w:rsidRPr="00487376" w:rsidRDefault="000509F8" w:rsidP="00E30F38">
      <w:pPr>
        <w:pStyle w:val="Bodycopy"/>
        <w:ind w:left="142"/>
        <w:rPr>
          <w:color w:val="000000" w:themeColor="text1"/>
        </w:rPr>
      </w:pPr>
      <w:r w:rsidRPr="00487376">
        <w:rPr>
          <w:color w:val="000000" w:themeColor="text1"/>
        </w:rPr>
        <w:t xml:space="preserve">While we welcome the PSB’s suggestion that they would consider further potential measures </w:t>
      </w:r>
      <w:r w:rsidR="004024D0" w:rsidRPr="00487376">
        <w:rPr>
          <w:color w:val="000000" w:themeColor="text1"/>
        </w:rPr>
        <w:t xml:space="preserve">(including introducing a cap on scheme fees) </w:t>
      </w:r>
      <w:r w:rsidRPr="00487376">
        <w:rPr>
          <w:color w:val="000000" w:themeColor="text1"/>
        </w:rPr>
        <w:t xml:space="preserve">to contain scheme fee growth </w:t>
      </w:r>
      <w:r w:rsidR="00487376" w:rsidRPr="00487376">
        <w:rPr>
          <w:color w:val="000000" w:themeColor="text1"/>
        </w:rPr>
        <w:t>should</w:t>
      </w:r>
      <w:r w:rsidR="00AA742F">
        <w:rPr>
          <w:color w:val="000000" w:themeColor="text1"/>
        </w:rPr>
        <w:t xml:space="preserve"> </w:t>
      </w:r>
      <w:r w:rsidR="00AB03C1">
        <w:rPr>
          <w:color w:val="000000" w:themeColor="text1"/>
        </w:rPr>
        <w:t>fees</w:t>
      </w:r>
      <w:r w:rsidR="00487376" w:rsidRPr="00487376">
        <w:rPr>
          <w:color w:val="000000" w:themeColor="text1"/>
        </w:rPr>
        <w:t xml:space="preserve"> rise faster than transaction values</w:t>
      </w:r>
      <w:r w:rsidR="0058181B">
        <w:rPr>
          <w:color w:val="000000" w:themeColor="text1"/>
        </w:rPr>
        <w:t xml:space="preserve"> </w:t>
      </w:r>
      <w:r w:rsidR="00487376" w:rsidRPr="00487376">
        <w:rPr>
          <w:color w:val="000000" w:themeColor="text1"/>
        </w:rPr>
        <w:t>, we believe there is a need to provide stronger expectations about what is a ‘reasonable’ increase, and what is a ‘reasonable’ explanation.</w:t>
      </w:r>
    </w:p>
    <w:p w14:paraId="08A621D5" w14:textId="77777777" w:rsidR="006C2EE2" w:rsidRDefault="006C2EE2" w:rsidP="00E30F38">
      <w:pPr>
        <w:pStyle w:val="Bodycopy"/>
        <w:ind w:left="142"/>
      </w:pPr>
    </w:p>
    <w:p w14:paraId="40236246" w14:textId="33A10C20" w:rsidR="00CF3EC9" w:rsidRDefault="00CF3EC9" w:rsidP="00CF3EC9">
      <w:pPr>
        <w:pStyle w:val="Bodycopy"/>
        <w:numPr>
          <w:ilvl w:val="0"/>
          <w:numId w:val="8"/>
        </w:numPr>
        <w:rPr>
          <w:sz w:val="24"/>
          <w:szCs w:val="24"/>
        </w:rPr>
      </w:pPr>
      <w:r w:rsidRPr="00CF3EC9">
        <w:rPr>
          <w:sz w:val="24"/>
          <w:szCs w:val="24"/>
        </w:rPr>
        <w:t xml:space="preserve">Should the PSB consider further regulatory measures in relation to the level of scheme fees to promote competition and efficiency in the payments system? </w:t>
      </w:r>
    </w:p>
    <w:p w14:paraId="3C518528" w14:textId="2310AB97" w:rsidR="00E30F38" w:rsidRPr="00487376" w:rsidRDefault="009626E8" w:rsidP="00E30F38">
      <w:pPr>
        <w:pStyle w:val="Bodycopy"/>
        <w:ind w:left="142"/>
        <w:rPr>
          <w:color w:val="000000" w:themeColor="text1"/>
        </w:rPr>
      </w:pPr>
      <w:r w:rsidRPr="0059374C">
        <w:rPr>
          <w:color w:val="000000" w:themeColor="text1"/>
        </w:rPr>
        <w:t>W</w:t>
      </w:r>
      <w:r w:rsidR="00487376" w:rsidRPr="0059374C">
        <w:rPr>
          <w:color w:val="000000" w:themeColor="text1"/>
        </w:rPr>
        <w:t>e believe a</w:t>
      </w:r>
      <w:r w:rsidR="00847BAC" w:rsidRPr="0059374C">
        <w:rPr>
          <w:color w:val="000000" w:themeColor="text1"/>
        </w:rPr>
        <w:t xml:space="preserve"> combination of</w:t>
      </w:r>
      <w:r w:rsidR="00487376" w:rsidRPr="0059374C">
        <w:rPr>
          <w:color w:val="000000" w:themeColor="text1"/>
        </w:rPr>
        <w:t xml:space="preserve"> policy options</w:t>
      </w:r>
      <w:r w:rsidR="00847BAC" w:rsidRPr="0059374C">
        <w:rPr>
          <w:color w:val="000000" w:themeColor="text1"/>
        </w:rPr>
        <w:t xml:space="preserve"> 2</w:t>
      </w:r>
      <w:r w:rsidR="00DB3264" w:rsidRPr="0059374C">
        <w:rPr>
          <w:rStyle w:val="FootnoteReference"/>
          <w:color w:val="000000" w:themeColor="text1"/>
        </w:rPr>
        <w:footnoteReference w:id="10"/>
      </w:r>
      <w:r w:rsidR="00847BAC" w:rsidRPr="0059374C">
        <w:rPr>
          <w:color w:val="000000" w:themeColor="text1"/>
        </w:rPr>
        <w:t xml:space="preserve"> </w:t>
      </w:r>
      <w:r w:rsidR="00487376" w:rsidRPr="0059374C">
        <w:rPr>
          <w:color w:val="000000" w:themeColor="text1"/>
        </w:rPr>
        <w:t>and</w:t>
      </w:r>
      <w:r w:rsidR="00847BAC" w:rsidRPr="0059374C">
        <w:rPr>
          <w:color w:val="000000" w:themeColor="text1"/>
        </w:rPr>
        <w:t xml:space="preserve"> 3</w:t>
      </w:r>
      <w:r w:rsidR="00DB3264" w:rsidRPr="0059374C">
        <w:rPr>
          <w:rStyle w:val="FootnoteReference"/>
          <w:color w:val="000000" w:themeColor="text1"/>
        </w:rPr>
        <w:footnoteReference w:id="11"/>
      </w:r>
      <w:r w:rsidR="00847BAC" w:rsidRPr="0059374C">
        <w:rPr>
          <w:color w:val="000000" w:themeColor="text1"/>
        </w:rPr>
        <w:t xml:space="preserve"> </w:t>
      </w:r>
      <w:r w:rsidR="00FE6A22" w:rsidRPr="0059374C">
        <w:rPr>
          <w:color w:val="000000" w:themeColor="text1"/>
        </w:rPr>
        <w:t>is</w:t>
      </w:r>
      <w:r w:rsidR="00847BAC" w:rsidRPr="0059374C">
        <w:rPr>
          <w:color w:val="000000" w:themeColor="text1"/>
        </w:rPr>
        <w:t xml:space="preserve"> possible and would enhance transparency.</w:t>
      </w:r>
    </w:p>
    <w:p w14:paraId="79C6CEB2" w14:textId="77777777" w:rsidR="00CF3EC9" w:rsidRDefault="00CF3EC9" w:rsidP="00E30F38">
      <w:pPr>
        <w:pStyle w:val="Bodycopy"/>
        <w:ind w:left="142"/>
      </w:pPr>
    </w:p>
    <w:p w14:paraId="437F8780" w14:textId="77777777" w:rsidR="005020DF" w:rsidRDefault="005020DF" w:rsidP="00E30F38">
      <w:pPr>
        <w:pStyle w:val="Bodycopy"/>
        <w:ind w:left="142"/>
      </w:pPr>
    </w:p>
    <w:p w14:paraId="14B8EDCA" w14:textId="77777777" w:rsidR="005020DF" w:rsidRDefault="005020DF" w:rsidP="00E30F38">
      <w:pPr>
        <w:pStyle w:val="Bodycopy"/>
        <w:ind w:left="142"/>
      </w:pPr>
    </w:p>
    <w:p w14:paraId="7CECB240" w14:textId="77777777" w:rsidR="005020DF" w:rsidRDefault="005020DF" w:rsidP="00E30F38">
      <w:pPr>
        <w:pStyle w:val="Bodycopy"/>
        <w:ind w:left="142"/>
      </w:pPr>
    </w:p>
    <w:p w14:paraId="6EDC7E06" w14:textId="77777777" w:rsidR="005020DF" w:rsidRDefault="005020DF" w:rsidP="00E30F38">
      <w:pPr>
        <w:pStyle w:val="Bodycopy"/>
        <w:ind w:left="142"/>
      </w:pPr>
    </w:p>
    <w:p w14:paraId="50D95251" w14:textId="77777777" w:rsidR="005020DF" w:rsidRDefault="005020DF" w:rsidP="00E30F38">
      <w:pPr>
        <w:pStyle w:val="Bodycopy"/>
        <w:ind w:left="142"/>
      </w:pPr>
    </w:p>
    <w:p w14:paraId="448ADA5D" w14:textId="77777777" w:rsidR="005020DF" w:rsidRDefault="005020DF" w:rsidP="00E30F38">
      <w:pPr>
        <w:pStyle w:val="Bodycopy"/>
        <w:ind w:left="142"/>
      </w:pPr>
    </w:p>
    <w:p w14:paraId="68CF4DBC" w14:textId="77777777" w:rsidR="005020DF" w:rsidRDefault="005020DF" w:rsidP="00E30F38">
      <w:pPr>
        <w:pStyle w:val="Bodycopy"/>
        <w:ind w:left="142"/>
      </w:pPr>
    </w:p>
    <w:p w14:paraId="5A45CA34" w14:textId="77777777" w:rsidR="005020DF" w:rsidRDefault="005020DF" w:rsidP="00E30F38">
      <w:pPr>
        <w:pStyle w:val="Bodycopy"/>
        <w:ind w:left="142"/>
      </w:pPr>
    </w:p>
    <w:p w14:paraId="2104AD8E" w14:textId="77777777" w:rsidR="005020DF" w:rsidRDefault="005020DF" w:rsidP="00E30F38">
      <w:pPr>
        <w:pStyle w:val="Bodycopy"/>
        <w:ind w:left="142"/>
      </w:pPr>
    </w:p>
    <w:p w14:paraId="7519BAF7" w14:textId="77777777" w:rsidR="005020DF" w:rsidRDefault="005020DF" w:rsidP="00E30F38">
      <w:pPr>
        <w:pStyle w:val="Bodycopy"/>
        <w:ind w:left="142"/>
      </w:pPr>
    </w:p>
    <w:p w14:paraId="1BC920CD" w14:textId="77777777" w:rsidR="005020DF" w:rsidRDefault="005020DF" w:rsidP="00E30F38">
      <w:pPr>
        <w:pStyle w:val="Bodycopy"/>
        <w:ind w:left="142"/>
      </w:pPr>
    </w:p>
    <w:p w14:paraId="633AAB2E" w14:textId="5855964A" w:rsidR="00E30F38" w:rsidRPr="006B58AE" w:rsidRDefault="00CF3EC9" w:rsidP="00E30F38">
      <w:pPr>
        <w:pStyle w:val="Mainheading"/>
        <w:ind w:left="142"/>
      </w:pPr>
      <w:r>
        <w:lastRenderedPageBreak/>
        <w:t>Transparency of merchant fees</w:t>
      </w:r>
    </w:p>
    <w:p w14:paraId="56B2E8B1" w14:textId="77777777" w:rsidR="00257970" w:rsidRDefault="00257970" w:rsidP="00257970">
      <w:pPr>
        <w:pStyle w:val="ListParagraph"/>
        <w:numPr>
          <w:ilvl w:val="0"/>
          <w:numId w:val="8"/>
        </w:numPr>
        <w:rPr>
          <w:rFonts w:ascii="Arial" w:hAnsi="Arial" w:cs="Arial"/>
          <w:noProof/>
          <w:color w:val="000000" w:themeColor="text1"/>
        </w:rPr>
      </w:pPr>
      <w:r w:rsidRPr="00257970">
        <w:rPr>
          <w:rFonts w:ascii="Arial" w:hAnsi="Arial" w:cs="Arial"/>
          <w:noProof/>
          <w:color w:val="000000" w:themeColor="text1"/>
        </w:rPr>
        <w:t>Does the proposed requirement for acquirers to publish their merchants’ cost of acceptance enhance competition and efficiency by helping merchants search for a better plan? In particular, the RBA welcomes feedback on:</w:t>
      </w:r>
    </w:p>
    <w:p w14:paraId="6E5F691D" w14:textId="77777777" w:rsidR="00257970" w:rsidRDefault="00257970" w:rsidP="00257970">
      <w:pPr>
        <w:pStyle w:val="ListParagraph"/>
        <w:numPr>
          <w:ilvl w:val="1"/>
          <w:numId w:val="8"/>
        </w:numPr>
        <w:rPr>
          <w:rFonts w:ascii="Arial" w:hAnsi="Arial" w:cs="Arial"/>
          <w:noProof/>
          <w:color w:val="000000" w:themeColor="text1"/>
        </w:rPr>
      </w:pPr>
      <w:r w:rsidRPr="00257970">
        <w:rPr>
          <w:rFonts w:ascii="Arial" w:hAnsi="Arial" w:cs="Arial"/>
          <w:noProof/>
          <w:color w:val="000000" w:themeColor="text1"/>
        </w:rPr>
        <w:t>whether the size threshold for acquirers is appropriate</w:t>
      </w:r>
    </w:p>
    <w:p w14:paraId="1A42E741" w14:textId="77777777" w:rsidR="00257970" w:rsidRDefault="00257970" w:rsidP="00257970">
      <w:pPr>
        <w:pStyle w:val="ListParagraph"/>
        <w:numPr>
          <w:ilvl w:val="1"/>
          <w:numId w:val="8"/>
        </w:numPr>
        <w:rPr>
          <w:rFonts w:ascii="Arial" w:hAnsi="Arial" w:cs="Arial"/>
          <w:noProof/>
          <w:color w:val="000000" w:themeColor="text1"/>
        </w:rPr>
      </w:pPr>
      <w:r w:rsidRPr="00257970">
        <w:rPr>
          <w:rFonts w:ascii="Arial" w:hAnsi="Arial" w:cs="Arial"/>
          <w:noProof/>
          <w:color w:val="000000" w:themeColor="text1"/>
        </w:rPr>
        <w:t>whether the category breakdowns (merchant size and card type) are likely to be useful to merchants without compromising commercial sensitivity</w:t>
      </w:r>
    </w:p>
    <w:p w14:paraId="72AB5207" w14:textId="77777777" w:rsidR="00257970" w:rsidRDefault="00257970" w:rsidP="00257970">
      <w:pPr>
        <w:pStyle w:val="ListParagraph"/>
        <w:numPr>
          <w:ilvl w:val="1"/>
          <w:numId w:val="8"/>
        </w:numPr>
        <w:rPr>
          <w:rFonts w:ascii="Arial" w:hAnsi="Arial" w:cs="Arial"/>
          <w:noProof/>
          <w:color w:val="000000" w:themeColor="text1"/>
        </w:rPr>
      </w:pPr>
      <w:r w:rsidRPr="00257970">
        <w:rPr>
          <w:rFonts w:ascii="Arial" w:hAnsi="Arial" w:cs="Arial"/>
          <w:noProof/>
          <w:color w:val="000000" w:themeColor="text1"/>
        </w:rPr>
        <w:t>whether the quarterly frequency of publication is appropriate</w:t>
      </w:r>
    </w:p>
    <w:p w14:paraId="33381DF7" w14:textId="77777777" w:rsidR="00F537C7" w:rsidRDefault="00257970" w:rsidP="00F537C7">
      <w:pPr>
        <w:pStyle w:val="ListParagraph"/>
        <w:numPr>
          <w:ilvl w:val="1"/>
          <w:numId w:val="8"/>
        </w:numPr>
        <w:rPr>
          <w:rFonts w:ascii="Arial" w:hAnsi="Arial" w:cs="Arial"/>
          <w:noProof/>
          <w:color w:val="000000" w:themeColor="text1"/>
        </w:rPr>
      </w:pPr>
      <w:r w:rsidRPr="00257970">
        <w:rPr>
          <w:rFonts w:ascii="Arial" w:hAnsi="Arial" w:cs="Arial"/>
          <w:noProof/>
          <w:color w:val="000000" w:themeColor="text1"/>
        </w:rPr>
        <w:t xml:space="preserve">what an appropriate implementation timeline would be. </w:t>
      </w:r>
    </w:p>
    <w:p w14:paraId="67ECB6F9" w14:textId="221C7885" w:rsidR="0059374C" w:rsidRDefault="00487376" w:rsidP="005020DF">
      <w:pPr>
        <w:spacing w:before="240"/>
        <w:ind w:left="142"/>
        <w:rPr>
          <w:rFonts w:ascii="Arial" w:hAnsi="Arial" w:cs="Arial"/>
          <w:color w:val="000000" w:themeColor="text1"/>
          <w:sz w:val="20"/>
          <w:szCs w:val="20"/>
        </w:rPr>
      </w:pPr>
      <w:r w:rsidRPr="00AB031E">
        <w:rPr>
          <w:rFonts w:ascii="Arial" w:hAnsi="Arial" w:cs="Arial"/>
          <w:color w:val="000000" w:themeColor="text1"/>
          <w:sz w:val="20"/>
          <w:szCs w:val="20"/>
        </w:rPr>
        <w:t>MYOB agrees with the PSB’s assessment and supports policy options 2</w:t>
      </w:r>
      <w:r w:rsidR="00175A82">
        <w:rPr>
          <w:rStyle w:val="FootnoteReference"/>
          <w:rFonts w:ascii="Arial" w:hAnsi="Arial" w:cs="Arial"/>
          <w:color w:val="000000" w:themeColor="text1"/>
          <w:sz w:val="20"/>
          <w:szCs w:val="20"/>
        </w:rPr>
        <w:footnoteReference w:id="12"/>
      </w:r>
      <w:r w:rsidRPr="00AB031E">
        <w:rPr>
          <w:rFonts w:ascii="Arial" w:hAnsi="Arial" w:cs="Arial"/>
          <w:color w:val="000000" w:themeColor="text1"/>
          <w:sz w:val="20"/>
          <w:szCs w:val="20"/>
        </w:rPr>
        <w:t xml:space="preserve"> and 3</w:t>
      </w:r>
      <w:r w:rsidR="00175A82">
        <w:rPr>
          <w:rStyle w:val="FootnoteReference"/>
          <w:rFonts w:ascii="Arial" w:hAnsi="Arial" w:cs="Arial"/>
          <w:color w:val="000000" w:themeColor="text1"/>
          <w:sz w:val="20"/>
          <w:szCs w:val="20"/>
        </w:rPr>
        <w:footnoteReference w:id="13"/>
      </w:r>
      <w:r w:rsidRPr="00AB031E">
        <w:rPr>
          <w:rFonts w:ascii="Arial" w:hAnsi="Arial" w:cs="Arial"/>
          <w:color w:val="000000" w:themeColor="text1"/>
          <w:sz w:val="20"/>
          <w:szCs w:val="20"/>
        </w:rPr>
        <w:t xml:space="preserve">. While </w:t>
      </w:r>
      <w:r w:rsidR="00AB031E">
        <w:rPr>
          <w:rFonts w:ascii="Arial" w:hAnsi="Arial" w:cs="Arial"/>
          <w:color w:val="000000" w:themeColor="text1"/>
          <w:sz w:val="20"/>
          <w:szCs w:val="20"/>
        </w:rPr>
        <w:t>not against</w:t>
      </w:r>
      <w:r w:rsidRPr="00AB031E">
        <w:rPr>
          <w:rFonts w:ascii="Arial" w:hAnsi="Arial" w:cs="Arial"/>
          <w:color w:val="000000" w:themeColor="text1"/>
          <w:sz w:val="20"/>
          <w:szCs w:val="20"/>
        </w:rPr>
        <w:t xml:space="preserve"> option 4</w:t>
      </w:r>
      <w:r w:rsidR="00175A82">
        <w:rPr>
          <w:rStyle w:val="FootnoteReference"/>
          <w:rFonts w:ascii="Arial" w:hAnsi="Arial" w:cs="Arial"/>
          <w:color w:val="000000" w:themeColor="text1"/>
          <w:sz w:val="20"/>
          <w:szCs w:val="20"/>
        </w:rPr>
        <w:footnoteReference w:id="14"/>
      </w:r>
      <w:r w:rsidRPr="00AB031E">
        <w:rPr>
          <w:rFonts w:ascii="Arial" w:hAnsi="Arial" w:cs="Arial"/>
          <w:color w:val="000000" w:themeColor="text1"/>
          <w:sz w:val="20"/>
          <w:szCs w:val="20"/>
        </w:rPr>
        <w:t xml:space="preserve">, we are sceptical of the benefits when weighed against the costs to establish a comparison tool and maintain it for accuracy. </w:t>
      </w:r>
      <w:r w:rsidR="00AB031E" w:rsidRPr="00AB031E">
        <w:rPr>
          <w:rFonts w:ascii="Arial" w:hAnsi="Arial" w:cs="Arial"/>
          <w:color w:val="000000" w:themeColor="text1"/>
          <w:sz w:val="20"/>
          <w:szCs w:val="20"/>
        </w:rPr>
        <w:t>We do not believe a comparison tool would garner more interest from merchants, nor provide greater benefit (when weighed against cost) than simply publishing costs.</w:t>
      </w:r>
    </w:p>
    <w:p w14:paraId="7CF988D2" w14:textId="22E81F90" w:rsidR="00CA1CF1" w:rsidRPr="00AB031E" w:rsidRDefault="00487376" w:rsidP="00CA1CF1">
      <w:pPr>
        <w:pStyle w:val="ListParagraph"/>
        <w:numPr>
          <w:ilvl w:val="0"/>
          <w:numId w:val="9"/>
        </w:numPr>
        <w:spacing w:before="240"/>
        <w:rPr>
          <w:rFonts w:ascii="Arial" w:hAnsi="Arial" w:cs="Arial"/>
          <w:noProof/>
          <w:color w:val="000000" w:themeColor="text1"/>
          <w:sz w:val="20"/>
          <w:szCs w:val="20"/>
        </w:rPr>
      </w:pPr>
      <w:r w:rsidRPr="00AB031E">
        <w:rPr>
          <w:rFonts w:ascii="Arial" w:hAnsi="Arial" w:cs="Arial"/>
          <w:noProof/>
          <w:color w:val="000000" w:themeColor="text1"/>
          <w:sz w:val="20"/>
          <w:szCs w:val="20"/>
        </w:rPr>
        <w:t>Y</w:t>
      </w:r>
      <w:r w:rsidR="00CA1CF1" w:rsidRPr="00AB031E">
        <w:rPr>
          <w:rFonts w:ascii="Arial" w:hAnsi="Arial" w:cs="Arial"/>
          <w:noProof/>
          <w:color w:val="000000" w:themeColor="text1"/>
          <w:sz w:val="20"/>
          <w:szCs w:val="20"/>
        </w:rPr>
        <w:t>es</w:t>
      </w:r>
      <w:r w:rsidRPr="00AB031E">
        <w:rPr>
          <w:rFonts w:ascii="Arial" w:hAnsi="Arial" w:cs="Arial"/>
          <w:noProof/>
          <w:color w:val="000000" w:themeColor="text1"/>
          <w:sz w:val="20"/>
          <w:szCs w:val="20"/>
        </w:rPr>
        <w:t>, the size threshold is appropriate.</w:t>
      </w:r>
    </w:p>
    <w:p w14:paraId="07876776" w14:textId="6ECC6C8A" w:rsidR="00CA1CF1" w:rsidRPr="00AB031E" w:rsidRDefault="00487376" w:rsidP="00CA1CF1">
      <w:pPr>
        <w:pStyle w:val="ListParagraph"/>
        <w:numPr>
          <w:ilvl w:val="0"/>
          <w:numId w:val="9"/>
        </w:numPr>
        <w:spacing w:before="240"/>
        <w:rPr>
          <w:rFonts w:ascii="Arial" w:hAnsi="Arial" w:cs="Arial"/>
          <w:noProof/>
          <w:color w:val="000000" w:themeColor="text1"/>
          <w:sz w:val="20"/>
          <w:szCs w:val="20"/>
        </w:rPr>
      </w:pPr>
      <w:r w:rsidRPr="00AB031E">
        <w:rPr>
          <w:rFonts w:ascii="Arial" w:hAnsi="Arial" w:cs="Arial"/>
          <w:noProof/>
          <w:color w:val="000000" w:themeColor="text1"/>
          <w:sz w:val="20"/>
          <w:szCs w:val="20"/>
        </w:rPr>
        <w:t>Y</w:t>
      </w:r>
      <w:r w:rsidR="00CA1CF1" w:rsidRPr="00AB031E">
        <w:rPr>
          <w:rFonts w:ascii="Arial" w:hAnsi="Arial" w:cs="Arial"/>
          <w:noProof/>
          <w:color w:val="000000" w:themeColor="text1"/>
          <w:sz w:val="20"/>
          <w:szCs w:val="20"/>
        </w:rPr>
        <w:t>es</w:t>
      </w:r>
      <w:r w:rsidRPr="00AB031E">
        <w:rPr>
          <w:rFonts w:ascii="Arial" w:hAnsi="Arial" w:cs="Arial"/>
          <w:noProof/>
          <w:color w:val="000000" w:themeColor="text1"/>
          <w:sz w:val="20"/>
          <w:szCs w:val="20"/>
        </w:rPr>
        <w:t>. We believe category breakdown</w:t>
      </w:r>
      <w:r w:rsidR="00CA1CF1" w:rsidRPr="00AB031E">
        <w:rPr>
          <w:rFonts w:ascii="Arial" w:hAnsi="Arial" w:cs="Arial"/>
          <w:noProof/>
          <w:color w:val="000000" w:themeColor="text1"/>
          <w:sz w:val="20"/>
          <w:szCs w:val="20"/>
        </w:rPr>
        <w:t xml:space="preserve"> will be useful</w:t>
      </w:r>
      <w:r w:rsidR="00EF09F9" w:rsidRPr="00AB031E">
        <w:rPr>
          <w:rFonts w:ascii="Arial" w:hAnsi="Arial" w:cs="Arial"/>
          <w:noProof/>
          <w:color w:val="000000" w:themeColor="text1"/>
          <w:sz w:val="20"/>
          <w:szCs w:val="20"/>
        </w:rPr>
        <w:t xml:space="preserve"> </w:t>
      </w:r>
      <w:r w:rsidRPr="00AB031E">
        <w:rPr>
          <w:rFonts w:ascii="Arial" w:hAnsi="Arial" w:cs="Arial"/>
          <w:noProof/>
          <w:color w:val="000000" w:themeColor="text1"/>
          <w:sz w:val="20"/>
          <w:szCs w:val="20"/>
        </w:rPr>
        <w:t>to merchants a</w:t>
      </w:r>
      <w:r w:rsidR="00EF09F9" w:rsidRPr="00AB031E">
        <w:rPr>
          <w:rFonts w:ascii="Arial" w:hAnsi="Arial" w:cs="Arial"/>
          <w:noProof/>
          <w:color w:val="000000" w:themeColor="text1"/>
          <w:sz w:val="20"/>
          <w:szCs w:val="20"/>
        </w:rPr>
        <w:t>nd w</w:t>
      </w:r>
      <w:r w:rsidRPr="00AB031E">
        <w:rPr>
          <w:rFonts w:ascii="Arial" w:hAnsi="Arial" w:cs="Arial"/>
          <w:noProof/>
          <w:color w:val="000000" w:themeColor="text1"/>
          <w:sz w:val="20"/>
          <w:szCs w:val="20"/>
        </w:rPr>
        <w:t xml:space="preserve">ill not </w:t>
      </w:r>
      <w:r w:rsidR="00EF09F9" w:rsidRPr="00AB031E">
        <w:rPr>
          <w:rFonts w:ascii="Arial" w:hAnsi="Arial" w:cs="Arial"/>
          <w:noProof/>
          <w:color w:val="000000" w:themeColor="text1"/>
          <w:sz w:val="20"/>
          <w:szCs w:val="20"/>
        </w:rPr>
        <w:t>compromise commercial</w:t>
      </w:r>
      <w:r w:rsidRPr="00AB031E">
        <w:rPr>
          <w:rFonts w:ascii="Arial" w:hAnsi="Arial" w:cs="Arial"/>
          <w:noProof/>
          <w:color w:val="000000" w:themeColor="text1"/>
          <w:sz w:val="20"/>
          <w:szCs w:val="20"/>
        </w:rPr>
        <w:t xml:space="preserve"> sensitivity.</w:t>
      </w:r>
      <w:r w:rsidR="00EF09F9" w:rsidRPr="00AB031E">
        <w:rPr>
          <w:rFonts w:ascii="Arial" w:hAnsi="Arial" w:cs="Arial"/>
          <w:noProof/>
          <w:color w:val="000000" w:themeColor="text1"/>
          <w:sz w:val="20"/>
          <w:szCs w:val="20"/>
        </w:rPr>
        <w:t xml:space="preserve"> </w:t>
      </w:r>
    </w:p>
    <w:p w14:paraId="4B4C9C31" w14:textId="0B6D53C2" w:rsidR="00EF09F9" w:rsidRPr="00AB031E" w:rsidRDefault="00487376" w:rsidP="00CA1CF1">
      <w:pPr>
        <w:pStyle w:val="ListParagraph"/>
        <w:numPr>
          <w:ilvl w:val="0"/>
          <w:numId w:val="9"/>
        </w:numPr>
        <w:spacing w:before="240"/>
        <w:rPr>
          <w:rFonts w:ascii="Arial" w:hAnsi="Arial" w:cs="Arial"/>
          <w:noProof/>
          <w:color w:val="000000" w:themeColor="text1"/>
          <w:sz w:val="20"/>
          <w:szCs w:val="20"/>
        </w:rPr>
      </w:pPr>
      <w:r w:rsidRPr="00AB031E">
        <w:rPr>
          <w:rFonts w:ascii="Arial" w:hAnsi="Arial" w:cs="Arial"/>
          <w:noProof/>
          <w:color w:val="000000" w:themeColor="text1"/>
          <w:sz w:val="20"/>
          <w:szCs w:val="20"/>
        </w:rPr>
        <w:t>Y</w:t>
      </w:r>
      <w:r w:rsidR="00EF09F9" w:rsidRPr="00AB031E">
        <w:rPr>
          <w:rFonts w:ascii="Arial" w:hAnsi="Arial" w:cs="Arial"/>
          <w:noProof/>
          <w:color w:val="000000" w:themeColor="text1"/>
          <w:sz w:val="20"/>
          <w:szCs w:val="20"/>
        </w:rPr>
        <w:t>es</w:t>
      </w:r>
      <w:r w:rsidRPr="00AB031E">
        <w:rPr>
          <w:rFonts w:ascii="Arial" w:hAnsi="Arial" w:cs="Arial"/>
          <w:noProof/>
          <w:color w:val="000000" w:themeColor="text1"/>
          <w:sz w:val="20"/>
          <w:szCs w:val="20"/>
        </w:rPr>
        <w:t>, this frequency is appropriate.</w:t>
      </w:r>
    </w:p>
    <w:p w14:paraId="720DB7F9" w14:textId="5E62DD71" w:rsidR="00EF09F9" w:rsidRPr="00AB031E" w:rsidRDefault="00487376" w:rsidP="00CA1CF1">
      <w:pPr>
        <w:pStyle w:val="ListParagraph"/>
        <w:numPr>
          <w:ilvl w:val="0"/>
          <w:numId w:val="9"/>
        </w:numPr>
        <w:spacing w:before="240"/>
        <w:rPr>
          <w:rFonts w:ascii="Arial" w:hAnsi="Arial" w:cs="Arial"/>
          <w:noProof/>
          <w:color w:val="000000" w:themeColor="text1"/>
          <w:sz w:val="20"/>
          <w:szCs w:val="20"/>
        </w:rPr>
      </w:pPr>
      <w:r w:rsidRPr="00AB031E">
        <w:rPr>
          <w:rFonts w:ascii="Arial" w:hAnsi="Arial" w:cs="Arial"/>
          <w:noProof/>
          <w:color w:val="000000" w:themeColor="text1"/>
          <w:sz w:val="20"/>
          <w:szCs w:val="20"/>
        </w:rPr>
        <w:t>F</w:t>
      </w:r>
      <w:r w:rsidR="001E6A32" w:rsidRPr="00AB031E">
        <w:rPr>
          <w:rFonts w:ascii="Arial" w:hAnsi="Arial" w:cs="Arial"/>
          <w:noProof/>
          <w:color w:val="000000" w:themeColor="text1"/>
          <w:sz w:val="20"/>
          <w:szCs w:val="20"/>
        </w:rPr>
        <w:t xml:space="preserve">or </w:t>
      </w:r>
      <w:r w:rsidRPr="00AB031E">
        <w:rPr>
          <w:rFonts w:ascii="Arial" w:hAnsi="Arial" w:cs="Arial"/>
          <w:noProof/>
          <w:color w:val="000000" w:themeColor="text1"/>
          <w:sz w:val="20"/>
          <w:szCs w:val="20"/>
        </w:rPr>
        <w:t xml:space="preserve">policy options </w:t>
      </w:r>
      <w:r w:rsidR="001E6A32" w:rsidRPr="00AB031E">
        <w:rPr>
          <w:rFonts w:ascii="Arial" w:hAnsi="Arial" w:cs="Arial"/>
          <w:noProof/>
          <w:color w:val="000000" w:themeColor="text1"/>
          <w:sz w:val="20"/>
          <w:szCs w:val="20"/>
        </w:rPr>
        <w:t xml:space="preserve">2 </w:t>
      </w:r>
      <w:r w:rsidRPr="00AB031E">
        <w:rPr>
          <w:rFonts w:ascii="Arial" w:hAnsi="Arial" w:cs="Arial"/>
          <w:noProof/>
          <w:color w:val="000000" w:themeColor="text1"/>
          <w:sz w:val="20"/>
          <w:szCs w:val="20"/>
        </w:rPr>
        <w:t>and</w:t>
      </w:r>
      <w:r w:rsidR="001E6A32" w:rsidRPr="00AB031E">
        <w:rPr>
          <w:rFonts w:ascii="Arial" w:hAnsi="Arial" w:cs="Arial"/>
          <w:noProof/>
          <w:color w:val="000000" w:themeColor="text1"/>
          <w:sz w:val="20"/>
          <w:szCs w:val="20"/>
        </w:rPr>
        <w:t xml:space="preserve"> 3</w:t>
      </w:r>
      <w:r w:rsidRPr="00AB031E">
        <w:rPr>
          <w:rFonts w:ascii="Arial" w:hAnsi="Arial" w:cs="Arial"/>
          <w:noProof/>
          <w:color w:val="000000" w:themeColor="text1"/>
          <w:sz w:val="20"/>
          <w:szCs w:val="20"/>
        </w:rPr>
        <w:t>:</w:t>
      </w:r>
      <w:r w:rsidR="001E6A32" w:rsidRPr="00AB031E">
        <w:rPr>
          <w:rFonts w:ascii="Arial" w:hAnsi="Arial" w:cs="Arial"/>
          <w:noProof/>
          <w:color w:val="000000" w:themeColor="text1"/>
          <w:sz w:val="20"/>
          <w:szCs w:val="20"/>
        </w:rPr>
        <w:t xml:space="preserve"> immediately. </w:t>
      </w:r>
      <w:r w:rsidRPr="00AB031E">
        <w:rPr>
          <w:rFonts w:ascii="Arial" w:hAnsi="Arial" w:cs="Arial"/>
          <w:noProof/>
          <w:color w:val="000000" w:themeColor="text1"/>
          <w:sz w:val="20"/>
          <w:szCs w:val="20"/>
        </w:rPr>
        <w:t>Should policy option</w:t>
      </w:r>
      <w:r w:rsidR="001E6A32" w:rsidRPr="00AB031E">
        <w:rPr>
          <w:rFonts w:ascii="Arial" w:hAnsi="Arial" w:cs="Arial"/>
          <w:noProof/>
          <w:color w:val="000000" w:themeColor="text1"/>
          <w:sz w:val="20"/>
          <w:szCs w:val="20"/>
        </w:rPr>
        <w:t xml:space="preserve"> 4</w:t>
      </w:r>
      <w:r w:rsidRPr="00AB031E">
        <w:rPr>
          <w:rFonts w:ascii="Arial" w:hAnsi="Arial" w:cs="Arial"/>
          <w:noProof/>
          <w:color w:val="000000" w:themeColor="text1"/>
          <w:sz w:val="20"/>
          <w:szCs w:val="20"/>
        </w:rPr>
        <w:t xml:space="preserve"> be considered then we would recommend</w:t>
      </w:r>
      <w:r w:rsidR="009B106C">
        <w:rPr>
          <w:rFonts w:ascii="Arial" w:hAnsi="Arial" w:cs="Arial"/>
          <w:noProof/>
          <w:color w:val="000000" w:themeColor="text1"/>
          <w:sz w:val="20"/>
          <w:szCs w:val="20"/>
        </w:rPr>
        <w:t>18-24 months..</w:t>
      </w:r>
    </w:p>
    <w:p w14:paraId="50AF7BA0" w14:textId="5117E5E7" w:rsidR="00257970" w:rsidRDefault="00257970" w:rsidP="00257970">
      <w:pPr>
        <w:rPr>
          <w:rFonts w:ascii="Arial" w:hAnsi="Arial" w:cs="Arial"/>
          <w:noProof/>
          <w:color w:val="000000" w:themeColor="text1"/>
        </w:rPr>
      </w:pPr>
    </w:p>
    <w:p w14:paraId="6AA8C457" w14:textId="77777777" w:rsidR="00257970" w:rsidRDefault="00257970" w:rsidP="00257970">
      <w:pPr>
        <w:pStyle w:val="ListParagraph"/>
        <w:numPr>
          <w:ilvl w:val="0"/>
          <w:numId w:val="8"/>
        </w:numPr>
        <w:rPr>
          <w:rFonts w:ascii="Arial" w:hAnsi="Arial" w:cs="Arial"/>
          <w:noProof/>
          <w:color w:val="000000" w:themeColor="text1"/>
        </w:rPr>
      </w:pPr>
      <w:r w:rsidRPr="00257970">
        <w:rPr>
          <w:rFonts w:ascii="Arial" w:hAnsi="Arial" w:cs="Arial"/>
          <w:noProof/>
          <w:color w:val="000000" w:themeColor="text1"/>
        </w:rPr>
        <w:t>Does the proposal to amend the cost of acceptance reporting on merchant statements to include a breakdown for domestic and international cards promote competition by helping merchants receive more information about the fees they pay? Is there a public interest case to exempt taxi fares from this requirement?</w:t>
      </w:r>
    </w:p>
    <w:p w14:paraId="457802A1" w14:textId="5DC32678" w:rsidR="00257970" w:rsidRDefault="006C5986" w:rsidP="00E228D7">
      <w:pPr>
        <w:pStyle w:val="Bodycopy"/>
        <w:spacing w:before="240"/>
        <w:ind w:left="142"/>
        <w:rPr>
          <w:color w:val="000000" w:themeColor="text1"/>
        </w:rPr>
      </w:pPr>
      <w:r w:rsidRPr="00AB031E">
        <w:rPr>
          <w:color w:val="000000" w:themeColor="text1"/>
        </w:rPr>
        <w:t xml:space="preserve">Yes, we believe </w:t>
      </w:r>
      <w:r w:rsidR="00AB031E" w:rsidRPr="00AB031E">
        <w:rPr>
          <w:color w:val="000000" w:themeColor="text1"/>
        </w:rPr>
        <w:t>the proposal promotes competition through the provision of more information.</w:t>
      </w:r>
    </w:p>
    <w:p w14:paraId="587B039F" w14:textId="77777777" w:rsidR="002209C2" w:rsidRDefault="002209C2" w:rsidP="00E228D7">
      <w:pPr>
        <w:pStyle w:val="Bodycopy"/>
        <w:spacing w:before="240"/>
        <w:ind w:left="142"/>
        <w:rPr>
          <w:color w:val="000000" w:themeColor="text1"/>
        </w:rPr>
      </w:pPr>
    </w:p>
    <w:p w14:paraId="7197A69B" w14:textId="77777777" w:rsidR="002209C2" w:rsidRDefault="002209C2" w:rsidP="00E228D7">
      <w:pPr>
        <w:pStyle w:val="Bodycopy"/>
        <w:spacing w:before="240"/>
        <w:ind w:left="142"/>
        <w:rPr>
          <w:color w:val="000000" w:themeColor="text1"/>
        </w:rPr>
      </w:pPr>
    </w:p>
    <w:p w14:paraId="1BFD920E" w14:textId="77777777" w:rsidR="002209C2" w:rsidRDefault="002209C2" w:rsidP="002209C2">
      <w:pPr>
        <w:pStyle w:val="Mainheading"/>
        <w:ind w:left="142"/>
      </w:pPr>
      <w:r>
        <w:t>Least-cost routing of debit card transactions</w:t>
      </w:r>
    </w:p>
    <w:p w14:paraId="69D8DFED" w14:textId="77777777" w:rsidR="002209C2" w:rsidRDefault="002209C2" w:rsidP="002209C2">
      <w:pPr>
        <w:pStyle w:val="Subhead-2"/>
        <w:numPr>
          <w:ilvl w:val="0"/>
          <w:numId w:val="8"/>
        </w:numPr>
        <w:rPr>
          <w:noProof/>
        </w:rPr>
      </w:pPr>
      <w:r w:rsidRPr="00A02202">
        <w:rPr>
          <w:noProof/>
        </w:rPr>
        <w:t>Are there any changes that should be made to the RBA’s existing industry expectation on LCR implementation to improve competition and efficiency in the debit card market?</w:t>
      </w:r>
      <w:r>
        <w:rPr>
          <w:noProof/>
        </w:rPr>
        <w:t xml:space="preserve"> </w:t>
      </w:r>
    </w:p>
    <w:p w14:paraId="401373D2" w14:textId="77777777" w:rsidR="002209C2" w:rsidRPr="00400B47" w:rsidRDefault="002209C2" w:rsidP="002209C2">
      <w:pPr>
        <w:pStyle w:val="Bodycopy"/>
        <w:ind w:left="142"/>
        <w:rPr>
          <w:noProof/>
          <w:color w:val="000000" w:themeColor="text1"/>
        </w:rPr>
      </w:pPr>
      <w:r w:rsidRPr="00400B47">
        <w:rPr>
          <w:color w:val="000000" w:themeColor="text1"/>
        </w:rPr>
        <w:t>MYOB supports policy option 2</w:t>
      </w:r>
      <w:r>
        <w:rPr>
          <w:rStyle w:val="FootnoteReference"/>
          <w:color w:val="000000" w:themeColor="text1"/>
        </w:rPr>
        <w:footnoteReference w:id="15"/>
      </w:r>
      <w:r w:rsidRPr="00400B47">
        <w:rPr>
          <w:color w:val="000000" w:themeColor="text1"/>
        </w:rPr>
        <w:t>, however we note concerns that EFTPOS may not have the functionality required for some merchants. We believe a requirement to move to dynamic LCR (option 3</w:t>
      </w:r>
      <w:r>
        <w:rPr>
          <w:rStyle w:val="FootnoteReference"/>
          <w:color w:val="000000" w:themeColor="text1"/>
        </w:rPr>
        <w:footnoteReference w:id="16"/>
      </w:r>
      <w:r w:rsidRPr="00400B47">
        <w:rPr>
          <w:color w:val="000000" w:themeColor="text1"/>
        </w:rPr>
        <w:t>) would be an expensive outcome and so would rank this option last.</w:t>
      </w:r>
    </w:p>
    <w:p w14:paraId="4333241F" w14:textId="77777777" w:rsidR="002209C2" w:rsidRPr="00AB031E" w:rsidRDefault="002209C2" w:rsidP="00E228D7">
      <w:pPr>
        <w:pStyle w:val="Bodycopy"/>
        <w:spacing w:before="240"/>
        <w:ind w:left="142"/>
        <w:rPr>
          <w:color w:val="000000" w:themeColor="text1"/>
        </w:rPr>
      </w:pPr>
    </w:p>
    <w:p w14:paraId="3F0F4D3F" w14:textId="77777777" w:rsidR="007B48DF" w:rsidRDefault="007B48DF" w:rsidP="00257970">
      <w:pPr>
        <w:ind w:left="142"/>
        <w:rPr>
          <w:rFonts w:ascii="Arial" w:hAnsi="Arial" w:cs="Arial"/>
          <w:noProof/>
          <w:color w:val="000000" w:themeColor="text1"/>
        </w:rPr>
      </w:pPr>
    </w:p>
    <w:p w14:paraId="43DCD4F6" w14:textId="77777777" w:rsidR="00413622" w:rsidRDefault="00413622" w:rsidP="00DB651A">
      <w:pPr>
        <w:pStyle w:val="Mainheading"/>
      </w:pPr>
    </w:p>
    <w:p w14:paraId="51372A5E" w14:textId="77777777" w:rsidR="002209C2" w:rsidRDefault="002209C2" w:rsidP="00DB651A">
      <w:pPr>
        <w:pStyle w:val="Mainheading"/>
      </w:pPr>
    </w:p>
    <w:p w14:paraId="49EF6FC0" w14:textId="77777777" w:rsidR="002209C2" w:rsidRDefault="002209C2" w:rsidP="00DB651A">
      <w:pPr>
        <w:pStyle w:val="Mainheading"/>
      </w:pPr>
    </w:p>
    <w:p w14:paraId="4BE40479" w14:textId="77777777" w:rsidR="002209C2" w:rsidRDefault="002209C2" w:rsidP="00DB651A">
      <w:pPr>
        <w:pStyle w:val="Mainheading"/>
      </w:pPr>
    </w:p>
    <w:p w14:paraId="77B541BA" w14:textId="77777777" w:rsidR="002209C2" w:rsidRDefault="002209C2" w:rsidP="00DB651A">
      <w:pPr>
        <w:pStyle w:val="Mainheading"/>
      </w:pPr>
    </w:p>
    <w:p w14:paraId="53AD54D1" w14:textId="77777777" w:rsidR="002209C2" w:rsidRDefault="002209C2" w:rsidP="00DB651A">
      <w:pPr>
        <w:pStyle w:val="Mainheading"/>
      </w:pPr>
    </w:p>
    <w:p w14:paraId="5F6ABB99" w14:textId="77777777" w:rsidR="002209C2" w:rsidRDefault="002209C2" w:rsidP="00DB651A">
      <w:pPr>
        <w:pStyle w:val="Mainheading"/>
      </w:pPr>
    </w:p>
    <w:p w14:paraId="0328D769" w14:textId="77777777" w:rsidR="002209C2" w:rsidRDefault="002209C2" w:rsidP="00DB651A">
      <w:pPr>
        <w:pStyle w:val="Mainheading"/>
      </w:pPr>
    </w:p>
    <w:p w14:paraId="365A5779" w14:textId="77777777" w:rsidR="002209C2" w:rsidRDefault="002209C2" w:rsidP="00DB651A">
      <w:pPr>
        <w:pStyle w:val="Mainheading"/>
      </w:pPr>
    </w:p>
    <w:p w14:paraId="5650C7DC" w14:textId="77777777" w:rsidR="002209C2" w:rsidRDefault="002209C2" w:rsidP="00DB651A">
      <w:pPr>
        <w:pStyle w:val="Mainheading"/>
      </w:pPr>
    </w:p>
    <w:p w14:paraId="5A5CF01D" w14:textId="77777777" w:rsidR="00413622" w:rsidRDefault="00413622" w:rsidP="00E228D7">
      <w:pPr>
        <w:pStyle w:val="Mainheading"/>
        <w:ind w:left="142"/>
      </w:pPr>
    </w:p>
    <w:p w14:paraId="64CC0DB6" w14:textId="4602BEEB" w:rsidR="00FC346A" w:rsidRPr="00DB651A" w:rsidRDefault="0001031A" w:rsidP="00DB651A">
      <w:pPr>
        <w:rPr>
          <w:rFonts w:ascii="Arial" w:hAnsi="Arial" w:cs="Arial"/>
          <w:noProof/>
          <w:color w:val="000000" w:themeColor="text1"/>
        </w:rPr>
      </w:pPr>
      <w:r>
        <w:rPr>
          <w:rFonts w:ascii="Arial" w:hAnsi="Arial" w:cs="Arial"/>
          <w:noProof/>
        </w:rPr>
        <w:drawing>
          <wp:anchor distT="0" distB="0" distL="114300" distR="114300" simplePos="0" relativeHeight="251658241" behindDoc="1" locked="0" layoutInCell="1" allowOverlap="1" wp14:anchorId="0E0E7D61" wp14:editId="7B5299FD">
            <wp:simplePos x="0" y="0"/>
            <wp:positionH relativeFrom="page">
              <wp:posOffset>-36195</wp:posOffset>
            </wp:positionH>
            <wp:positionV relativeFrom="page">
              <wp:posOffset>10744200</wp:posOffset>
            </wp:positionV>
            <wp:extent cx="7595870" cy="10791825"/>
            <wp:effectExtent l="0" t="0" r="0" b="3175"/>
            <wp:wrapNone/>
            <wp:docPr id="110687348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309207" name="Picture 434309207"/>
                    <pic:cNvPicPr/>
                  </pic:nvPicPr>
                  <pic:blipFill rotWithShape="1">
                    <a:blip r:embed="rId14">
                      <a:extLst>
                        <a:ext uri="{28A0092B-C50C-407E-A947-70E740481C1C}">
                          <a14:useLocalDpi xmlns:a14="http://schemas.microsoft.com/office/drawing/2010/main" val="0"/>
                        </a:ext>
                      </a:extLst>
                    </a:blip>
                    <a:srcRect t="-261" b="-1"/>
                    <a:stretch/>
                  </pic:blipFill>
                  <pic:spPr bwMode="auto">
                    <a:xfrm>
                      <a:off x="0" y="0"/>
                      <a:ext cx="7595870" cy="10791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9E7140" w14:textId="2441AB77" w:rsidR="00A87328" w:rsidRDefault="00C83CF8" w:rsidP="00A87328">
      <w:pPr>
        <w:rPr>
          <w:rFonts w:ascii="Arial" w:hAnsi="Arial" w:cs="Arial"/>
          <w:noProof/>
          <w:color w:val="000000" w:themeColor="text1"/>
        </w:rPr>
      </w:pPr>
      <w:r>
        <w:rPr>
          <w:rFonts w:ascii="Arial" w:hAnsi="Arial" w:cs="Arial"/>
          <w:noProof/>
        </w:rPr>
        <w:drawing>
          <wp:anchor distT="0" distB="0" distL="114300" distR="114300" simplePos="0" relativeHeight="251658242" behindDoc="1" locked="0" layoutInCell="1" allowOverlap="1" wp14:anchorId="69952550" wp14:editId="27A2F0D5">
            <wp:simplePos x="0" y="0"/>
            <wp:positionH relativeFrom="page">
              <wp:posOffset>-22225</wp:posOffset>
            </wp:positionH>
            <wp:positionV relativeFrom="page">
              <wp:posOffset>-74295</wp:posOffset>
            </wp:positionV>
            <wp:extent cx="7595870" cy="10744200"/>
            <wp:effectExtent l="0" t="0" r="0" b="0"/>
            <wp:wrapNone/>
            <wp:docPr id="74742761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427617" name="Picture 2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595870" cy="10744200"/>
                    </a:xfrm>
                    <a:prstGeom prst="rect">
                      <a:avLst/>
                    </a:prstGeom>
                  </pic:spPr>
                </pic:pic>
              </a:graphicData>
            </a:graphic>
            <wp14:sizeRelH relativeFrom="page">
              <wp14:pctWidth>0</wp14:pctWidth>
            </wp14:sizeRelH>
            <wp14:sizeRelV relativeFrom="page">
              <wp14:pctHeight>0</wp14:pctHeight>
            </wp14:sizeRelV>
          </wp:anchor>
        </w:drawing>
      </w:r>
    </w:p>
    <w:p w14:paraId="7D6B9F94" w14:textId="3DD401AC" w:rsidR="00A87328" w:rsidRDefault="00A87328" w:rsidP="00A87328">
      <w:pPr>
        <w:rPr>
          <w:rFonts w:ascii="Arial" w:hAnsi="Arial" w:cs="Arial"/>
          <w:noProof/>
          <w:color w:val="000000" w:themeColor="text1"/>
        </w:rPr>
      </w:pPr>
    </w:p>
    <w:p w14:paraId="1DBC84FE" w14:textId="12809A48" w:rsidR="0064732C" w:rsidRDefault="0064732C" w:rsidP="00A87328">
      <w:pPr>
        <w:pStyle w:val="ListParagraph"/>
        <w:ind w:left="284"/>
        <w:rPr>
          <w:rFonts w:ascii="Arial" w:hAnsi="Arial" w:cs="Arial"/>
          <w:noProof/>
          <w:color w:val="000000" w:themeColor="text1"/>
        </w:rPr>
      </w:pPr>
    </w:p>
    <w:p w14:paraId="328C9F82" w14:textId="4729A555" w:rsidR="00A87328" w:rsidRDefault="00A87328" w:rsidP="00A87328">
      <w:pPr>
        <w:pStyle w:val="ListParagraph"/>
        <w:ind w:left="284"/>
        <w:rPr>
          <w:rFonts w:ascii="Arial" w:hAnsi="Arial" w:cs="Arial"/>
          <w:noProof/>
          <w:color w:val="000000" w:themeColor="text1"/>
        </w:rPr>
      </w:pPr>
    </w:p>
    <w:p w14:paraId="3D2B1249" w14:textId="68FFAA0D" w:rsidR="00A87328" w:rsidRDefault="00A87328" w:rsidP="00A87328">
      <w:pPr>
        <w:pStyle w:val="ListParagraph"/>
        <w:ind w:left="284"/>
        <w:rPr>
          <w:rFonts w:ascii="Arial" w:hAnsi="Arial" w:cs="Arial"/>
          <w:noProof/>
          <w:color w:val="000000" w:themeColor="text1"/>
        </w:rPr>
      </w:pPr>
    </w:p>
    <w:p w14:paraId="39049F8E" w14:textId="52C5A160" w:rsidR="00A87328" w:rsidRDefault="00A87328" w:rsidP="00A87328">
      <w:pPr>
        <w:pStyle w:val="ListParagraph"/>
        <w:ind w:left="284"/>
        <w:rPr>
          <w:rFonts w:ascii="Arial" w:hAnsi="Arial" w:cs="Arial"/>
          <w:noProof/>
          <w:color w:val="000000" w:themeColor="text1"/>
        </w:rPr>
      </w:pPr>
    </w:p>
    <w:p w14:paraId="56251E80" w14:textId="77777777" w:rsidR="00A87328" w:rsidRPr="0002244F" w:rsidRDefault="00A87328" w:rsidP="00A87328">
      <w:pPr>
        <w:pStyle w:val="ListParagraph"/>
        <w:ind w:left="284"/>
        <w:rPr>
          <w:rFonts w:ascii="Arial" w:hAnsi="Arial" w:cs="Arial"/>
          <w:noProof/>
          <w:color w:val="000000" w:themeColor="text1"/>
          <w:sz w:val="16"/>
          <w:szCs w:val="16"/>
        </w:rPr>
      </w:pPr>
    </w:p>
    <w:p w14:paraId="2CE6D95C" w14:textId="55C93285" w:rsidR="00E811BE" w:rsidRPr="0002244F" w:rsidRDefault="00E811BE" w:rsidP="00E811BE">
      <w:pPr>
        <w:rPr>
          <w:rFonts w:ascii="Arial" w:hAnsi="Arial" w:cs="Arial"/>
          <w:b/>
          <w:bCs/>
          <w:noProof/>
          <w:color w:val="000000" w:themeColor="text1"/>
          <w:sz w:val="48"/>
          <w:szCs w:val="48"/>
          <w14:shadow w14:blurRad="50800" w14:dist="50800" w14:dir="5400000" w14:sx="0" w14:sy="0" w14:kx="0" w14:ky="0" w14:algn="ctr">
            <w14:srgbClr w14:val="F9F9F9"/>
          </w14:shadow>
          <w14:textOutline w14:w="9525" w14:cap="rnd" w14:cmpd="sng" w14:algn="ctr">
            <w14:noFill/>
            <w14:prstDash w14:val="solid"/>
            <w14:bevel/>
          </w14:textOutline>
        </w:rPr>
      </w:pPr>
    </w:p>
    <w:p w14:paraId="7A8D3090" w14:textId="5CD88828" w:rsidR="00E811BE" w:rsidRDefault="00E811BE" w:rsidP="00E811BE">
      <w:pPr>
        <w:rPr>
          <w:rFonts w:ascii="Arial" w:hAnsi="Arial" w:cs="Arial"/>
          <w:b/>
          <w:bCs/>
          <w:noProof/>
          <w:color w:val="000000" w:themeColor="text1"/>
          <w:sz w:val="48"/>
          <w:szCs w:val="48"/>
          <w14:textOutline w14:w="9525" w14:cap="rnd" w14:cmpd="sng" w14:algn="ctr">
            <w14:noFill/>
            <w14:prstDash w14:val="solid"/>
            <w14:bevel/>
          </w14:textOutline>
        </w:rPr>
      </w:pPr>
    </w:p>
    <w:p w14:paraId="5B0BFF04" w14:textId="7FC96388" w:rsidR="00E811BE" w:rsidRDefault="00E811BE" w:rsidP="00E811BE">
      <w:pPr>
        <w:rPr>
          <w:rFonts w:ascii="Arial" w:hAnsi="Arial" w:cs="Arial"/>
          <w:b/>
          <w:bCs/>
          <w:noProof/>
          <w:color w:val="000000" w:themeColor="text1"/>
          <w:sz w:val="48"/>
          <w:szCs w:val="48"/>
          <w14:textOutline w14:w="9525" w14:cap="rnd" w14:cmpd="sng" w14:algn="ctr">
            <w14:noFill/>
            <w14:prstDash w14:val="solid"/>
            <w14:bevel/>
          </w14:textOutline>
        </w:rPr>
      </w:pPr>
    </w:p>
    <w:p w14:paraId="7DEABEF8" w14:textId="1C933AD6" w:rsidR="00E811BE" w:rsidRDefault="00E811BE" w:rsidP="00E811BE">
      <w:pPr>
        <w:rPr>
          <w:rFonts w:ascii="Arial" w:hAnsi="Arial" w:cs="Arial"/>
          <w:b/>
          <w:bCs/>
          <w:noProof/>
          <w:color w:val="000000" w:themeColor="text1"/>
          <w:sz w:val="48"/>
          <w:szCs w:val="48"/>
          <w14:textOutline w14:w="9525" w14:cap="rnd" w14:cmpd="sng" w14:algn="ctr">
            <w14:noFill/>
            <w14:prstDash w14:val="solid"/>
            <w14:bevel/>
          </w14:textOutline>
        </w:rPr>
      </w:pPr>
    </w:p>
    <w:p w14:paraId="5A11BD27" w14:textId="2CFBFF63" w:rsidR="00E811BE" w:rsidRDefault="00E811BE" w:rsidP="00E811BE">
      <w:pPr>
        <w:rPr>
          <w:rFonts w:ascii="Arial" w:hAnsi="Arial" w:cs="Arial"/>
          <w:b/>
          <w:bCs/>
          <w:noProof/>
          <w:color w:val="000000" w:themeColor="text1"/>
          <w:sz w:val="48"/>
          <w:szCs w:val="48"/>
          <w14:textOutline w14:w="9525" w14:cap="rnd" w14:cmpd="sng" w14:algn="ctr">
            <w14:noFill/>
            <w14:prstDash w14:val="solid"/>
            <w14:bevel/>
          </w14:textOutline>
        </w:rPr>
      </w:pPr>
    </w:p>
    <w:p w14:paraId="0A5B51AB" w14:textId="275194E2" w:rsidR="00E811BE" w:rsidRDefault="00E811BE" w:rsidP="00E811BE">
      <w:pPr>
        <w:rPr>
          <w:rFonts w:ascii="Arial" w:hAnsi="Arial" w:cs="Arial"/>
          <w:b/>
          <w:bCs/>
          <w:noProof/>
          <w:color w:val="000000" w:themeColor="text1"/>
          <w:sz w:val="48"/>
          <w:szCs w:val="48"/>
          <w14:textOutline w14:w="9525" w14:cap="rnd" w14:cmpd="sng" w14:algn="ctr">
            <w14:noFill/>
            <w14:prstDash w14:val="solid"/>
            <w14:bevel/>
          </w14:textOutline>
        </w:rPr>
      </w:pPr>
    </w:p>
    <w:p w14:paraId="26F51BD2" w14:textId="7FF23E65" w:rsidR="00E811BE" w:rsidRDefault="00E811BE" w:rsidP="00E811BE">
      <w:pPr>
        <w:rPr>
          <w:rFonts w:ascii="Arial" w:hAnsi="Arial" w:cs="Arial"/>
          <w:b/>
          <w:bCs/>
          <w:noProof/>
          <w:color w:val="000000" w:themeColor="text1"/>
          <w:sz w:val="48"/>
          <w:szCs w:val="48"/>
          <w14:textOutline w14:w="9525" w14:cap="rnd" w14:cmpd="sng" w14:algn="ctr">
            <w14:noFill/>
            <w14:prstDash w14:val="solid"/>
            <w14:bevel/>
          </w14:textOutline>
        </w:rPr>
      </w:pPr>
    </w:p>
    <w:p w14:paraId="3C295E26" w14:textId="4E0A2E47" w:rsidR="00E811BE" w:rsidRDefault="00E811BE" w:rsidP="00E811BE">
      <w:pPr>
        <w:rPr>
          <w:rFonts w:ascii="Arial" w:hAnsi="Arial" w:cs="Arial"/>
          <w:b/>
          <w:bCs/>
          <w:noProof/>
          <w:color w:val="000000" w:themeColor="text1"/>
          <w:sz w:val="48"/>
          <w:szCs w:val="48"/>
          <w14:textOutline w14:w="9525" w14:cap="rnd" w14:cmpd="sng" w14:algn="ctr">
            <w14:noFill/>
            <w14:prstDash w14:val="solid"/>
            <w14:bevel/>
          </w14:textOutline>
        </w:rPr>
      </w:pPr>
    </w:p>
    <w:p w14:paraId="6B111675" w14:textId="065BC0D0" w:rsidR="00FC346A" w:rsidRPr="0064732C" w:rsidRDefault="00C83CF8" w:rsidP="007E45DC">
      <w:pPr>
        <w:rPr>
          <w:rFonts w:ascii="Arial" w:hAnsi="Arial" w:cs="Arial"/>
          <w:noProof/>
          <w:color w:val="000000" w:themeColor="text1"/>
          <w:sz w:val="20"/>
          <w:szCs w:val="20"/>
        </w:rPr>
      </w:pPr>
      <w:r>
        <w:rPr>
          <w:rFonts w:ascii="Arial" w:hAnsi="Arial" w:cs="Arial"/>
          <w:noProof/>
          <w:color w:val="000000" w:themeColor="text1"/>
          <w:sz w:val="36"/>
          <w:szCs w:val="36"/>
        </w:rPr>
        <mc:AlternateContent>
          <mc:Choice Requires="wps">
            <w:drawing>
              <wp:anchor distT="0" distB="0" distL="114300" distR="114300" simplePos="0" relativeHeight="251658245" behindDoc="0" locked="0" layoutInCell="1" allowOverlap="1" wp14:anchorId="181492A7" wp14:editId="22B5105E">
                <wp:simplePos x="0" y="0"/>
                <wp:positionH relativeFrom="column">
                  <wp:posOffset>107315</wp:posOffset>
                </wp:positionH>
                <wp:positionV relativeFrom="paragraph">
                  <wp:posOffset>427991</wp:posOffset>
                </wp:positionV>
                <wp:extent cx="3612445" cy="1130300"/>
                <wp:effectExtent l="0" t="0" r="0" b="0"/>
                <wp:wrapNone/>
                <wp:docPr id="953454244" name="Text Box 2"/>
                <wp:cNvGraphicFramePr/>
                <a:graphic xmlns:a="http://schemas.openxmlformats.org/drawingml/2006/main">
                  <a:graphicData uri="http://schemas.microsoft.com/office/word/2010/wordprocessingShape">
                    <wps:wsp>
                      <wps:cNvSpPr txBox="1"/>
                      <wps:spPr>
                        <a:xfrm>
                          <a:off x="0" y="0"/>
                          <a:ext cx="3612445" cy="1130300"/>
                        </a:xfrm>
                        <a:prstGeom prst="rect">
                          <a:avLst/>
                        </a:prstGeom>
                        <a:noFill/>
                        <a:ln w="6350">
                          <a:noFill/>
                        </a:ln>
                      </wps:spPr>
                      <wps:txbx>
                        <w:txbxContent>
                          <w:p w14:paraId="0B771182" w14:textId="26F466B3" w:rsidR="00C83CF8" w:rsidRPr="00285372" w:rsidRDefault="00643CE4" w:rsidP="00C83CF8">
                            <w:pPr>
                              <w:spacing w:line="276" w:lineRule="auto"/>
                              <w:rPr>
                                <w:rFonts w:ascii="Arial" w:hAnsi="Arial" w:cs="Arial"/>
                                <w:b/>
                                <w:bCs/>
                                <w:color w:val="FFFFFF" w:themeColor="background1"/>
                                <w:sz w:val="28"/>
                                <w:szCs w:val="28"/>
                              </w:rPr>
                            </w:pPr>
                            <w:r>
                              <w:rPr>
                                <w:rFonts w:ascii="Arial" w:hAnsi="Arial" w:cs="Arial"/>
                                <w:b/>
                                <w:bCs/>
                                <w:color w:val="FFFFFF" w:themeColor="background1"/>
                                <w:sz w:val="28"/>
                                <w:szCs w:val="28"/>
                              </w:rPr>
                              <w:t>Review of Merchant Card Payment Costs and Surcharging</w:t>
                            </w:r>
                          </w:p>
                          <w:p w14:paraId="71E75482" w14:textId="214AE822" w:rsidR="00C83CF8" w:rsidRDefault="00F32707" w:rsidP="00C83CF8">
                            <w:pPr>
                              <w:spacing w:line="276" w:lineRule="auto"/>
                              <w:rPr>
                                <w:rFonts w:ascii="Arial" w:hAnsi="Arial" w:cs="Arial"/>
                                <w:color w:val="FFFFFF" w:themeColor="background1"/>
                              </w:rPr>
                            </w:pPr>
                            <w:r>
                              <w:rPr>
                                <w:rFonts w:ascii="Arial" w:hAnsi="Arial" w:cs="Arial"/>
                                <w:color w:val="FFFFFF" w:themeColor="background1"/>
                              </w:rPr>
                              <w:t>Contact: courtney.sloane@myob.com</w:t>
                            </w:r>
                          </w:p>
                          <w:p w14:paraId="52A1E67A" w14:textId="53E6A6D6" w:rsidR="00C83CF8" w:rsidRPr="00285372" w:rsidRDefault="00643CE4" w:rsidP="00C83CF8">
                            <w:pPr>
                              <w:spacing w:line="276" w:lineRule="auto"/>
                              <w:rPr>
                                <w:rFonts w:ascii="Arial" w:hAnsi="Arial" w:cs="Arial"/>
                                <w:color w:val="FFFFFF" w:themeColor="background1"/>
                              </w:rPr>
                            </w:pPr>
                            <w:r>
                              <w:rPr>
                                <w:rFonts w:ascii="Arial" w:hAnsi="Arial" w:cs="Arial"/>
                                <w:color w:val="FFFFFF" w:themeColor="background1"/>
                              </w:rPr>
                              <w:t>August</w:t>
                            </w:r>
                            <w:r w:rsidR="00F32707">
                              <w:rPr>
                                <w:rFonts w:ascii="Arial" w:hAnsi="Arial" w:cs="Arial"/>
                                <w:color w:val="FFFFFF" w:themeColor="background1"/>
                              </w:rPr>
                              <w:t xml:space="preserve">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81492A7" id="_x0000_s1028" type="#_x0000_t202" style="position:absolute;margin-left:8.45pt;margin-top:33.7pt;width:284.45pt;height:89pt;z-index:25165824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" filled="f" stroked="f" strokeweight=".5pt">
                <v:textbox>
                  <w:txbxContent>
                    <w:p w14:paraId="0B771182" w14:textId="26F466B3" w:rsidR="00C83CF8" w:rsidRPr="00285372" w:rsidRDefault="00643CE4" w:rsidP="00C83CF8">
                      <w:pPr>
                        <w:spacing w:line="276" w:lineRule="auto"/>
                        <w:rPr>
                          <w:rFonts w:ascii="Arial" w:hAnsi="Arial" w:cs="Arial"/>
                          <w:b/>
                          <w:bCs/>
                          <w:color w:val="FFFFFF" w:themeColor="background1"/>
                          <w:sz w:val="28"/>
                          <w:szCs w:val="28"/>
                        </w:rPr>
                      </w:pPr>
                      <w:r>
                        <w:rPr>
                          <w:rFonts w:ascii="Arial" w:hAnsi="Arial" w:cs="Arial"/>
                          <w:b/>
                          <w:bCs/>
                          <w:color w:val="FFFFFF" w:themeColor="background1"/>
                          <w:sz w:val="28"/>
                          <w:szCs w:val="28"/>
                        </w:rPr>
                        <w:t>Review of Merchant Card Payment Costs and Surcharging</w:t>
                      </w:r>
                    </w:p>
                    <w:p w14:paraId="71E75482" w14:textId="214AE822" w:rsidR="00C83CF8" w:rsidRDefault="00F32707" w:rsidP="00C83CF8">
                      <w:pPr>
                        <w:spacing w:line="276" w:lineRule="auto"/>
                        <w:rPr>
                          <w:rFonts w:ascii="Arial" w:hAnsi="Arial" w:cs="Arial"/>
                          <w:color w:val="FFFFFF" w:themeColor="background1"/>
                        </w:rPr>
                      </w:pPr>
                      <w:r>
                        <w:rPr>
                          <w:rFonts w:ascii="Arial" w:hAnsi="Arial" w:cs="Arial"/>
                          <w:color w:val="FFFFFF" w:themeColor="background1"/>
                        </w:rPr>
                        <w:t>Contact: courtney.sloane@myob.com</w:t>
                      </w:r>
                    </w:p>
                    <w:p w14:paraId="52A1E67A" w14:textId="53E6A6D6" w:rsidR="00C83CF8" w:rsidRPr="00285372" w:rsidRDefault="00643CE4" w:rsidP="00C83CF8">
                      <w:pPr>
                        <w:spacing w:line="276" w:lineRule="auto"/>
                        <w:rPr>
                          <w:rFonts w:ascii="Arial" w:hAnsi="Arial" w:cs="Arial"/>
                          <w:color w:val="FFFFFF" w:themeColor="background1"/>
                        </w:rPr>
                      </w:pPr>
                      <w:r>
                        <w:rPr>
                          <w:rFonts w:ascii="Arial" w:hAnsi="Arial" w:cs="Arial"/>
                          <w:color w:val="FFFFFF" w:themeColor="background1"/>
                        </w:rPr>
                        <w:t>August</w:t>
                      </w:r>
                      <w:r w:rsidR="00F32707">
                        <w:rPr>
                          <w:rFonts w:ascii="Arial" w:hAnsi="Arial" w:cs="Arial"/>
                          <w:color w:val="FFFFFF" w:themeColor="background1"/>
                        </w:rPr>
                        <w:t xml:space="preserve"> 2025</w:t>
                      </w:r>
                    </w:p>
                  </w:txbxContent>
                </v:textbox>
              </v:shape>
            </w:pict>
          </mc:Fallback>
        </mc:AlternateContent>
      </w:r>
    </w:p>
    <w:sectPr w:rsidR="00FC346A" w:rsidRPr="0064732C" w:rsidSect="00285372">
      <w:headerReference w:type="even" r:id="rId16"/>
      <w:headerReference w:type="default" r:id="rId17"/>
      <w:footerReference w:type="even" r:id="rId18"/>
      <w:footerReference w:type="default" r:id="rId19"/>
      <w:footerReference w:type="first" r:id="rId20"/>
      <w:pgSz w:w="11906" w:h="16838"/>
      <w:pgMar w:top="851" w:right="851" w:bottom="816" w:left="851"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FB3BD" w14:textId="77777777" w:rsidR="00F37E8C" w:rsidRDefault="00F37E8C" w:rsidP="0020780A">
      <w:r>
        <w:separator/>
      </w:r>
    </w:p>
  </w:endnote>
  <w:endnote w:type="continuationSeparator" w:id="0">
    <w:p w14:paraId="4A2BA204" w14:textId="77777777" w:rsidR="00F37E8C" w:rsidRDefault="00F37E8C" w:rsidP="0020780A">
      <w:r>
        <w:continuationSeparator/>
      </w:r>
    </w:p>
  </w:endnote>
  <w:endnote w:type="continuationNotice" w:id="1">
    <w:p w14:paraId="3E22B0D8" w14:textId="77777777" w:rsidR="00F37E8C" w:rsidRDefault="00F37E8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81026877"/>
      <w:docPartObj>
        <w:docPartGallery w:val="Page Numbers (Bottom of Page)"/>
        <w:docPartUnique/>
      </w:docPartObj>
    </w:sdtPr>
    <w:sdtEndPr>
      <w:rPr>
        <w:rStyle w:val="PageNumber"/>
      </w:rPr>
    </w:sdtEndPr>
    <w:sdtContent>
      <w:p w14:paraId="460AA9A9" w14:textId="15C604FB" w:rsidR="00F163EB" w:rsidRDefault="00F163E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050303914"/>
      <w:docPartObj>
        <w:docPartGallery w:val="Page Numbers (Bottom of Page)"/>
        <w:docPartUnique/>
      </w:docPartObj>
    </w:sdtPr>
    <w:sdtEndPr>
      <w:rPr>
        <w:rStyle w:val="PageNumber"/>
      </w:rPr>
    </w:sdtEndPr>
    <w:sdtContent>
      <w:p w14:paraId="31C9C43E" w14:textId="018EDCA3" w:rsidR="00057A5E" w:rsidRDefault="00057A5E" w:rsidP="00F163EB">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493794486"/>
      <w:docPartObj>
        <w:docPartGallery w:val="Page Numbers (Bottom of Page)"/>
        <w:docPartUnique/>
      </w:docPartObj>
    </w:sdtPr>
    <w:sdtEndPr>
      <w:rPr>
        <w:rStyle w:val="PageNumber"/>
      </w:rPr>
    </w:sdtEndPr>
    <w:sdtContent>
      <w:p w14:paraId="183A3B0E" w14:textId="2D05D2F9" w:rsidR="00AE1D26" w:rsidRDefault="00AE1D26" w:rsidP="00057A5E">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A5AA2D6" w14:textId="77777777" w:rsidR="00AE1D26" w:rsidRDefault="00AE1D26" w:rsidP="00AE1D2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70370" w14:textId="13C623DA" w:rsidR="00AE1D26" w:rsidRPr="001B35F6" w:rsidRDefault="00285372" w:rsidP="00285372">
    <w:pPr>
      <w:pStyle w:val="Footer"/>
      <w:ind w:left="-851" w:right="360"/>
      <w:jc w:val="center"/>
      <w:rPr>
        <w:rFonts w:ascii="Arial" w:hAnsi="Arial" w:cs="Arial"/>
        <w:color w:val="808080" w:themeColor="background1" w:themeShade="80"/>
        <w:sz w:val="18"/>
        <w:szCs w:val="18"/>
      </w:rPr>
    </w:pPr>
    <w:r>
      <w:rPr>
        <w:rFonts w:ascii="Arial" w:hAnsi="Arial" w:cs="Arial"/>
        <w:noProof/>
        <w:color w:val="808080" w:themeColor="background1" w:themeShade="80"/>
        <w:sz w:val="20"/>
        <w:szCs w:val="20"/>
      </w:rPr>
      <w:drawing>
        <wp:inline distT="0" distB="0" distL="0" distR="0" wp14:anchorId="335A190B" wp14:editId="191A32A0">
          <wp:extent cx="7550825" cy="1744063"/>
          <wp:effectExtent l="0" t="0" r="0" b="0"/>
          <wp:docPr id="201120056" name="Picture 2" descr="A white rectangle with a black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689784" name="Picture 2" descr="A white rectangle with a black bor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87940" cy="1775733"/>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342674"/>
      <w:docPartObj>
        <w:docPartGallery w:val="Page Numbers (Bottom of Page)"/>
        <w:docPartUnique/>
      </w:docPartObj>
    </w:sdtPr>
    <w:sdtEndPr>
      <w:rPr>
        <w:rStyle w:val="PageNumber"/>
      </w:rPr>
    </w:sdtEndPr>
    <w:sdtContent>
      <w:p w14:paraId="3DAF3E30" w14:textId="3072817F" w:rsidR="00C409A5" w:rsidRDefault="00C409A5" w:rsidP="00057A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1ECAE22" w14:textId="77777777" w:rsidR="00A875B4" w:rsidRDefault="00A875B4" w:rsidP="00C409A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6ED52D" w14:textId="77777777" w:rsidR="00F37E8C" w:rsidRDefault="00F37E8C" w:rsidP="0020780A">
      <w:r>
        <w:separator/>
      </w:r>
    </w:p>
  </w:footnote>
  <w:footnote w:type="continuationSeparator" w:id="0">
    <w:p w14:paraId="7CF1D029" w14:textId="77777777" w:rsidR="00F37E8C" w:rsidRDefault="00F37E8C" w:rsidP="0020780A">
      <w:r>
        <w:continuationSeparator/>
      </w:r>
    </w:p>
  </w:footnote>
  <w:footnote w:type="continuationNotice" w:id="1">
    <w:p w14:paraId="18C153E7" w14:textId="77777777" w:rsidR="00F37E8C" w:rsidRDefault="00F37E8C"/>
  </w:footnote>
  <w:footnote w:id="2">
    <w:p w14:paraId="70C3CBDE" w14:textId="6A478A5E" w:rsidR="00CF1391" w:rsidRDefault="00CF1391">
      <w:pPr>
        <w:pStyle w:val="FootnoteText"/>
      </w:pPr>
      <w:r>
        <w:rPr>
          <w:rStyle w:val="FootnoteReference"/>
        </w:rPr>
        <w:footnoteRef/>
      </w:r>
      <w:r>
        <w:t xml:space="preserve"> </w:t>
      </w:r>
      <w:r w:rsidR="00B7319C">
        <w:t>Surcharging</w:t>
      </w:r>
      <w:r w:rsidR="0050320B">
        <w:t xml:space="preserve">, </w:t>
      </w:r>
      <w:r>
        <w:rPr>
          <w:color w:val="000000" w:themeColor="text1"/>
        </w:rPr>
        <w:t xml:space="preserve">Option 2: </w:t>
      </w:r>
      <w:r>
        <w:rPr>
          <w:noProof/>
          <w:color w:val="000000" w:themeColor="text1"/>
        </w:rPr>
        <w:t>Remove surcharging on designated debit (and prepaid) cards</w:t>
      </w:r>
    </w:p>
  </w:footnote>
  <w:footnote w:id="3">
    <w:p w14:paraId="04ECD272" w14:textId="30D2B6EC" w:rsidR="00D77E39" w:rsidRDefault="00D77E39">
      <w:pPr>
        <w:pStyle w:val="FootnoteText"/>
      </w:pPr>
      <w:r>
        <w:rPr>
          <w:rStyle w:val="FootnoteReference"/>
        </w:rPr>
        <w:footnoteRef/>
      </w:r>
      <w:r>
        <w:t xml:space="preserve"> </w:t>
      </w:r>
      <w:r w:rsidR="009A4192">
        <w:t>Interchange fees</w:t>
      </w:r>
      <w:r w:rsidR="0050320B">
        <w:t>,</w:t>
      </w:r>
      <w:r w:rsidR="00380252">
        <w:t xml:space="preserve"> </w:t>
      </w:r>
      <w:r w:rsidR="009D3768">
        <w:rPr>
          <w:color w:val="000000" w:themeColor="text1"/>
        </w:rPr>
        <w:t xml:space="preserve">Option 2: </w:t>
      </w:r>
      <w:r w:rsidR="009D3768">
        <w:rPr>
          <w:noProof/>
          <w:color w:val="000000" w:themeColor="text1"/>
        </w:rPr>
        <w:t>Reduce the credit cap to 0.3 per cent and abolish the benchmark</w:t>
      </w:r>
    </w:p>
  </w:footnote>
  <w:footnote w:id="4">
    <w:p w14:paraId="1AACD772" w14:textId="4B03AC2C" w:rsidR="00D77E39" w:rsidRDefault="00D77E39">
      <w:pPr>
        <w:pStyle w:val="FootnoteText"/>
      </w:pPr>
      <w:r>
        <w:rPr>
          <w:rStyle w:val="FootnoteReference"/>
        </w:rPr>
        <w:footnoteRef/>
      </w:r>
      <w:r>
        <w:t xml:space="preserve"> </w:t>
      </w:r>
      <w:r w:rsidR="00A6369A">
        <w:t>Interchange fees</w:t>
      </w:r>
      <w:r w:rsidR="0050320B">
        <w:t>,</w:t>
      </w:r>
      <w:r w:rsidR="008B3E7D">
        <w:t xml:space="preserve"> Option 4: Reduce the cent-</w:t>
      </w:r>
      <w:r w:rsidR="00DA30B1">
        <w:t>based</w:t>
      </w:r>
      <w:r w:rsidR="008B3E7D">
        <w:t xml:space="preserve"> debit benchmark and the cap to 6 cents, and the ad-</w:t>
      </w:r>
      <w:r w:rsidR="00DA30B1">
        <w:t>v</w:t>
      </w:r>
      <w:r w:rsidR="008B3E7D">
        <w:t>alorem cap to 0.12 per cent</w:t>
      </w:r>
    </w:p>
  </w:footnote>
  <w:footnote w:id="5">
    <w:p w14:paraId="36B962C0" w14:textId="7B3212AF" w:rsidR="004B7793" w:rsidRDefault="004B7793">
      <w:pPr>
        <w:pStyle w:val="FootnoteText"/>
      </w:pPr>
      <w:r>
        <w:rPr>
          <w:rStyle w:val="FootnoteReference"/>
        </w:rPr>
        <w:footnoteRef/>
      </w:r>
      <w:r>
        <w:t xml:space="preserve"> Interchange fees on foreign card transactions</w:t>
      </w:r>
      <w:r w:rsidR="00D564FF">
        <w:t>,</w:t>
      </w:r>
      <w:r>
        <w:t xml:space="preserve"> Option 8</w:t>
      </w:r>
      <w:r w:rsidR="00EC0EB4">
        <w:t>: Cap interchange on foreign card transactions differentially for card-present and card-not-present transactions</w:t>
      </w:r>
    </w:p>
  </w:footnote>
  <w:footnote w:id="6">
    <w:p w14:paraId="1DE94CC2" w14:textId="450CEFBD" w:rsidR="007E07E0" w:rsidRDefault="007E07E0">
      <w:pPr>
        <w:pStyle w:val="FootnoteText"/>
      </w:pPr>
      <w:r>
        <w:rPr>
          <w:rStyle w:val="FootnoteReference"/>
        </w:rPr>
        <w:footnoteRef/>
      </w:r>
      <w:r>
        <w:t xml:space="preserve"> </w:t>
      </w:r>
      <w:r w:rsidR="00067094">
        <w:t>Transparency of wholesale fees</w:t>
      </w:r>
      <w:r w:rsidR="00E41A7D">
        <w:t xml:space="preserve">, </w:t>
      </w:r>
      <w:r w:rsidR="00067094">
        <w:t>Option</w:t>
      </w:r>
      <w:r w:rsidR="00E55394">
        <w:t xml:space="preserve"> 2: Require each card network to publish aggregate data on interchange fees</w:t>
      </w:r>
    </w:p>
  </w:footnote>
  <w:footnote w:id="7">
    <w:p w14:paraId="717AD209" w14:textId="41D8DB17" w:rsidR="007E07E0" w:rsidRDefault="007E07E0">
      <w:pPr>
        <w:pStyle w:val="FootnoteText"/>
      </w:pPr>
      <w:r>
        <w:rPr>
          <w:rStyle w:val="FootnoteReference"/>
        </w:rPr>
        <w:footnoteRef/>
      </w:r>
      <w:r>
        <w:t xml:space="preserve"> </w:t>
      </w:r>
      <w:r w:rsidR="00AD0DA5">
        <w:t>Transparency of wholesale fees</w:t>
      </w:r>
      <w:r w:rsidR="00E41A7D">
        <w:t xml:space="preserve">, </w:t>
      </w:r>
      <w:r w:rsidR="00AD0DA5">
        <w:t>Option 3: Require each card network to publish aggregate data on scheme fees</w:t>
      </w:r>
    </w:p>
  </w:footnote>
  <w:footnote w:id="8">
    <w:p w14:paraId="43233A61" w14:textId="733DDFD0" w:rsidR="00923D91" w:rsidRDefault="00923D91">
      <w:pPr>
        <w:pStyle w:val="FootnoteText"/>
      </w:pPr>
      <w:r>
        <w:rPr>
          <w:rStyle w:val="FootnoteReference"/>
        </w:rPr>
        <w:footnoteRef/>
      </w:r>
      <w:r>
        <w:t xml:space="preserve"> </w:t>
      </w:r>
      <w:r w:rsidR="005F2145">
        <w:t>Transparency of wholesale fees</w:t>
      </w:r>
      <w:r w:rsidR="00590E7C">
        <w:t xml:space="preserve">, </w:t>
      </w:r>
      <w:r w:rsidR="005F2145">
        <w:t>Option 4: Set an expectation that card networks work with industry to reduce the complexity and improve the transparency of their scheme fee</w:t>
      </w:r>
      <w:r w:rsidR="00603BF8">
        <w:t xml:space="preserve"> schedul</w:t>
      </w:r>
      <w:r w:rsidR="00B93CA4">
        <w:t>es</w:t>
      </w:r>
    </w:p>
  </w:footnote>
  <w:footnote w:id="9">
    <w:p w14:paraId="5CEA7334" w14:textId="65E75770" w:rsidR="00991761" w:rsidRDefault="00991761">
      <w:pPr>
        <w:pStyle w:val="FootnoteText"/>
      </w:pPr>
      <w:r>
        <w:rPr>
          <w:rStyle w:val="FootnoteReference"/>
        </w:rPr>
        <w:footnoteRef/>
      </w:r>
      <w:r>
        <w:t xml:space="preserve"> </w:t>
      </w:r>
      <w:r w:rsidR="00545189">
        <w:t>Scheme fees</w:t>
      </w:r>
      <w:r w:rsidR="00E41A7D">
        <w:t xml:space="preserve">, </w:t>
      </w:r>
      <w:r w:rsidR="00545189">
        <w:t>Option 3: Set a cap on scheme fees</w:t>
      </w:r>
    </w:p>
  </w:footnote>
  <w:footnote w:id="10">
    <w:p w14:paraId="4369CD02" w14:textId="48336408" w:rsidR="00DB3264" w:rsidRDefault="00DB3264">
      <w:pPr>
        <w:pStyle w:val="FootnoteText"/>
      </w:pPr>
      <w:r>
        <w:rPr>
          <w:rStyle w:val="FootnoteReference"/>
        </w:rPr>
        <w:footnoteRef/>
      </w:r>
      <w:r>
        <w:t xml:space="preserve"> </w:t>
      </w:r>
      <w:r w:rsidR="004B5CBD">
        <w:t>Scheme fees</w:t>
      </w:r>
      <w:r w:rsidR="00E41A7D">
        <w:t xml:space="preserve">, </w:t>
      </w:r>
      <w:r w:rsidR="004B5CBD">
        <w:t xml:space="preserve">Option 2: </w:t>
      </w:r>
      <w:r w:rsidR="00DB651A">
        <w:t>Set an expectation that any further increases in scheme fees require adequate explanation by schemes</w:t>
      </w:r>
    </w:p>
  </w:footnote>
  <w:footnote w:id="11">
    <w:p w14:paraId="74101BB8" w14:textId="796D3891" w:rsidR="00DB3264" w:rsidRDefault="00DB3264">
      <w:pPr>
        <w:pStyle w:val="FootnoteText"/>
      </w:pPr>
      <w:r>
        <w:rPr>
          <w:rStyle w:val="FootnoteReference"/>
        </w:rPr>
        <w:footnoteRef/>
      </w:r>
      <w:r>
        <w:t xml:space="preserve"> </w:t>
      </w:r>
      <w:r w:rsidR="004B5CBD">
        <w:t>Scheme fees</w:t>
      </w:r>
      <w:r w:rsidR="00E41A7D">
        <w:t xml:space="preserve">, </w:t>
      </w:r>
      <w:r w:rsidR="004B5CBD">
        <w:t>Option 3: Set a cap on scheme fees</w:t>
      </w:r>
    </w:p>
  </w:footnote>
  <w:footnote w:id="12">
    <w:p w14:paraId="6B0DD75A" w14:textId="7BF7F08C" w:rsidR="00175A82" w:rsidRDefault="00175A82">
      <w:pPr>
        <w:pStyle w:val="FootnoteText"/>
      </w:pPr>
      <w:r>
        <w:rPr>
          <w:rStyle w:val="FootnoteReference"/>
        </w:rPr>
        <w:footnoteRef/>
      </w:r>
      <w:r>
        <w:t xml:space="preserve"> </w:t>
      </w:r>
      <w:r w:rsidR="005E1BD8">
        <w:t>Transparency of merchant fees</w:t>
      </w:r>
      <w:r w:rsidR="00E41A7D">
        <w:t>,</w:t>
      </w:r>
      <w:r w:rsidR="005E1BD8">
        <w:t xml:space="preserve"> Option 2: Require acquirers to publish their average cost of acceptance by merchant size and card type</w:t>
      </w:r>
    </w:p>
  </w:footnote>
  <w:footnote w:id="13">
    <w:p w14:paraId="00CEA7B8" w14:textId="6B11A402" w:rsidR="00175A82" w:rsidRDefault="00175A82">
      <w:pPr>
        <w:pStyle w:val="FootnoteText"/>
      </w:pPr>
      <w:r>
        <w:rPr>
          <w:rStyle w:val="FootnoteReference"/>
        </w:rPr>
        <w:footnoteRef/>
      </w:r>
      <w:r>
        <w:t xml:space="preserve"> </w:t>
      </w:r>
      <w:r w:rsidR="00E2201D">
        <w:t>Transparency of merchant fees</w:t>
      </w:r>
      <w:r w:rsidR="00E41A7D">
        <w:t xml:space="preserve">, </w:t>
      </w:r>
      <w:r w:rsidR="00E2201D">
        <w:t>Option 3: More consistent reporting of fees by acquirers on merchant statements</w:t>
      </w:r>
    </w:p>
  </w:footnote>
  <w:footnote w:id="14">
    <w:p w14:paraId="71D450B5" w14:textId="46451788" w:rsidR="00175A82" w:rsidRDefault="00175A82">
      <w:pPr>
        <w:pStyle w:val="FootnoteText"/>
      </w:pPr>
      <w:r>
        <w:rPr>
          <w:rStyle w:val="FootnoteReference"/>
        </w:rPr>
        <w:footnoteRef/>
      </w:r>
      <w:r>
        <w:t xml:space="preserve"> </w:t>
      </w:r>
      <w:r w:rsidR="00DF0122">
        <w:t>Transparency of merchant fees</w:t>
      </w:r>
      <w:r w:rsidR="00E41A7D">
        <w:t xml:space="preserve">, </w:t>
      </w:r>
      <w:r w:rsidR="00DF0122">
        <w:t>Option 4: Create an online quotation or comparison tool for merchants to compare pricing across acquirers</w:t>
      </w:r>
      <w:r w:rsidR="00DF0122" w:rsidDel="00DF0122">
        <w:t xml:space="preserve"> </w:t>
      </w:r>
    </w:p>
  </w:footnote>
  <w:footnote w:id="15">
    <w:p w14:paraId="454F0845" w14:textId="12EEC24C" w:rsidR="002209C2" w:rsidRDefault="002209C2" w:rsidP="002209C2">
      <w:pPr>
        <w:pStyle w:val="FootnoteText"/>
      </w:pPr>
      <w:r>
        <w:rPr>
          <w:rStyle w:val="FootnoteReference"/>
        </w:rPr>
        <w:footnoteRef/>
      </w:r>
      <w:r>
        <w:t xml:space="preserve"> Least cost routing of debit card transactions</w:t>
      </w:r>
      <w:r w:rsidR="00E41A7D">
        <w:t xml:space="preserve">, </w:t>
      </w:r>
      <w:r>
        <w:t>Option 2: Introduce a formal requirement for LCR for all in-person transactions</w:t>
      </w:r>
    </w:p>
  </w:footnote>
  <w:footnote w:id="16">
    <w:p w14:paraId="03FD15C3" w14:textId="6604D502" w:rsidR="002209C2" w:rsidRDefault="002209C2" w:rsidP="002209C2">
      <w:pPr>
        <w:pStyle w:val="FootnoteText"/>
      </w:pPr>
      <w:r>
        <w:rPr>
          <w:rStyle w:val="FootnoteReference"/>
        </w:rPr>
        <w:footnoteRef/>
      </w:r>
      <w:r>
        <w:t xml:space="preserve"> Least cost routing of debit card transactions</w:t>
      </w:r>
      <w:r w:rsidR="00E41A7D">
        <w:t>,</w:t>
      </w:r>
      <w:r>
        <w:t xml:space="preserve"> Option 3: Introduce a formal requirement for dynamic LCR for all in-person transactions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78616753"/>
      <w:docPartObj>
        <w:docPartGallery w:val="Page Numbers (Top of Page)"/>
        <w:docPartUnique/>
      </w:docPartObj>
    </w:sdtPr>
    <w:sdtEndPr>
      <w:rPr>
        <w:rStyle w:val="PageNumber"/>
      </w:rPr>
    </w:sdtEndPr>
    <w:sdtContent>
      <w:p w14:paraId="446AF95F" w14:textId="73E4F7E5" w:rsidR="00C409A5" w:rsidRDefault="00C409A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66619FC" w14:textId="61E730D8" w:rsidR="0020780A" w:rsidRDefault="0020780A" w:rsidP="00C409A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90919" w14:textId="1B275A56" w:rsidR="0020780A" w:rsidRDefault="00285372" w:rsidP="00285372">
    <w:pPr>
      <w:pStyle w:val="Header"/>
      <w:ind w:left="-851" w:right="360"/>
      <w:jc w:val="right"/>
    </w:pPr>
    <w:r>
      <w:rPr>
        <w:noProof/>
      </w:rPr>
      <w:drawing>
        <wp:inline distT="0" distB="0" distL="0" distR="0" wp14:anchorId="4FC1444C" wp14:editId="0AFCDB13">
          <wp:extent cx="7542469" cy="2001167"/>
          <wp:effectExtent l="0" t="0" r="1905" b="5715"/>
          <wp:docPr id="667559527" name="Picture 1"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727474" name="Picture 1" descr="A white background with black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75611" cy="20099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FA1EFC"/>
    <w:multiLevelType w:val="hybridMultilevel"/>
    <w:tmpl w:val="D76AB788"/>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 w15:restartNumberingAfterBreak="0">
    <w:nsid w:val="25D81889"/>
    <w:multiLevelType w:val="hybridMultilevel"/>
    <w:tmpl w:val="3E3C1312"/>
    <w:lvl w:ilvl="0" w:tplc="B96C14B8">
      <w:start w:val="1"/>
      <w:numFmt w:val="lowerLetter"/>
      <w:lvlText w:val="%1."/>
      <w:lvlJc w:val="left"/>
      <w:pPr>
        <w:ind w:left="502" w:hanging="360"/>
      </w:pPr>
      <w:rPr>
        <w:rFonts w:hint="default"/>
      </w:rPr>
    </w:lvl>
    <w:lvl w:ilvl="1" w:tplc="0C090019" w:tentative="1">
      <w:start w:val="1"/>
      <w:numFmt w:val="lowerLetter"/>
      <w:lvlText w:val="%2."/>
      <w:lvlJc w:val="left"/>
      <w:pPr>
        <w:ind w:left="1222" w:hanging="360"/>
      </w:pPr>
    </w:lvl>
    <w:lvl w:ilvl="2" w:tplc="0C09001B" w:tentative="1">
      <w:start w:val="1"/>
      <w:numFmt w:val="lowerRoman"/>
      <w:lvlText w:val="%3."/>
      <w:lvlJc w:val="right"/>
      <w:pPr>
        <w:ind w:left="1942" w:hanging="180"/>
      </w:pPr>
    </w:lvl>
    <w:lvl w:ilvl="3" w:tplc="0C09000F" w:tentative="1">
      <w:start w:val="1"/>
      <w:numFmt w:val="decimal"/>
      <w:lvlText w:val="%4."/>
      <w:lvlJc w:val="left"/>
      <w:pPr>
        <w:ind w:left="2662" w:hanging="360"/>
      </w:pPr>
    </w:lvl>
    <w:lvl w:ilvl="4" w:tplc="0C090019" w:tentative="1">
      <w:start w:val="1"/>
      <w:numFmt w:val="lowerLetter"/>
      <w:lvlText w:val="%5."/>
      <w:lvlJc w:val="left"/>
      <w:pPr>
        <w:ind w:left="3382" w:hanging="360"/>
      </w:pPr>
    </w:lvl>
    <w:lvl w:ilvl="5" w:tplc="0C09001B" w:tentative="1">
      <w:start w:val="1"/>
      <w:numFmt w:val="lowerRoman"/>
      <w:lvlText w:val="%6."/>
      <w:lvlJc w:val="right"/>
      <w:pPr>
        <w:ind w:left="4102" w:hanging="180"/>
      </w:pPr>
    </w:lvl>
    <w:lvl w:ilvl="6" w:tplc="0C09000F" w:tentative="1">
      <w:start w:val="1"/>
      <w:numFmt w:val="decimal"/>
      <w:lvlText w:val="%7."/>
      <w:lvlJc w:val="left"/>
      <w:pPr>
        <w:ind w:left="4822" w:hanging="360"/>
      </w:pPr>
    </w:lvl>
    <w:lvl w:ilvl="7" w:tplc="0C090019" w:tentative="1">
      <w:start w:val="1"/>
      <w:numFmt w:val="lowerLetter"/>
      <w:lvlText w:val="%8."/>
      <w:lvlJc w:val="left"/>
      <w:pPr>
        <w:ind w:left="5542" w:hanging="360"/>
      </w:pPr>
    </w:lvl>
    <w:lvl w:ilvl="8" w:tplc="0C09001B" w:tentative="1">
      <w:start w:val="1"/>
      <w:numFmt w:val="lowerRoman"/>
      <w:lvlText w:val="%9."/>
      <w:lvlJc w:val="right"/>
      <w:pPr>
        <w:ind w:left="6262" w:hanging="180"/>
      </w:pPr>
    </w:lvl>
  </w:abstractNum>
  <w:abstractNum w:abstractNumId="2" w15:restartNumberingAfterBreak="0">
    <w:nsid w:val="2FFE60E8"/>
    <w:multiLevelType w:val="hybridMultilevel"/>
    <w:tmpl w:val="FB8E1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734D22"/>
    <w:multiLevelType w:val="hybridMultilevel"/>
    <w:tmpl w:val="3FAC26E4"/>
    <w:lvl w:ilvl="0" w:tplc="08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43B656F1"/>
    <w:multiLevelType w:val="hybridMultilevel"/>
    <w:tmpl w:val="67EA08A0"/>
    <w:lvl w:ilvl="0" w:tplc="41AA7D76">
      <w:start w:val="1"/>
      <w:numFmt w:val="bullet"/>
      <w:pStyle w:val="Bullettpoints"/>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2A1E46"/>
    <w:multiLevelType w:val="hybridMultilevel"/>
    <w:tmpl w:val="97A88CBE"/>
    <w:lvl w:ilvl="0" w:tplc="6A8868EC">
      <w:start w:val="1"/>
      <w:numFmt w:val="decimal"/>
      <w:lvlText w:val="%1."/>
      <w:lvlJc w:val="left"/>
      <w:pPr>
        <w:ind w:left="502" w:hanging="360"/>
      </w:pPr>
      <w:rPr>
        <w:rFonts w:hint="default"/>
      </w:rPr>
    </w:lvl>
    <w:lvl w:ilvl="1" w:tplc="0C090019">
      <w:start w:val="1"/>
      <w:numFmt w:val="lowerLetter"/>
      <w:lvlText w:val="%2."/>
      <w:lvlJc w:val="left"/>
      <w:pPr>
        <w:ind w:left="1222" w:hanging="360"/>
      </w:pPr>
    </w:lvl>
    <w:lvl w:ilvl="2" w:tplc="0C09001B" w:tentative="1">
      <w:start w:val="1"/>
      <w:numFmt w:val="lowerRoman"/>
      <w:lvlText w:val="%3."/>
      <w:lvlJc w:val="right"/>
      <w:pPr>
        <w:ind w:left="1942" w:hanging="180"/>
      </w:pPr>
    </w:lvl>
    <w:lvl w:ilvl="3" w:tplc="0C09000F" w:tentative="1">
      <w:start w:val="1"/>
      <w:numFmt w:val="decimal"/>
      <w:lvlText w:val="%4."/>
      <w:lvlJc w:val="left"/>
      <w:pPr>
        <w:ind w:left="2662" w:hanging="360"/>
      </w:pPr>
    </w:lvl>
    <w:lvl w:ilvl="4" w:tplc="0C090019" w:tentative="1">
      <w:start w:val="1"/>
      <w:numFmt w:val="lowerLetter"/>
      <w:lvlText w:val="%5."/>
      <w:lvlJc w:val="left"/>
      <w:pPr>
        <w:ind w:left="3382" w:hanging="360"/>
      </w:pPr>
    </w:lvl>
    <w:lvl w:ilvl="5" w:tplc="0C09001B" w:tentative="1">
      <w:start w:val="1"/>
      <w:numFmt w:val="lowerRoman"/>
      <w:lvlText w:val="%6."/>
      <w:lvlJc w:val="right"/>
      <w:pPr>
        <w:ind w:left="4102" w:hanging="180"/>
      </w:pPr>
    </w:lvl>
    <w:lvl w:ilvl="6" w:tplc="0C09000F" w:tentative="1">
      <w:start w:val="1"/>
      <w:numFmt w:val="decimal"/>
      <w:lvlText w:val="%7."/>
      <w:lvlJc w:val="left"/>
      <w:pPr>
        <w:ind w:left="4822" w:hanging="360"/>
      </w:pPr>
    </w:lvl>
    <w:lvl w:ilvl="7" w:tplc="0C090019" w:tentative="1">
      <w:start w:val="1"/>
      <w:numFmt w:val="lowerLetter"/>
      <w:lvlText w:val="%8."/>
      <w:lvlJc w:val="left"/>
      <w:pPr>
        <w:ind w:left="5542" w:hanging="360"/>
      </w:pPr>
    </w:lvl>
    <w:lvl w:ilvl="8" w:tplc="0C09001B" w:tentative="1">
      <w:start w:val="1"/>
      <w:numFmt w:val="lowerRoman"/>
      <w:lvlText w:val="%9."/>
      <w:lvlJc w:val="right"/>
      <w:pPr>
        <w:ind w:left="6262" w:hanging="180"/>
      </w:pPr>
    </w:lvl>
  </w:abstractNum>
  <w:abstractNum w:abstractNumId="6" w15:restartNumberingAfterBreak="0">
    <w:nsid w:val="4978349B"/>
    <w:multiLevelType w:val="hybridMultilevel"/>
    <w:tmpl w:val="3FAC26E4"/>
    <w:lvl w:ilvl="0" w:tplc="FFFFFFFF">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6D617DCD"/>
    <w:multiLevelType w:val="hybridMultilevel"/>
    <w:tmpl w:val="3FAC26E4"/>
    <w:lvl w:ilvl="0" w:tplc="FFFFFFFF">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7A782EEE"/>
    <w:multiLevelType w:val="hybridMultilevel"/>
    <w:tmpl w:val="3FAC26E4"/>
    <w:lvl w:ilvl="0" w:tplc="FFFFFFFF">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348917431">
    <w:abstractNumId w:val="2"/>
  </w:num>
  <w:num w:numId="2" w16cid:durableId="1493374197">
    <w:abstractNumId w:val="3"/>
  </w:num>
  <w:num w:numId="3" w16cid:durableId="1818916400">
    <w:abstractNumId w:val="6"/>
  </w:num>
  <w:num w:numId="4" w16cid:durableId="638221191">
    <w:abstractNumId w:val="8"/>
  </w:num>
  <w:num w:numId="5" w16cid:durableId="2107924322">
    <w:abstractNumId w:val="7"/>
  </w:num>
  <w:num w:numId="6" w16cid:durableId="1682467066">
    <w:abstractNumId w:val="4"/>
  </w:num>
  <w:num w:numId="7" w16cid:durableId="425998440">
    <w:abstractNumId w:val="0"/>
  </w:num>
  <w:num w:numId="8" w16cid:durableId="695692459">
    <w:abstractNumId w:val="5"/>
  </w:num>
  <w:num w:numId="9" w16cid:durableId="10485352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C6B"/>
    <w:rsid w:val="0000161E"/>
    <w:rsid w:val="000028C5"/>
    <w:rsid w:val="0000336F"/>
    <w:rsid w:val="000037E9"/>
    <w:rsid w:val="0001031A"/>
    <w:rsid w:val="000115A1"/>
    <w:rsid w:val="00011619"/>
    <w:rsid w:val="000216CB"/>
    <w:rsid w:val="0002244F"/>
    <w:rsid w:val="00023CB2"/>
    <w:rsid w:val="0003140E"/>
    <w:rsid w:val="00035577"/>
    <w:rsid w:val="00040001"/>
    <w:rsid w:val="00047AE1"/>
    <w:rsid w:val="000509F8"/>
    <w:rsid w:val="0005434F"/>
    <w:rsid w:val="00054F24"/>
    <w:rsid w:val="00055878"/>
    <w:rsid w:val="00055AE2"/>
    <w:rsid w:val="00057A5E"/>
    <w:rsid w:val="000656C6"/>
    <w:rsid w:val="00067094"/>
    <w:rsid w:val="000850CE"/>
    <w:rsid w:val="00085933"/>
    <w:rsid w:val="000868B4"/>
    <w:rsid w:val="000941FA"/>
    <w:rsid w:val="00097A0B"/>
    <w:rsid w:val="000A03C3"/>
    <w:rsid w:val="000A217C"/>
    <w:rsid w:val="000A2F1F"/>
    <w:rsid w:val="000A5329"/>
    <w:rsid w:val="000A74F1"/>
    <w:rsid w:val="000B08D2"/>
    <w:rsid w:val="000B4503"/>
    <w:rsid w:val="000B4E33"/>
    <w:rsid w:val="000C7D7E"/>
    <w:rsid w:val="000D2F14"/>
    <w:rsid w:val="000D3299"/>
    <w:rsid w:val="000D77DE"/>
    <w:rsid w:val="000E0097"/>
    <w:rsid w:val="000E6ADE"/>
    <w:rsid w:val="000F5D9C"/>
    <w:rsid w:val="000F604B"/>
    <w:rsid w:val="00104747"/>
    <w:rsid w:val="0012108F"/>
    <w:rsid w:val="001328C0"/>
    <w:rsid w:val="00150428"/>
    <w:rsid w:val="00154930"/>
    <w:rsid w:val="00156DFA"/>
    <w:rsid w:val="00163F81"/>
    <w:rsid w:val="00166AF1"/>
    <w:rsid w:val="00175A82"/>
    <w:rsid w:val="001856E9"/>
    <w:rsid w:val="00195CE2"/>
    <w:rsid w:val="00195D6E"/>
    <w:rsid w:val="001A3F40"/>
    <w:rsid w:val="001B0919"/>
    <w:rsid w:val="001B35F6"/>
    <w:rsid w:val="001B4DCC"/>
    <w:rsid w:val="001B5EC2"/>
    <w:rsid w:val="001D22C0"/>
    <w:rsid w:val="001E1FF8"/>
    <w:rsid w:val="001E57D5"/>
    <w:rsid w:val="001E6A32"/>
    <w:rsid w:val="002077E3"/>
    <w:rsid w:val="0020780A"/>
    <w:rsid w:val="00216134"/>
    <w:rsid w:val="002209C2"/>
    <w:rsid w:val="00226B68"/>
    <w:rsid w:val="00234020"/>
    <w:rsid w:val="0025382D"/>
    <w:rsid w:val="00253F09"/>
    <w:rsid w:val="00256F60"/>
    <w:rsid w:val="00257970"/>
    <w:rsid w:val="00265C32"/>
    <w:rsid w:val="002778CD"/>
    <w:rsid w:val="00277A99"/>
    <w:rsid w:val="002815B8"/>
    <w:rsid w:val="0028234F"/>
    <w:rsid w:val="00285372"/>
    <w:rsid w:val="00296C9E"/>
    <w:rsid w:val="002A4FE1"/>
    <w:rsid w:val="002A7ED5"/>
    <w:rsid w:val="002B48C5"/>
    <w:rsid w:val="002C08CE"/>
    <w:rsid w:val="002C31ED"/>
    <w:rsid w:val="002C5276"/>
    <w:rsid w:val="002D0709"/>
    <w:rsid w:val="002D477D"/>
    <w:rsid w:val="002E78B6"/>
    <w:rsid w:val="002F60CF"/>
    <w:rsid w:val="0032612B"/>
    <w:rsid w:val="003314BB"/>
    <w:rsid w:val="00336739"/>
    <w:rsid w:val="003367DE"/>
    <w:rsid w:val="003527A4"/>
    <w:rsid w:val="0035370B"/>
    <w:rsid w:val="003571D6"/>
    <w:rsid w:val="00360889"/>
    <w:rsid w:val="00361BAC"/>
    <w:rsid w:val="00373CD5"/>
    <w:rsid w:val="00380252"/>
    <w:rsid w:val="0038055E"/>
    <w:rsid w:val="0039104F"/>
    <w:rsid w:val="003A0261"/>
    <w:rsid w:val="003B46D7"/>
    <w:rsid w:val="003B5538"/>
    <w:rsid w:val="003D0015"/>
    <w:rsid w:val="003D1F05"/>
    <w:rsid w:val="003D3B17"/>
    <w:rsid w:val="003D5549"/>
    <w:rsid w:val="003D6D55"/>
    <w:rsid w:val="003E29BD"/>
    <w:rsid w:val="003E5633"/>
    <w:rsid w:val="00400B47"/>
    <w:rsid w:val="004024D0"/>
    <w:rsid w:val="0040353C"/>
    <w:rsid w:val="004123BC"/>
    <w:rsid w:val="00413622"/>
    <w:rsid w:val="004251FF"/>
    <w:rsid w:val="00437271"/>
    <w:rsid w:val="00442B7D"/>
    <w:rsid w:val="0045354C"/>
    <w:rsid w:val="00457231"/>
    <w:rsid w:val="00462C51"/>
    <w:rsid w:val="00473811"/>
    <w:rsid w:val="00475468"/>
    <w:rsid w:val="004766F3"/>
    <w:rsid w:val="0048577C"/>
    <w:rsid w:val="00486D19"/>
    <w:rsid w:val="00487376"/>
    <w:rsid w:val="004962E1"/>
    <w:rsid w:val="004B5CBD"/>
    <w:rsid w:val="004B7793"/>
    <w:rsid w:val="004C0EEC"/>
    <w:rsid w:val="004C2E25"/>
    <w:rsid w:val="004C4EBC"/>
    <w:rsid w:val="004C6415"/>
    <w:rsid w:val="004C790C"/>
    <w:rsid w:val="004D0E82"/>
    <w:rsid w:val="004D1A61"/>
    <w:rsid w:val="004D26A9"/>
    <w:rsid w:val="004D361B"/>
    <w:rsid w:val="004E0462"/>
    <w:rsid w:val="004E4CFE"/>
    <w:rsid w:val="004F073B"/>
    <w:rsid w:val="004F5648"/>
    <w:rsid w:val="005020DF"/>
    <w:rsid w:val="0050320B"/>
    <w:rsid w:val="00504119"/>
    <w:rsid w:val="0052236A"/>
    <w:rsid w:val="005269BB"/>
    <w:rsid w:val="00532E6D"/>
    <w:rsid w:val="005361B7"/>
    <w:rsid w:val="00543630"/>
    <w:rsid w:val="00545189"/>
    <w:rsid w:val="00547223"/>
    <w:rsid w:val="00553E34"/>
    <w:rsid w:val="00567275"/>
    <w:rsid w:val="00574752"/>
    <w:rsid w:val="0058181B"/>
    <w:rsid w:val="00582033"/>
    <w:rsid w:val="00590E7C"/>
    <w:rsid w:val="0059336C"/>
    <w:rsid w:val="0059374C"/>
    <w:rsid w:val="005B28EF"/>
    <w:rsid w:val="005B4F1A"/>
    <w:rsid w:val="005E1109"/>
    <w:rsid w:val="005E1BD8"/>
    <w:rsid w:val="005E49CA"/>
    <w:rsid w:val="005E56C7"/>
    <w:rsid w:val="005F2145"/>
    <w:rsid w:val="005F658E"/>
    <w:rsid w:val="005F6C6B"/>
    <w:rsid w:val="00603BF8"/>
    <w:rsid w:val="00610B41"/>
    <w:rsid w:val="00611B1D"/>
    <w:rsid w:val="0061376E"/>
    <w:rsid w:val="00613E1E"/>
    <w:rsid w:val="00616F86"/>
    <w:rsid w:val="00620115"/>
    <w:rsid w:val="0062729B"/>
    <w:rsid w:val="006309F9"/>
    <w:rsid w:val="00632567"/>
    <w:rsid w:val="006419B3"/>
    <w:rsid w:val="00643CE4"/>
    <w:rsid w:val="0064732C"/>
    <w:rsid w:val="00665845"/>
    <w:rsid w:val="0068293C"/>
    <w:rsid w:val="006857A2"/>
    <w:rsid w:val="0068604B"/>
    <w:rsid w:val="006922ED"/>
    <w:rsid w:val="006B1AFC"/>
    <w:rsid w:val="006B74FC"/>
    <w:rsid w:val="006C2EE2"/>
    <w:rsid w:val="006C5986"/>
    <w:rsid w:val="006D1B7F"/>
    <w:rsid w:val="006E043B"/>
    <w:rsid w:val="006E0AAD"/>
    <w:rsid w:val="006E33CB"/>
    <w:rsid w:val="006E7783"/>
    <w:rsid w:val="006F7C8D"/>
    <w:rsid w:val="00703937"/>
    <w:rsid w:val="00703FB8"/>
    <w:rsid w:val="0071017F"/>
    <w:rsid w:val="00716B57"/>
    <w:rsid w:val="00717276"/>
    <w:rsid w:val="00727F0E"/>
    <w:rsid w:val="007301EA"/>
    <w:rsid w:val="00733A41"/>
    <w:rsid w:val="00754743"/>
    <w:rsid w:val="0076182C"/>
    <w:rsid w:val="00766995"/>
    <w:rsid w:val="0077583A"/>
    <w:rsid w:val="007813B3"/>
    <w:rsid w:val="00785CF3"/>
    <w:rsid w:val="007933DD"/>
    <w:rsid w:val="00794092"/>
    <w:rsid w:val="007A5AB4"/>
    <w:rsid w:val="007B3559"/>
    <w:rsid w:val="007B48DF"/>
    <w:rsid w:val="007B5ABB"/>
    <w:rsid w:val="007B73B3"/>
    <w:rsid w:val="007D681D"/>
    <w:rsid w:val="007E07E0"/>
    <w:rsid w:val="007E271B"/>
    <w:rsid w:val="007E45DC"/>
    <w:rsid w:val="007F778F"/>
    <w:rsid w:val="00804A58"/>
    <w:rsid w:val="008050CB"/>
    <w:rsid w:val="00806AB7"/>
    <w:rsid w:val="0081261C"/>
    <w:rsid w:val="00813391"/>
    <w:rsid w:val="00821D2E"/>
    <w:rsid w:val="00823607"/>
    <w:rsid w:val="008243DC"/>
    <w:rsid w:val="0083011F"/>
    <w:rsid w:val="00830366"/>
    <w:rsid w:val="00831AD8"/>
    <w:rsid w:val="00834C28"/>
    <w:rsid w:val="00844B1E"/>
    <w:rsid w:val="008450B2"/>
    <w:rsid w:val="0084551D"/>
    <w:rsid w:val="00847BAC"/>
    <w:rsid w:val="00850AC4"/>
    <w:rsid w:val="008604D8"/>
    <w:rsid w:val="00860E1C"/>
    <w:rsid w:val="008622C9"/>
    <w:rsid w:val="0086287D"/>
    <w:rsid w:val="008820F1"/>
    <w:rsid w:val="00882ACB"/>
    <w:rsid w:val="00884561"/>
    <w:rsid w:val="00884DDF"/>
    <w:rsid w:val="0088676B"/>
    <w:rsid w:val="008950BB"/>
    <w:rsid w:val="008B3E7D"/>
    <w:rsid w:val="008B473F"/>
    <w:rsid w:val="008C3217"/>
    <w:rsid w:val="008C3280"/>
    <w:rsid w:val="008E1FF2"/>
    <w:rsid w:val="009007F1"/>
    <w:rsid w:val="00900AE1"/>
    <w:rsid w:val="0091264F"/>
    <w:rsid w:val="0092160C"/>
    <w:rsid w:val="0092207C"/>
    <w:rsid w:val="00923D91"/>
    <w:rsid w:val="009245E0"/>
    <w:rsid w:val="0093035E"/>
    <w:rsid w:val="00931103"/>
    <w:rsid w:val="00934B99"/>
    <w:rsid w:val="00935033"/>
    <w:rsid w:val="00953092"/>
    <w:rsid w:val="00961722"/>
    <w:rsid w:val="00961F37"/>
    <w:rsid w:val="009626E8"/>
    <w:rsid w:val="00965C6B"/>
    <w:rsid w:val="00973818"/>
    <w:rsid w:val="00984304"/>
    <w:rsid w:val="00985219"/>
    <w:rsid w:val="00991761"/>
    <w:rsid w:val="00993B74"/>
    <w:rsid w:val="00994145"/>
    <w:rsid w:val="009A4192"/>
    <w:rsid w:val="009A55AD"/>
    <w:rsid w:val="009A7312"/>
    <w:rsid w:val="009B106C"/>
    <w:rsid w:val="009C6167"/>
    <w:rsid w:val="009D3768"/>
    <w:rsid w:val="009D5035"/>
    <w:rsid w:val="009D5750"/>
    <w:rsid w:val="009D5DDD"/>
    <w:rsid w:val="009E276B"/>
    <w:rsid w:val="009F1BB7"/>
    <w:rsid w:val="009F1E50"/>
    <w:rsid w:val="009F28FC"/>
    <w:rsid w:val="009F6797"/>
    <w:rsid w:val="00A02202"/>
    <w:rsid w:val="00A153E8"/>
    <w:rsid w:val="00A229E1"/>
    <w:rsid w:val="00A3041F"/>
    <w:rsid w:val="00A374C0"/>
    <w:rsid w:val="00A41FA0"/>
    <w:rsid w:val="00A46DAC"/>
    <w:rsid w:val="00A6369A"/>
    <w:rsid w:val="00A65771"/>
    <w:rsid w:val="00A669F4"/>
    <w:rsid w:val="00A87328"/>
    <w:rsid w:val="00A875B4"/>
    <w:rsid w:val="00A931A2"/>
    <w:rsid w:val="00AA43F2"/>
    <w:rsid w:val="00AA742F"/>
    <w:rsid w:val="00AB031E"/>
    <w:rsid w:val="00AB03C1"/>
    <w:rsid w:val="00AB1CEE"/>
    <w:rsid w:val="00AB389A"/>
    <w:rsid w:val="00AB6548"/>
    <w:rsid w:val="00AC15C1"/>
    <w:rsid w:val="00AD0DA5"/>
    <w:rsid w:val="00AD128D"/>
    <w:rsid w:val="00AD5B44"/>
    <w:rsid w:val="00AD76FD"/>
    <w:rsid w:val="00AD7E2C"/>
    <w:rsid w:val="00AE1D26"/>
    <w:rsid w:val="00AE214D"/>
    <w:rsid w:val="00AF1571"/>
    <w:rsid w:val="00AF4D02"/>
    <w:rsid w:val="00AF5384"/>
    <w:rsid w:val="00B06E21"/>
    <w:rsid w:val="00B160EE"/>
    <w:rsid w:val="00B26192"/>
    <w:rsid w:val="00B37762"/>
    <w:rsid w:val="00B4732F"/>
    <w:rsid w:val="00B530EA"/>
    <w:rsid w:val="00B56BDA"/>
    <w:rsid w:val="00B610C7"/>
    <w:rsid w:val="00B6147A"/>
    <w:rsid w:val="00B61759"/>
    <w:rsid w:val="00B7319C"/>
    <w:rsid w:val="00B76107"/>
    <w:rsid w:val="00B93CA4"/>
    <w:rsid w:val="00BA47F8"/>
    <w:rsid w:val="00BB2876"/>
    <w:rsid w:val="00BC03D8"/>
    <w:rsid w:val="00BC0787"/>
    <w:rsid w:val="00BC547F"/>
    <w:rsid w:val="00BE3975"/>
    <w:rsid w:val="00BE633A"/>
    <w:rsid w:val="00C11616"/>
    <w:rsid w:val="00C124E6"/>
    <w:rsid w:val="00C17F56"/>
    <w:rsid w:val="00C22667"/>
    <w:rsid w:val="00C25E71"/>
    <w:rsid w:val="00C33BAD"/>
    <w:rsid w:val="00C409A5"/>
    <w:rsid w:val="00C50850"/>
    <w:rsid w:val="00C6142E"/>
    <w:rsid w:val="00C620E5"/>
    <w:rsid w:val="00C7199F"/>
    <w:rsid w:val="00C721D7"/>
    <w:rsid w:val="00C811FE"/>
    <w:rsid w:val="00C82975"/>
    <w:rsid w:val="00C83CF8"/>
    <w:rsid w:val="00C907BA"/>
    <w:rsid w:val="00CA1CF1"/>
    <w:rsid w:val="00CB3848"/>
    <w:rsid w:val="00CB73A6"/>
    <w:rsid w:val="00CC0385"/>
    <w:rsid w:val="00CC13C8"/>
    <w:rsid w:val="00CE49EA"/>
    <w:rsid w:val="00CE7BF2"/>
    <w:rsid w:val="00CF1391"/>
    <w:rsid w:val="00CF2F60"/>
    <w:rsid w:val="00CF3EC9"/>
    <w:rsid w:val="00CF5BEB"/>
    <w:rsid w:val="00D112BC"/>
    <w:rsid w:val="00D1692E"/>
    <w:rsid w:val="00D23627"/>
    <w:rsid w:val="00D24F18"/>
    <w:rsid w:val="00D317ED"/>
    <w:rsid w:val="00D345D1"/>
    <w:rsid w:val="00D4002F"/>
    <w:rsid w:val="00D4008E"/>
    <w:rsid w:val="00D4581C"/>
    <w:rsid w:val="00D4646D"/>
    <w:rsid w:val="00D52BE1"/>
    <w:rsid w:val="00D564FF"/>
    <w:rsid w:val="00D608A9"/>
    <w:rsid w:val="00D61D48"/>
    <w:rsid w:val="00D76549"/>
    <w:rsid w:val="00D77E39"/>
    <w:rsid w:val="00D81316"/>
    <w:rsid w:val="00D8285F"/>
    <w:rsid w:val="00D9713A"/>
    <w:rsid w:val="00DA30B1"/>
    <w:rsid w:val="00DB2914"/>
    <w:rsid w:val="00DB2942"/>
    <w:rsid w:val="00DB3264"/>
    <w:rsid w:val="00DB418B"/>
    <w:rsid w:val="00DB651A"/>
    <w:rsid w:val="00DD2868"/>
    <w:rsid w:val="00DF0122"/>
    <w:rsid w:val="00DF232B"/>
    <w:rsid w:val="00E002AC"/>
    <w:rsid w:val="00E03F12"/>
    <w:rsid w:val="00E1107A"/>
    <w:rsid w:val="00E17366"/>
    <w:rsid w:val="00E2201D"/>
    <w:rsid w:val="00E228D7"/>
    <w:rsid w:val="00E30F38"/>
    <w:rsid w:val="00E33863"/>
    <w:rsid w:val="00E41A7D"/>
    <w:rsid w:val="00E45F5B"/>
    <w:rsid w:val="00E55394"/>
    <w:rsid w:val="00E70192"/>
    <w:rsid w:val="00E76CB3"/>
    <w:rsid w:val="00E811BE"/>
    <w:rsid w:val="00E86802"/>
    <w:rsid w:val="00E86D19"/>
    <w:rsid w:val="00E975B0"/>
    <w:rsid w:val="00EA519D"/>
    <w:rsid w:val="00EA729D"/>
    <w:rsid w:val="00EB3C97"/>
    <w:rsid w:val="00EC0EB4"/>
    <w:rsid w:val="00EC3878"/>
    <w:rsid w:val="00EC3B8B"/>
    <w:rsid w:val="00EC5C19"/>
    <w:rsid w:val="00EF09F9"/>
    <w:rsid w:val="00EF4DA7"/>
    <w:rsid w:val="00EF6F2D"/>
    <w:rsid w:val="00F02ED4"/>
    <w:rsid w:val="00F126C3"/>
    <w:rsid w:val="00F163EB"/>
    <w:rsid w:val="00F31A78"/>
    <w:rsid w:val="00F32707"/>
    <w:rsid w:val="00F37E8C"/>
    <w:rsid w:val="00F4137D"/>
    <w:rsid w:val="00F537C7"/>
    <w:rsid w:val="00F53A1E"/>
    <w:rsid w:val="00F60482"/>
    <w:rsid w:val="00F748CE"/>
    <w:rsid w:val="00F80812"/>
    <w:rsid w:val="00F8260F"/>
    <w:rsid w:val="00F87E7F"/>
    <w:rsid w:val="00F91214"/>
    <w:rsid w:val="00F954E1"/>
    <w:rsid w:val="00FA14AF"/>
    <w:rsid w:val="00FA26CC"/>
    <w:rsid w:val="00FA2B92"/>
    <w:rsid w:val="00FB768E"/>
    <w:rsid w:val="00FC346A"/>
    <w:rsid w:val="00FC7630"/>
    <w:rsid w:val="00FE25C6"/>
    <w:rsid w:val="00FE6A2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6BE762"/>
  <w15:chartTrackingRefBased/>
  <w15:docId w15:val="{380B9D7B-E59C-4FDF-BA49-14F09177F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13B3"/>
  </w:style>
  <w:style w:type="paragraph" w:styleId="Heading1">
    <w:name w:val="heading 1"/>
    <w:basedOn w:val="Normal"/>
    <w:next w:val="Normal"/>
    <w:link w:val="Heading1Char"/>
    <w:autoRedefine/>
    <w:uiPriority w:val="9"/>
    <w:qFormat/>
    <w:rsid w:val="00AF4D02"/>
    <w:pPr>
      <w:keepNext/>
      <w:keepLines/>
      <w:outlineLvl w:val="0"/>
    </w:pPr>
    <w:rPr>
      <w:rFonts w:ascii="Arial" w:eastAsiaTheme="majorEastAsia" w:hAnsi="Arial" w:cstheme="majorBidi"/>
      <w:b/>
      <w:color w:val="6100A5"/>
      <w:sz w:val="36"/>
      <w:szCs w:val="40"/>
    </w:rPr>
  </w:style>
  <w:style w:type="paragraph" w:styleId="Heading2">
    <w:name w:val="heading 2"/>
    <w:basedOn w:val="Normal"/>
    <w:next w:val="Normal"/>
    <w:link w:val="Heading2Char"/>
    <w:autoRedefine/>
    <w:uiPriority w:val="9"/>
    <w:unhideWhenUsed/>
    <w:qFormat/>
    <w:rsid w:val="0005434F"/>
    <w:pPr>
      <w:outlineLvl w:val="1"/>
    </w:pPr>
    <w:rPr>
      <w:b/>
    </w:rPr>
  </w:style>
  <w:style w:type="paragraph" w:styleId="Heading3">
    <w:name w:val="heading 3"/>
    <w:basedOn w:val="Normal"/>
    <w:next w:val="Normal"/>
    <w:link w:val="Heading3Char"/>
    <w:uiPriority w:val="9"/>
    <w:semiHidden/>
    <w:unhideWhenUsed/>
    <w:qFormat/>
    <w:rsid w:val="005F6C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6C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6C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6C6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6C6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6C6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6C6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4D02"/>
    <w:rPr>
      <w:rFonts w:ascii="Arial" w:eastAsiaTheme="majorEastAsia" w:hAnsi="Arial" w:cstheme="majorBidi"/>
      <w:b/>
      <w:color w:val="6100A5"/>
      <w:sz w:val="36"/>
      <w:szCs w:val="40"/>
    </w:rPr>
  </w:style>
  <w:style w:type="character" w:customStyle="1" w:styleId="Heading2Char">
    <w:name w:val="Heading 2 Char"/>
    <w:basedOn w:val="DefaultParagraphFont"/>
    <w:link w:val="Heading2"/>
    <w:uiPriority w:val="9"/>
    <w:rsid w:val="0005434F"/>
    <w:rPr>
      <w:b/>
    </w:rPr>
  </w:style>
  <w:style w:type="character" w:customStyle="1" w:styleId="Heading3Char">
    <w:name w:val="Heading 3 Char"/>
    <w:basedOn w:val="DefaultParagraphFont"/>
    <w:link w:val="Heading3"/>
    <w:uiPriority w:val="9"/>
    <w:semiHidden/>
    <w:rsid w:val="005F6C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6C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6C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6C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6C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6C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6C6B"/>
    <w:rPr>
      <w:rFonts w:eastAsiaTheme="majorEastAsia" w:cstheme="majorBidi"/>
      <w:color w:val="272727" w:themeColor="text1" w:themeTint="D8"/>
    </w:rPr>
  </w:style>
  <w:style w:type="paragraph" w:styleId="Title">
    <w:name w:val="Title"/>
    <w:basedOn w:val="Normal"/>
    <w:next w:val="Normal"/>
    <w:link w:val="TitleChar"/>
    <w:autoRedefine/>
    <w:uiPriority w:val="10"/>
    <w:qFormat/>
    <w:rsid w:val="00285372"/>
    <w:pPr>
      <w:spacing w:after="80"/>
      <w:contextualSpacing/>
    </w:pPr>
    <w:rPr>
      <w:rFonts w:ascii="Arial" w:eastAsiaTheme="majorEastAsia" w:hAnsi="Arial" w:cstheme="majorBidi"/>
      <w:b/>
      <w:noProof/>
      <w:color w:val="7B15EF"/>
      <w:spacing w:val="-10"/>
      <w:kern w:val="28"/>
      <w:sz w:val="40"/>
      <w:szCs w:val="56"/>
    </w:rPr>
  </w:style>
  <w:style w:type="character" w:customStyle="1" w:styleId="TitleChar">
    <w:name w:val="Title Char"/>
    <w:basedOn w:val="DefaultParagraphFont"/>
    <w:link w:val="Title"/>
    <w:uiPriority w:val="10"/>
    <w:rsid w:val="00285372"/>
    <w:rPr>
      <w:rFonts w:ascii="Arial" w:eastAsiaTheme="majorEastAsia" w:hAnsi="Arial" w:cstheme="majorBidi"/>
      <w:b/>
      <w:noProof/>
      <w:color w:val="7B15EF"/>
      <w:spacing w:val="-10"/>
      <w:kern w:val="28"/>
      <w:sz w:val="40"/>
      <w:szCs w:val="56"/>
    </w:rPr>
  </w:style>
  <w:style w:type="paragraph" w:styleId="Subtitle">
    <w:name w:val="Subtitle"/>
    <w:basedOn w:val="Normal"/>
    <w:next w:val="Normal"/>
    <w:link w:val="SubtitleChar"/>
    <w:uiPriority w:val="11"/>
    <w:qFormat/>
    <w:rsid w:val="005F6C6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6C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6C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F6C6B"/>
    <w:rPr>
      <w:i/>
      <w:iCs/>
      <w:color w:val="404040" w:themeColor="text1" w:themeTint="BF"/>
    </w:rPr>
  </w:style>
  <w:style w:type="paragraph" w:styleId="ListParagraph">
    <w:name w:val="List Paragraph"/>
    <w:basedOn w:val="Normal"/>
    <w:uiPriority w:val="34"/>
    <w:qFormat/>
    <w:rsid w:val="005F6C6B"/>
    <w:pPr>
      <w:ind w:left="720"/>
      <w:contextualSpacing/>
    </w:pPr>
  </w:style>
  <w:style w:type="character" w:styleId="IntenseEmphasis">
    <w:name w:val="Intense Emphasis"/>
    <w:basedOn w:val="DefaultParagraphFont"/>
    <w:uiPriority w:val="21"/>
    <w:qFormat/>
    <w:rsid w:val="005F6C6B"/>
    <w:rPr>
      <w:i/>
      <w:iCs/>
      <w:color w:val="0F4761" w:themeColor="accent1" w:themeShade="BF"/>
    </w:rPr>
  </w:style>
  <w:style w:type="paragraph" w:styleId="IntenseQuote">
    <w:name w:val="Intense Quote"/>
    <w:basedOn w:val="Normal"/>
    <w:next w:val="Normal"/>
    <w:link w:val="IntenseQuoteChar"/>
    <w:uiPriority w:val="30"/>
    <w:qFormat/>
    <w:rsid w:val="005F6C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6C6B"/>
    <w:rPr>
      <w:i/>
      <w:iCs/>
      <w:color w:val="0F4761" w:themeColor="accent1" w:themeShade="BF"/>
    </w:rPr>
  </w:style>
  <w:style w:type="character" w:styleId="IntenseReference">
    <w:name w:val="Intense Reference"/>
    <w:basedOn w:val="DefaultParagraphFont"/>
    <w:uiPriority w:val="32"/>
    <w:qFormat/>
    <w:rsid w:val="005F6C6B"/>
    <w:rPr>
      <w:b/>
      <w:bCs/>
      <w:smallCaps/>
      <w:color w:val="0F4761" w:themeColor="accent1" w:themeShade="BF"/>
      <w:spacing w:val="5"/>
    </w:rPr>
  </w:style>
  <w:style w:type="paragraph" w:styleId="Header">
    <w:name w:val="header"/>
    <w:basedOn w:val="Normal"/>
    <w:link w:val="HeaderChar"/>
    <w:uiPriority w:val="99"/>
    <w:unhideWhenUsed/>
    <w:rsid w:val="0020780A"/>
    <w:pPr>
      <w:tabs>
        <w:tab w:val="center" w:pos="4513"/>
        <w:tab w:val="right" w:pos="9026"/>
      </w:tabs>
    </w:pPr>
  </w:style>
  <w:style w:type="character" w:customStyle="1" w:styleId="HeaderChar">
    <w:name w:val="Header Char"/>
    <w:basedOn w:val="DefaultParagraphFont"/>
    <w:link w:val="Header"/>
    <w:uiPriority w:val="99"/>
    <w:rsid w:val="0020780A"/>
  </w:style>
  <w:style w:type="paragraph" w:styleId="Footer">
    <w:name w:val="footer"/>
    <w:basedOn w:val="Normal"/>
    <w:link w:val="FooterChar"/>
    <w:uiPriority w:val="99"/>
    <w:unhideWhenUsed/>
    <w:rsid w:val="0020780A"/>
    <w:pPr>
      <w:tabs>
        <w:tab w:val="center" w:pos="4513"/>
        <w:tab w:val="right" w:pos="9026"/>
      </w:tabs>
    </w:pPr>
  </w:style>
  <w:style w:type="character" w:customStyle="1" w:styleId="FooterChar">
    <w:name w:val="Footer Char"/>
    <w:basedOn w:val="DefaultParagraphFont"/>
    <w:link w:val="Footer"/>
    <w:uiPriority w:val="99"/>
    <w:rsid w:val="0020780A"/>
  </w:style>
  <w:style w:type="paragraph" w:styleId="TOCHeading">
    <w:name w:val="TOC Heading"/>
    <w:basedOn w:val="Heading1"/>
    <w:next w:val="Normal"/>
    <w:uiPriority w:val="39"/>
    <w:unhideWhenUsed/>
    <w:qFormat/>
    <w:rsid w:val="00A875B4"/>
    <w:pPr>
      <w:spacing w:before="480" w:line="276" w:lineRule="auto"/>
      <w:outlineLvl w:val="9"/>
    </w:pPr>
    <w:rPr>
      <w:b w:val="0"/>
      <w:bCs/>
      <w:kern w:val="0"/>
      <w:sz w:val="28"/>
      <w:szCs w:val="28"/>
      <w:lang w:val="en-US"/>
      <w14:ligatures w14:val="none"/>
    </w:rPr>
  </w:style>
  <w:style w:type="paragraph" w:styleId="TOC1">
    <w:name w:val="toc 1"/>
    <w:basedOn w:val="Normal"/>
    <w:next w:val="Normal"/>
    <w:autoRedefine/>
    <w:uiPriority w:val="39"/>
    <w:unhideWhenUsed/>
    <w:rsid w:val="00A875B4"/>
    <w:pPr>
      <w:spacing w:before="360" w:after="360"/>
    </w:pPr>
    <w:rPr>
      <w:b/>
      <w:bCs/>
      <w:caps/>
      <w:sz w:val="22"/>
      <w:szCs w:val="22"/>
      <w:u w:val="single"/>
    </w:rPr>
  </w:style>
  <w:style w:type="paragraph" w:styleId="TOC2">
    <w:name w:val="toc 2"/>
    <w:basedOn w:val="Normal"/>
    <w:next w:val="Normal"/>
    <w:autoRedefine/>
    <w:uiPriority w:val="39"/>
    <w:semiHidden/>
    <w:unhideWhenUsed/>
    <w:rsid w:val="00A875B4"/>
    <w:rPr>
      <w:b/>
      <w:bCs/>
      <w:smallCaps/>
      <w:sz w:val="22"/>
      <w:szCs w:val="22"/>
    </w:rPr>
  </w:style>
  <w:style w:type="paragraph" w:styleId="TOC3">
    <w:name w:val="toc 3"/>
    <w:basedOn w:val="Normal"/>
    <w:next w:val="Normal"/>
    <w:autoRedefine/>
    <w:uiPriority w:val="39"/>
    <w:semiHidden/>
    <w:unhideWhenUsed/>
    <w:rsid w:val="00A875B4"/>
    <w:rPr>
      <w:smallCaps/>
      <w:sz w:val="22"/>
      <w:szCs w:val="22"/>
    </w:rPr>
  </w:style>
  <w:style w:type="paragraph" w:styleId="TOC4">
    <w:name w:val="toc 4"/>
    <w:basedOn w:val="Normal"/>
    <w:next w:val="Normal"/>
    <w:autoRedefine/>
    <w:uiPriority w:val="39"/>
    <w:semiHidden/>
    <w:unhideWhenUsed/>
    <w:rsid w:val="00A875B4"/>
    <w:rPr>
      <w:sz w:val="22"/>
      <w:szCs w:val="22"/>
    </w:rPr>
  </w:style>
  <w:style w:type="paragraph" w:styleId="TOC5">
    <w:name w:val="toc 5"/>
    <w:basedOn w:val="Normal"/>
    <w:next w:val="Normal"/>
    <w:autoRedefine/>
    <w:uiPriority w:val="39"/>
    <w:semiHidden/>
    <w:unhideWhenUsed/>
    <w:rsid w:val="00A875B4"/>
    <w:rPr>
      <w:sz w:val="22"/>
      <w:szCs w:val="22"/>
    </w:rPr>
  </w:style>
  <w:style w:type="paragraph" w:styleId="TOC6">
    <w:name w:val="toc 6"/>
    <w:basedOn w:val="Normal"/>
    <w:next w:val="Normal"/>
    <w:autoRedefine/>
    <w:uiPriority w:val="39"/>
    <w:semiHidden/>
    <w:unhideWhenUsed/>
    <w:rsid w:val="00A875B4"/>
    <w:rPr>
      <w:sz w:val="22"/>
      <w:szCs w:val="22"/>
    </w:rPr>
  </w:style>
  <w:style w:type="paragraph" w:styleId="TOC7">
    <w:name w:val="toc 7"/>
    <w:basedOn w:val="Normal"/>
    <w:next w:val="Normal"/>
    <w:autoRedefine/>
    <w:uiPriority w:val="39"/>
    <w:semiHidden/>
    <w:unhideWhenUsed/>
    <w:rsid w:val="00A875B4"/>
    <w:rPr>
      <w:sz w:val="22"/>
      <w:szCs w:val="22"/>
    </w:rPr>
  </w:style>
  <w:style w:type="paragraph" w:styleId="TOC8">
    <w:name w:val="toc 8"/>
    <w:basedOn w:val="Normal"/>
    <w:next w:val="Normal"/>
    <w:autoRedefine/>
    <w:uiPriority w:val="39"/>
    <w:semiHidden/>
    <w:unhideWhenUsed/>
    <w:rsid w:val="00A875B4"/>
    <w:rPr>
      <w:sz w:val="22"/>
      <w:szCs w:val="22"/>
    </w:rPr>
  </w:style>
  <w:style w:type="paragraph" w:styleId="TOC9">
    <w:name w:val="toc 9"/>
    <w:basedOn w:val="Normal"/>
    <w:next w:val="Normal"/>
    <w:autoRedefine/>
    <w:uiPriority w:val="39"/>
    <w:semiHidden/>
    <w:unhideWhenUsed/>
    <w:rsid w:val="00A875B4"/>
    <w:rPr>
      <w:sz w:val="22"/>
      <w:szCs w:val="22"/>
    </w:rPr>
  </w:style>
  <w:style w:type="character" w:styleId="PageNumber">
    <w:name w:val="page number"/>
    <w:basedOn w:val="DefaultParagraphFont"/>
    <w:uiPriority w:val="99"/>
    <w:semiHidden/>
    <w:unhideWhenUsed/>
    <w:rsid w:val="00C409A5"/>
  </w:style>
  <w:style w:type="paragraph" w:styleId="NoSpacing">
    <w:name w:val="No Spacing"/>
    <w:uiPriority w:val="1"/>
    <w:qFormat/>
    <w:rsid w:val="001B35F6"/>
    <w:rPr>
      <w:rFonts w:eastAsiaTheme="minorEastAsia"/>
      <w:kern w:val="0"/>
      <w:sz w:val="22"/>
      <w:szCs w:val="22"/>
      <w:lang w:val="en-US" w:eastAsia="zh-CN"/>
      <w14:ligatures w14:val="none"/>
    </w:rPr>
  </w:style>
  <w:style w:type="table" w:styleId="TableGrid">
    <w:name w:val="Table Grid"/>
    <w:basedOn w:val="TableNormal"/>
    <w:uiPriority w:val="39"/>
    <w:rsid w:val="00A374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811BE"/>
    <w:rPr>
      <w:color w:val="467886" w:themeColor="hyperlink"/>
      <w:u w:val="single"/>
    </w:rPr>
  </w:style>
  <w:style w:type="character" w:styleId="UnresolvedMention">
    <w:name w:val="Unresolved Mention"/>
    <w:basedOn w:val="DefaultParagraphFont"/>
    <w:uiPriority w:val="99"/>
    <w:semiHidden/>
    <w:unhideWhenUsed/>
    <w:rsid w:val="00E811BE"/>
    <w:rPr>
      <w:color w:val="605E5C"/>
      <w:shd w:val="clear" w:color="auto" w:fill="E1DFDD"/>
    </w:rPr>
  </w:style>
  <w:style w:type="paragraph" w:customStyle="1" w:styleId="Mainheading">
    <w:name w:val="Main heading"/>
    <w:qFormat/>
    <w:rsid w:val="00285372"/>
    <w:pPr>
      <w:spacing w:after="400" w:line="440" w:lineRule="exact"/>
    </w:pPr>
    <w:rPr>
      <w:rFonts w:ascii="Arial" w:eastAsia="MS Mincho" w:hAnsi="Arial" w:cs="Arial"/>
      <w:color w:val="222427"/>
      <w:kern w:val="0"/>
      <w:sz w:val="36"/>
      <w:szCs w:val="44"/>
      <w:lang w:val="en-US"/>
      <w14:ligatures w14:val="none"/>
    </w:rPr>
  </w:style>
  <w:style w:type="paragraph" w:customStyle="1" w:styleId="Subheadingintro">
    <w:name w:val="Sub heading/intro"/>
    <w:basedOn w:val="Normal"/>
    <w:qFormat/>
    <w:rsid w:val="00285372"/>
    <w:pPr>
      <w:spacing w:after="400" w:line="320" w:lineRule="exact"/>
    </w:pPr>
    <w:rPr>
      <w:rFonts w:ascii="Arial" w:eastAsia="MS Mincho" w:hAnsi="Arial" w:cs="Arial"/>
      <w:color w:val="222427"/>
      <w:kern w:val="0"/>
      <w:sz w:val="28"/>
      <w:szCs w:val="28"/>
      <w:lang w:val="en-US"/>
      <w14:ligatures w14:val="none"/>
    </w:rPr>
  </w:style>
  <w:style w:type="paragraph" w:customStyle="1" w:styleId="Subhead-2">
    <w:name w:val="Sub head-2"/>
    <w:basedOn w:val="Subheadingintro"/>
    <w:qFormat/>
    <w:rsid w:val="00285372"/>
    <w:pPr>
      <w:spacing w:before="400" w:after="100" w:line="260" w:lineRule="exact"/>
    </w:pPr>
    <w:rPr>
      <w:sz w:val="24"/>
      <w:szCs w:val="24"/>
    </w:rPr>
  </w:style>
  <w:style w:type="paragraph" w:customStyle="1" w:styleId="Bodycopy">
    <w:name w:val="Body copy"/>
    <w:basedOn w:val="Subhead-2"/>
    <w:qFormat/>
    <w:rsid w:val="00285372"/>
    <w:pPr>
      <w:spacing w:before="0"/>
    </w:pPr>
    <w:rPr>
      <w:sz w:val="20"/>
      <w:szCs w:val="20"/>
      <w:lang w:val="en-AU"/>
    </w:rPr>
  </w:style>
  <w:style w:type="paragraph" w:customStyle="1" w:styleId="Bullettpoints">
    <w:name w:val="Bullett points"/>
    <w:basedOn w:val="Bodycopy"/>
    <w:qFormat/>
    <w:rsid w:val="00285372"/>
    <w:pPr>
      <w:numPr>
        <w:numId w:val="6"/>
      </w:numPr>
      <w:spacing w:after="40"/>
    </w:pPr>
  </w:style>
  <w:style w:type="character" w:styleId="CommentReference">
    <w:name w:val="annotation reference"/>
    <w:basedOn w:val="DefaultParagraphFont"/>
    <w:uiPriority w:val="99"/>
    <w:semiHidden/>
    <w:unhideWhenUsed/>
    <w:rsid w:val="0003140E"/>
    <w:rPr>
      <w:sz w:val="16"/>
      <w:szCs w:val="16"/>
    </w:rPr>
  </w:style>
  <w:style w:type="paragraph" w:styleId="CommentText">
    <w:name w:val="annotation text"/>
    <w:basedOn w:val="Normal"/>
    <w:link w:val="CommentTextChar"/>
    <w:uiPriority w:val="99"/>
    <w:unhideWhenUsed/>
    <w:rsid w:val="0003140E"/>
    <w:rPr>
      <w:sz w:val="20"/>
      <w:szCs w:val="20"/>
    </w:rPr>
  </w:style>
  <w:style w:type="character" w:customStyle="1" w:styleId="CommentTextChar">
    <w:name w:val="Comment Text Char"/>
    <w:basedOn w:val="DefaultParagraphFont"/>
    <w:link w:val="CommentText"/>
    <w:uiPriority w:val="99"/>
    <w:rsid w:val="0003140E"/>
    <w:rPr>
      <w:sz w:val="20"/>
      <w:szCs w:val="20"/>
    </w:rPr>
  </w:style>
  <w:style w:type="paragraph" w:styleId="CommentSubject">
    <w:name w:val="annotation subject"/>
    <w:basedOn w:val="CommentText"/>
    <w:next w:val="CommentText"/>
    <w:link w:val="CommentSubjectChar"/>
    <w:uiPriority w:val="99"/>
    <w:semiHidden/>
    <w:unhideWhenUsed/>
    <w:rsid w:val="0003140E"/>
    <w:rPr>
      <w:b/>
      <w:bCs/>
    </w:rPr>
  </w:style>
  <w:style w:type="character" w:customStyle="1" w:styleId="CommentSubjectChar">
    <w:name w:val="Comment Subject Char"/>
    <w:basedOn w:val="CommentTextChar"/>
    <w:link w:val="CommentSubject"/>
    <w:uiPriority w:val="99"/>
    <w:semiHidden/>
    <w:rsid w:val="0003140E"/>
    <w:rPr>
      <w:b/>
      <w:bCs/>
      <w:sz w:val="20"/>
      <w:szCs w:val="20"/>
    </w:rPr>
  </w:style>
  <w:style w:type="paragraph" w:styleId="Revision">
    <w:name w:val="Revision"/>
    <w:hidden/>
    <w:uiPriority w:val="99"/>
    <w:semiHidden/>
    <w:rsid w:val="00EA519D"/>
  </w:style>
  <w:style w:type="paragraph" w:styleId="FootnoteText">
    <w:name w:val="footnote text"/>
    <w:basedOn w:val="Normal"/>
    <w:link w:val="FootnoteTextChar"/>
    <w:uiPriority w:val="99"/>
    <w:semiHidden/>
    <w:unhideWhenUsed/>
    <w:rsid w:val="00CF1391"/>
    <w:rPr>
      <w:sz w:val="20"/>
      <w:szCs w:val="20"/>
    </w:rPr>
  </w:style>
  <w:style w:type="character" w:customStyle="1" w:styleId="FootnoteTextChar">
    <w:name w:val="Footnote Text Char"/>
    <w:basedOn w:val="DefaultParagraphFont"/>
    <w:link w:val="FootnoteText"/>
    <w:uiPriority w:val="99"/>
    <w:semiHidden/>
    <w:rsid w:val="00CF1391"/>
    <w:rPr>
      <w:sz w:val="20"/>
      <w:szCs w:val="20"/>
    </w:rPr>
  </w:style>
  <w:style w:type="character" w:styleId="FootnoteReference">
    <w:name w:val="footnote reference"/>
    <w:basedOn w:val="DefaultParagraphFont"/>
    <w:uiPriority w:val="99"/>
    <w:semiHidden/>
    <w:unhideWhenUsed/>
    <w:rsid w:val="00CF139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ourtney.sloane@myob.com"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pysubmissions@rba.gov.au"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6A1379594DF4B8F236F3B97A4A3A3" ma:contentTypeVersion="21" ma:contentTypeDescription="Create a new document." ma:contentTypeScope="" ma:versionID="60564f4556a0c83b1465f03eeff66390">
  <xsd:schema xmlns:xsd="http://www.w3.org/2001/XMLSchema" xmlns:xs="http://www.w3.org/2001/XMLSchema" xmlns:p="http://schemas.microsoft.com/office/2006/metadata/properties" xmlns:ns1="http://schemas.microsoft.com/sharepoint/v3" xmlns:ns2="63d655f3-71aa-4863-8da8-2ed83ee6a61f" xmlns:ns3="4b362f70-c081-4996-a4d2-db69c5448761" targetNamespace="http://schemas.microsoft.com/office/2006/metadata/properties" ma:root="true" ma:fieldsID="4c694295eb8fcf29caf8cb08f8e943b8" ns1:_="" ns2:_="" ns3:_="">
    <xsd:import namespace="http://schemas.microsoft.com/sharepoint/v3"/>
    <xsd:import namespace="63d655f3-71aa-4863-8da8-2ed83ee6a61f"/>
    <xsd:import namespace="4b362f70-c081-4996-a4d2-db69c544876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3d655f3-71aa-4863-8da8-2ed83ee6a6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b9fe689-ca72-411a-9918-cfb4150dd8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b362f70-c081-4996-a4d2-db69c544876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3036475-1155-411c-a578-31ee1eba8d98}" ma:internalName="TaxCatchAll" ma:showField="CatchAllData" ma:web="4b362f70-c081-4996-a4d2-db69c544876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b362f70-c081-4996-a4d2-db69c5448761" xsi:nil="true"/>
    <lcf76f155ced4ddcb4097134ff3c332f xmlns="63d655f3-71aa-4863-8da8-2ed83ee6a61f">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D0921E-99DF-4490-B00E-052BC66FFE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3d655f3-71aa-4863-8da8-2ed83ee6a61f"/>
    <ds:schemaRef ds:uri="4b362f70-c081-4996-a4d2-db69c54487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E1CA02-2819-4B29-A8BB-8D5D3DE0D425}">
  <ds:schemaRefs>
    <ds:schemaRef ds:uri="http://schemas.microsoft.com/office/2006/metadata/properties"/>
    <ds:schemaRef ds:uri="http://schemas.microsoft.com/office/infopath/2007/PartnerControls"/>
    <ds:schemaRef ds:uri="4b362f70-c081-4996-a4d2-db69c5448761"/>
    <ds:schemaRef ds:uri="63d655f3-71aa-4863-8da8-2ed83ee6a61f"/>
    <ds:schemaRef ds:uri="http://schemas.microsoft.com/sharepoint/v3"/>
  </ds:schemaRefs>
</ds:datastoreItem>
</file>

<file path=customXml/itemProps3.xml><?xml version="1.0" encoding="utf-8"?>
<ds:datastoreItem xmlns:ds="http://schemas.openxmlformats.org/officeDocument/2006/customXml" ds:itemID="{FB6A58E4-DE0F-7B47-8D81-9C8E68D867B7}">
  <ds:schemaRefs>
    <ds:schemaRef ds:uri="http://schemas.openxmlformats.org/officeDocument/2006/bibliography"/>
  </ds:schemaRefs>
</ds:datastoreItem>
</file>

<file path=customXml/itemProps4.xml><?xml version="1.0" encoding="utf-8"?>
<ds:datastoreItem xmlns:ds="http://schemas.openxmlformats.org/officeDocument/2006/customXml" ds:itemID="{C321E1A7-DB01-4D72-A20A-33CB9A435391}">
  <ds:schemaRefs>
    <ds:schemaRef ds:uri="http://schemas.microsoft.com/sharepoint/v3/contenttype/forms"/>
  </ds:schemaRefs>
</ds:datastoreItem>
</file>

<file path=docMetadata/LabelInfo.xml><?xml version="1.0" encoding="utf-8"?>
<clbl:labelList xmlns:clbl="http://schemas.microsoft.com/office/2020/mipLabelMetadata">
  <clbl:label id="{1c265033-71e1-40e0-8787-a8d4bd0d44f0}" enabled="1" method="Privileged" siteId="{ec47f5ff-c7b8-4848-8659-11c2c424d12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6</Pages>
  <Words>1309</Words>
  <Characters>7375</Characters>
  <Application>Microsoft Office Word</Application>
  <DocSecurity>4</DocSecurity>
  <Lines>125</Lines>
  <Paragraphs>39</Paragraphs>
  <ScaleCrop>false</ScaleCrop>
  <HeadingPairs>
    <vt:vector size="2" baseType="variant">
      <vt:variant>
        <vt:lpstr>Title</vt:lpstr>
      </vt:variant>
      <vt:variant>
        <vt:i4>1</vt:i4>
      </vt:variant>
    </vt:vector>
  </HeadingPairs>
  <TitlesOfParts>
    <vt:vector size="1" baseType="lpstr">
      <vt:lpstr>MYOB | Lorem ipsum dolor sit amet consectetur</vt:lpstr>
    </vt:vector>
  </TitlesOfParts>
  <Company/>
  <LinksUpToDate>false</LinksUpToDate>
  <CharactersWithSpaces>8645</CharactersWithSpaces>
  <SharedDoc>false</SharedDoc>
  <HLinks>
    <vt:vector size="12" baseType="variant">
      <vt:variant>
        <vt:i4>6291466</vt:i4>
      </vt:variant>
      <vt:variant>
        <vt:i4>3</vt:i4>
      </vt:variant>
      <vt:variant>
        <vt:i4>0</vt:i4>
      </vt:variant>
      <vt:variant>
        <vt:i4>5</vt:i4>
      </vt:variant>
      <vt:variant>
        <vt:lpwstr>mailto:courtney.sloane@myob.com</vt:lpwstr>
      </vt:variant>
      <vt:variant>
        <vt:lpwstr/>
      </vt:variant>
      <vt:variant>
        <vt:i4>6684690</vt:i4>
      </vt:variant>
      <vt:variant>
        <vt:i4>0</vt:i4>
      </vt:variant>
      <vt:variant>
        <vt:i4>0</vt:i4>
      </vt:variant>
      <vt:variant>
        <vt:i4>5</vt:i4>
      </vt:variant>
      <vt:variant>
        <vt:lpwstr>mailto:pysubmissions@rba.gov.au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MYOB | Lorem ipsum dolor sit amet consectetur</dc:title>
  <dc:subject/>
  <dc:creator>Tamana Tam</dc:creator>
  <cp:keywords/>
  <dc:description/>
  <cp:lastModifiedBy>WONG, Sally</cp:lastModifiedBy>
  <cp:revision>2</cp:revision>
  <cp:lastPrinted>2024-09-06T20:19:00Z</cp:lastPrinted>
  <dcterms:created xsi:type="dcterms:W3CDTF">2025-08-26T03:20:00Z</dcterms:created>
  <dcterms:modified xsi:type="dcterms:W3CDTF">2025-08-26T03:20:00Z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0x010100B7B6A1379594DF4B8F236F3B97A4A3A3</vt:lpwstr>
  </property>
  <property fmtid="{D5CDD505-2E9C-101B-9397-08002B2CF9AE}" pid="3" name="MediaServiceImageTags">
    <vt:lpwstr/>
  </property>
</Properties>
</file>