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9171C" w14:textId="374DB079" w:rsidR="00561878" w:rsidRDefault="00EA0074" w:rsidP="009C0D8B">
      <w:pPr>
        <w:pStyle w:val="Heading1"/>
      </w:pPr>
      <w:r>
        <w:t xml:space="preserve"> </w:t>
      </w:r>
      <w:r w:rsidR="00561878" w:rsidRPr="00561878">
        <w:t>Review of Merchant Card Payment Costs and Surcharging – Consultation Response</w:t>
      </w:r>
    </w:p>
    <w:p w14:paraId="677A5100" w14:textId="77777777" w:rsidR="00491784" w:rsidRDefault="00491784" w:rsidP="005B22D3">
      <w:pPr>
        <w:rPr>
          <w:rFonts w:asciiTheme="majorHAnsi" w:hAnsiTheme="majorHAnsi" w:cstheme="majorHAnsi"/>
          <w:color w:val="000000" w:themeColor="text1"/>
        </w:rPr>
      </w:pPr>
      <w:r w:rsidRPr="00491784">
        <w:rPr>
          <w:rFonts w:asciiTheme="majorHAnsi" w:hAnsiTheme="majorHAnsi" w:cstheme="majorHAnsi"/>
          <w:color w:val="000000" w:themeColor="text1"/>
        </w:rPr>
        <w:t>Mint Payments Submission to the Reserve Bank of Australia</w:t>
      </w:r>
    </w:p>
    <w:p w14:paraId="0E6AC1A1" w14:textId="674C842B" w:rsidR="002754C8" w:rsidRPr="002754C8" w:rsidRDefault="00561878" w:rsidP="005B22D3">
      <w:pPr>
        <w:rPr>
          <w:rFonts w:asciiTheme="majorHAnsi" w:hAnsiTheme="majorHAnsi" w:cstheme="majorHAnsi"/>
          <w:color w:val="000000" w:themeColor="text1"/>
        </w:rPr>
      </w:pPr>
      <w:r>
        <w:rPr>
          <w:rFonts w:asciiTheme="majorHAnsi" w:hAnsiTheme="majorHAnsi" w:cstheme="majorHAnsi"/>
          <w:color w:val="000000" w:themeColor="text1"/>
        </w:rPr>
        <w:t>2</w:t>
      </w:r>
      <w:r w:rsidR="0041322C">
        <w:rPr>
          <w:rFonts w:asciiTheme="majorHAnsi" w:hAnsiTheme="majorHAnsi" w:cstheme="majorHAnsi"/>
          <w:color w:val="000000" w:themeColor="text1"/>
        </w:rPr>
        <w:t>6</w:t>
      </w:r>
      <w:r>
        <w:rPr>
          <w:rFonts w:asciiTheme="majorHAnsi" w:hAnsiTheme="majorHAnsi" w:cstheme="majorHAnsi"/>
          <w:color w:val="000000" w:themeColor="text1"/>
        </w:rPr>
        <w:t xml:space="preserve"> August 2025</w:t>
      </w:r>
    </w:p>
    <w:p w14:paraId="3092E8DF" w14:textId="77777777" w:rsidR="002754C8" w:rsidRDefault="002754C8" w:rsidP="005B22D3"/>
    <w:p w14:paraId="0EFC935F" w14:textId="77777777" w:rsidR="002754C8" w:rsidRPr="003F04F4" w:rsidRDefault="002754C8" w:rsidP="002754C8">
      <w:pPr>
        <w:rPr>
          <w:sz w:val="20"/>
          <w:szCs w:val="20"/>
        </w:rPr>
      </w:pPr>
      <w:r w:rsidRPr="003F04F4">
        <w:rPr>
          <w:b/>
          <w:bCs/>
          <w:sz w:val="20"/>
          <w:szCs w:val="20"/>
        </w:rPr>
        <w:t>By email:</w:t>
      </w:r>
      <w:r w:rsidRPr="003F04F4">
        <w:rPr>
          <w:sz w:val="20"/>
          <w:szCs w:val="20"/>
        </w:rPr>
        <w:t xml:space="preserve"> </w:t>
      </w:r>
      <w:hyperlink r:id="rId10" w:history="1">
        <w:r w:rsidRPr="003F04F4">
          <w:rPr>
            <w:rStyle w:val="Hyperlink"/>
            <w:sz w:val="20"/>
            <w:szCs w:val="20"/>
          </w:rPr>
          <w:t>pysubmissions@rba.gov.au</w:t>
        </w:r>
      </w:hyperlink>
      <w:r w:rsidRPr="003F04F4">
        <w:rPr>
          <w:sz w:val="20"/>
          <w:szCs w:val="20"/>
        </w:rPr>
        <w:t xml:space="preserve"> </w:t>
      </w:r>
      <w:r w:rsidRPr="003F04F4">
        <w:rPr>
          <w:sz w:val="20"/>
          <w:szCs w:val="20"/>
        </w:rPr>
        <w:br/>
        <w:t>Head of Payments Policy Department</w:t>
      </w:r>
      <w:r w:rsidRPr="003F04F4">
        <w:rPr>
          <w:sz w:val="20"/>
          <w:szCs w:val="20"/>
        </w:rPr>
        <w:br/>
        <w:t>Reserve Bank of Australia</w:t>
      </w:r>
      <w:r w:rsidRPr="003F04F4">
        <w:rPr>
          <w:sz w:val="20"/>
          <w:szCs w:val="20"/>
        </w:rPr>
        <w:br/>
        <w:t>GPO Box 3947</w:t>
      </w:r>
      <w:r w:rsidRPr="003F04F4">
        <w:rPr>
          <w:sz w:val="20"/>
          <w:szCs w:val="20"/>
        </w:rPr>
        <w:br/>
        <w:t>Sydney NSW 2001</w:t>
      </w:r>
    </w:p>
    <w:p w14:paraId="0AAE6D9F" w14:textId="77777777" w:rsidR="002754C8" w:rsidRPr="003F04F4" w:rsidRDefault="002754C8" w:rsidP="005B22D3">
      <w:pPr>
        <w:rPr>
          <w:sz w:val="20"/>
          <w:szCs w:val="20"/>
        </w:rPr>
      </w:pPr>
    </w:p>
    <w:p w14:paraId="60B01286" w14:textId="77777777" w:rsidR="002754C8" w:rsidRPr="003F04F4" w:rsidRDefault="002754C8" w:rsidP="007C6819">
      <w:pPr>
        <w:jc w:val="both"/>
        <w:rPr>
          <w:b/>
          <w:bCs/>
          <w:sz w:val="20"/>
          <w:szCs w:val="20"/>
        </w:rPr>
      </w:pPr>
      <w:r w:rsidRPr="003F04F4">
        <w:rPr>
          <w:b/>
          <w:bCs/>
          <w:sz w:val="20"/>
          <w:szCs w:val="20"/>
        </w:rPr>
        <w:t>Executive Summary</w:t>
      </w:r>
    </w:p>
    <w:p w14:paraId="54BCD12F" w14:textId="77777777" w:rsidR="0041322C" w:rsidRPr="0041322C" w:rsidRDefault="0041322C" w:rsidP="0041322C">
      <w:pPr>
        <w:jc w:val="both"/>
        <w:rPr>
          <w:sz w:val="20"/>
          <w:szCs w:val="20"/>
        </w:rPr>
      </w:pPr>
      <w:r w:rsidRPr="0041322C">
        <w:rPr>
          <w:sz w:val="20"/>
          <w:szCs w:val="20"/>
        </w:rPr>
        <w:t>Mint Payments appreciates the continued opportunity to contribute to the RBA’s Review of Retail Payments Regulation.</w:t>
      </w:r>
    </w:p>
    <w:p w14:paraId="6AB1E8D7" w14:textId="77777777" w:rsidR="0041322C" w:rsidRPr="0041322C" w:rsidRDefault="0041322C" w:rsidP="0041322C">
      <w:pPr>
        <w:jc w:val="both"/>
        <w:rPr>
          <w:sz w:val="20"/>
          <w:szCs w:val="20"/>
        </w:rPr>
      </w:pPr>
      <w:r w:rsidRPr="0041322C">
        <w:rPr>
          <w:sz w:val="20"/>
          <w:szCs w:val="20"/>
        </w:rPr>
        <w:t>Mint Payments is a specialist technology and payment service provider (PSP) focused on the Australian travel industry, working with thousands of travel agents and tour operators across the country. Mint partners with acquirers to provide travel merchants with access to card acceptance, alternative payment methods, and risk solutions. This sector operates on uniquely thin margins, forward-dated exposures, and a reliance on consumer trust and protection.</w:t>
      </w:r>
    </w:p>
    <w:p w14:paraId="463E681B" w14:textId="77777777" w:rsidR="0041322C" w:rsidRPr="0041322C" w:rsidRDefault="0041322C" w:rsidP="0041322C">
      <w:pPr>
        <w:jc w:val="both"/>
        <w:rPr>
          <w:sz w:val="20"/>
          <w:szCs w:val="20"/>
        </w:rPr>
      </w:pPr>
      <w:r w:rsidRPr="0041322C">
        <w:rPr>
          <w:sz w:val="20"/>
          <w:szCs w:val="20"/>
        </w:rPr>
        <w:t>Our customers are typically small and medium-sized travel businesses, operating on margins as low as 1 to 3%. Unlike large airlines, cruises and hotels, retail agents do not set end-customer pricing. Instead, they distribute airline, cruise, and wholesaler inventory with pre-set margins. This means agents cannot absorb material increases in costs, such as card fees, without either passing them on or ceasing to accept cards altogether.</w:t>
      </w:r>
    </w:p>
    <w:p w14:paraId="632CB224" w14:textId="0D23AA31" w:rsidR="0041322C" w:rsidRPr="0041322C" w:rsidRDefault="0041322C" w:rsidP="0041322C">
      <w:pPr>
        <w:jc w:val="both"/>
        <w:rPr>
          <w:sz w:val="20"/>
          <w:szCs w:val="20"/>
        </w:rPr>
      </w:pPr>
      <w:r w:rsidRPr="0041322C">
        <w:rPr>
          <w:sz w:val="20"/>
          <w:szCs w:val="20"/>
        </w:rPr>
        <w:t>We acknowledge the RBA’s desire to simplify the payments system and protect consumers from excessive surcharges</w:t>
      </w:r>
      <w:r w:rsidR="0076413F">
        <w:rPr>
          <w:sz w:val="20"/>
          <w:szCs w:val="20"/>
        </w:rPr>
        <w:t>,</w:t>
      </w:r>
      <w:r w:rsidRPr="0041322C">
        <w:rPr>
          <w:sz w:val="20"/>
          <w:szCs w:val="20"/>
        </w:rPr>
        <w:t xml:space="preserve"> particularly in hospitality and small retail, where surcharges of up to 10% have been </w:t>
      </w:r>
      <w:r w:rsidR="0076413F">
        <w:rPr>
          <w:sz w:val="20"/>
          <w:szCs w:val="20"/>
        </w:rPr>
        <w:t>indicated by the media</w:t>
      </w:r>
      <w:r w:rsidRPr="0041322C">
        <w:rPr>
          <w:sz w:val="20"/>
          <w:szCs w:val="20"/>
        </w:rPr>
        <w:t>. From the perspective of everyday low-value consumer transactions, there is a clear case for reform. However, applying the same treatment to high-value, forward-dated, structurally different sectors such as travel creates disproportionate risks.</w:t>
      </w:r>
    </w:p>
    <w:p w14:paraId="00A21C1D" w14:textId="77777777" w:rsidR="00FC4EAD" w:rsidRDefault="00FC4EAD">
      <w:pPr>
        <w:spacing w:after="0"/>
        <w:rPr>
          <w:sz w:val="20"/>
          <w:szCs w:val="20"/>
        </w:rPr>
      </w:pPr>
      <w:r>
        <w:rPr>
          <w:sz w:val="20"/>
          <w:szCs w:val="20"/>
        </w:rPr>
        <w:br w:type="page"/>
      </w:r>
    </w:p>
    <w:p w14:paraId="44BB0338" w14:textId="52F44905" w:rsidR="0041322C" w:rsidRPr="0041322C" w:rsidRDefault="0041322C" w:rsidP="0041322C">
      <w:pPr>
        <w:jc w:val="both"/>
        <w:rPr>
          <w:sz w:val="20"/>
          <w:szCs w:val="20"/>
        </w:rPr>
      </w:pPr>
      <w:r w:rsidRPr="0041322C">
        <w:rPr>
          <w:sz w:val="20"/>
          <w:szCs w:val="20"/>
        </w:rPr>
        <w:lastRenderedPageBreak/>
        <w:t>The travel industry faces unique challenges:</w:t>
      </w:r>
    </w:p>
    <w:p w14:paraId="557743A6" w14:textId="5791CB74" w:rsidR="0041322C" w:rsidRPr="0041322C" w:rsidRDefault="0041322C" w:rsidP="0041322C">
      <w:pPr>
        <w:numPr>
          <w:ilvl w:val="0"/>
          <w:numId w:val="58"/>
        </w:numPr>
        <w:jc w:val="both"/>
        <w:rPr>
          <w:sz w:val="20"/>
          <w:szCs w:val="20"/>
        </w:rPr>
      </w:pPr>
      <w:r w:rsidRPr="0041322C">
        <w:rPr>
          <w:b/>
          <w:bCs/>
          <w:sz w:val="20"/>
          <w:szCs w:val="20"/>
        </w:rPr>
        <w:t>Forward Delivery Risk</w:t>
      </w:r>
      <w:r w:rsidRPr="0041322C">
        <w:rPr>
          <w:sz w:val="20"/>
          <w:szCs w:val="20"/>
        </w:rPr>
        <w:t>: ATIA has quantified a rolling $5.4 billion of exposure held for 70–120 days across the sector, and in cruise bookings up to 36 months</w:t>
      </w:r>
      <w:r w:rsidR="001C5CE5">
        <w:rPr>
          <w:sz w:val="20"/>
          <w:szCs w:val="20"/>
        </w:rPr>
        <w:t>,</w:t>
      </w:r>
      <w:r w:rsidRPr="0041322C">
        <w:rPr>
          <w:sz w:val="20"/>
          <w:szCs w:val="20"/>
        </w:rPr>
        <w:t xml:space="preserve"> far beyond </w:t>
      </w:r>
      <w:r w:rsidR="00CE1F6E">
        <w:rPr>
          <w:sz w:val="20"/>
          <w:szCs w:val="20"/>
        </w:rPr>
        <w:t>any</w:t>
      </w:r>
      <w:r w:rsidRPr="0041322C">
        <w:rPr>
          <w:sz w:val="20"/>
          <w:szCs w:val="20"/>
        </w:rPr>
        <w:t xml:space="preserve"> risk horizon</w:t>
      </w:r>
      <w:r w:rsidR="00CE1F6E">
        <w:rPr>
          <w:sz w:val="20"/>
          <w:szCs w:val="20"/>
        </w:rPr>
        <w:t>s</w:t>
      </w:r>
      <w:r w:rsidRPr="0041322C">
        <w:rPr>
          <w:sz w:val="20"/>
          <w:szCs w:val="20"/>
        </w:rPr>
        <w:t xml:space="preserve"> of cafés or retail. Travel agents are forced into the role of de facto guarantors of third-party supplier performance through chargebacks.</w:t>
      </w:r>
    </w:p>
    <w:p w14:paraId="5B6B1C02" w14:textId="77777777" w:rsidR="0041322C" w:rsidRPr="0041322C" w:rsidRDefault="0041322C" w:rsidP="0041322C">
      <w:pPr>
        <w:numPr>
          <w:ilvl w:val="0"/>
          <w:numId w:val="58"/>
        </w:numPr>
        <w:jc w:val="both"/>
        <w:rPr>
          <w:sz w:val="20"/>
          <w:szCs w:val="20"/>
        </w:rPr>
      </w:pPr>
      <w:r w:rsidRPr="0041322C">
        <w:rPr>
          <w:b/>
          <w:bCs/>
          <w:sz w:val="20"/>
          <w:szCs w:val="20"/>
        </w:rPr>
        <w:t>Inflationary Pressure</w:t>
      </w:r>
      <w:r w:rsidRPr="0041322C">
        <w:rPr>
          <w:sz w:val="20"/>
          <w:szCs w:val="20"/>
        </w:rPr>
        <w:t>: Removing surcharges compels agents to increase all fares to cover card costs, embedding inflation across payment methods, including low-cost transfers.</w:t>
      </w:r>
    </w:p>
    <w:p w14:paraId="371E575D" w14:textId="77777777" w:rsidR="0041322C" w:rsidRPr="0041322C" w:rsidRDefault="0041322C" w:rsidP="0041322C">
      <w:pPr>
        <w:numPr>
          <w:ilvl w:val="0"/>
          <w:numId w:val="58"/>
        </w:numPr>
        <w:jc w:val="both"/>
        <w:rPr>
          <w:sz w:val="20"/>
          <w:szCs w:val="20"/>
        </w:rPr>
      </w:pPr>
      <w:r w:rsidRPr="0041322C">
        <w:rPr>
          <w:b/>
          <w:bCs/>
          <w:sz w:val="20"/>
          <w:szCs w:val="20"/>
        </w:rPr>
        <w:t>Unequal Playing Field</w:t>
      </w:r>
      <w:r w:rsidRPr="0041322C">
        <w:rPr>
          <w:sz w:val="20"/>
          <w:szCs w:val="20"/>
        </w:rPr>
        <w:t>: Large global OTAs and airlines already benefit from preferential scheme fee arrangements. SMEs cannot negotiate these terms, leaving them at a structural disadvantage.</w:t>
      </w:r>
    </w:p>
    <w:p w14:paraId="220A4E13" w14:textId="77777777" w:rsidR="0041322C" w:rsidRPr="0041322C" w:rsidRDefault="0041322C" w:rsidP="0041322C">
      <w:pPr>
        <w:numPr>
          <w:ilvl w:val="0"/>
          <w:numId w:val="58"/>
        </w:numPr>
        <w:jc w:val="both"/>
        <w:rPr>
          <w:sz w:val="20"/>
          <w:szCs w:val="20"/>
        </w:rPr>
      </w:pPr>
      <w:r w:rsidRPr="0041322C">
        <w:rPr>
          <w:b/>
          <w:bCs/>
          <w:sz w:val="20"/>
          <w:szCs w:val="20"/>
        </w:rPr>
        <w:t>Employment and Regional Impact</w:t>
      </w:r>
      <w:r w:rsidRPr="0041322C">
        <w:rPr>
          <w:sz w:val="20"/>
          <w:szCs w:val="20"/>
        </w:rPr>
        <w:t>: 92% of ATIA’s members are SMEs, many of which disproportionately employ women, parents, and home-based workers in regional areas. Forcing these agents to absorb card costs risks job losses, reduced consumer choice, and further consolidation.</w:t>
      </w:r>
    </w:p>
    <w:p w14:paraId="0061E6BA" w14:textId="77777777" w:rsidR="0041322C" w:rsidRPr="0041322C" w:rsidRDefault="0041322C" w:rsidP="0041322C">
      <w:pPr>
        <w:jc w:val="both"/>
        <w:rPr>
          <w:sz w:val="20"/>
          <w:szCs w:val="20"/>
        </w:rPr>
      </w:pPr>
      <w:r w:rsidRPr="0041322C">
        <w:rPr>
          <w:sz w:val="20"/>
          <w:szCs w:val="20"/>
        </w:rPr>
        <w:t>International precedent shows there are alternatives. From May 2026, New Zealand will ban surcharges only for low-value, in-person retail payments (such as cafés) while explicitly excluding online payments and foreign-issued cards, recognising the higher risk and forward-dated nature of industries like travel. At the same time, interchange fees are being capped and commercial cards exempted to preserve flexibility. This demonstrates reforms can protect consumers without destabilising SMEs.</w:t>
      </w:r>
    </w:p>
    <w:p w14:paraId="46DD2D69" w14:textId="77777777" w:rsidR="0041322C" w:rsidRPr="0041322C" w:rsidRDefault="0041322C" w:rsidP="0041322C">
      <w:pPr>
        <w:jc w:val="both"/>
        <w:rPr>
          <w:sz w:val="20"/>
          <w:szCs w:val="20"/>
        </w:rPr>
      </w:pPr>
      <w:r w:rsidRPr="0041322C">
        <w:rPr>
          <w:b/>
          <w:bCs/>
          <w:sz w:val="20"/>
          <w:szCs w:val="20"/>
        </w:rPr>
        <w:t>Our recommendation is clear:</w:t>
      </w:r>
      <w:r w:rsidRPr="0041322C">
        <w:rPr>
          <w:sz w:val="20"/>
          <w:szCs w:val="20"/>
        </w:rPr>
        <w:t xml:space="preserve"> if surcharging is to be banned, the RBA must provide carve-outs or capped recovery mechanisms for high-risk sectors like travel, alongside eliminating preferential scheme deals and regulating scheme fees. Without such measures, reforms designed to fix 50-cent coffee surcharges risk destabilising a $40 billion sector employing half a million Australians.</w:t>
      </w:r>
    </w:p>
    <w:p w14:paraId="04A9328A" w14:textId="0B4442A1" w:rsidR="001F0327" w:rsidRPr="003F04F4" w:rsidRDefault="001F0327" w:rsidP="007C6819">
      <w:pPr>
        <w:jc w:val="both"/>
        <w:rPr>
          <w:sz w:val="20"/>
          <w:szCs w:val="20"/>
        </w:rPr>
      </w:pPr>
    </w:p>
    <w:p w14:paraId="3A2FB30A" w14:textId="77777777" w:rsidR="00FC4EAD" w:rsidRDefault="00FC4EAD">
      <w:pPr>
        <w:spacing w:after="0"/>
        <w:rPr>
          <w:b/>
          <w:bCs/>
          <w:sz w:val="20"/>
          <w:szCs w:val="20"/>
        </w:rPr>
      </w:pPr>
      <w:r>
        <w:rPr>
          <w:b/>
          <w:bCs/>
          <w:sz w:val="20"/>
          <w:szCs w:val="20"/>
        </w:rPr>
        <w:br w:type="page"/>
      </w:r>
    </w:p>
    <w:p w14:paraId="52263F27" w14:textId="4B41E65F" w:rsidR="002754C8" w:rsidRPr="003F04F4" w:rsidRDefault="002754C8" w:rsidP="007C6819">
      <w:pPr>
        <w:jc w:val="both"/>
        <w:rPr>
          <w:b/>
          <w:bCs/>
          <w:sz w:val="20"/>
          <w:szCs w:val="20"/>
        </w:rPr>
      </w:pPr>
      <w:r w:rsidRPr="003F04F4">
        <w:rPr>
          <w:b/>
          <w:bCs/>
          <w:sz w:val="20"/>
          <w:szCs w:val="20"/>
        </w:rPr>
        <w:lastRenderedPageBreak/>
        <w:t>Detailed Responses to Consultation Questions</w:t>
      </w:r>
    </w:p>
    <w:p w14:paraId="20518AF8" w14:textId="77777777" w:rsidR="002754C8" w:rsidRPr="003F04F4" w:rsidRDefault="002754C8" w:rsidP="007C6819">
      <w:pPr>
        <w:jc w:val="both"/>
        <w:rPr>
          <w:b/>
          <w:bCs/>
          <w:sz w:val="20"/>
          <w:szCs w:val="20"/>
        </w:rPr>
      </w:pPr>
    </w:p>
    <w:p w14:paraId="734D10BA" w14:textId="531C1BF5" w:rsidR="002754C8" w:rsidRPr="003F04F4" w:rsidRDefault="002754C8" w:rsidP="007C6819">
      <w:pPr>
        <w:jc w:val="both"/>
        <w:rPr>
          <w:sz w:val="20"/>
          <w:szCs w:val="20"/>
        </w:rPr>
      </w:pPr>
      <w:r w:rsidRPr="003F04F4">
        <w:rPr>
          <w:b/>
          <w:bCs/>
          <w:sz w:val="20"/>
          <w:szCs w:val="20"/>
        </w:rPr>
        <w:t xml:space="preserve">1. </w:t>
      </w:r>
      <w:r w:rsidR="005079D1" w:rsidRPr="003F04F4">
        <w:rPr>
          <w:b/>
          <w:bCs/>
          <w:sz w:val="20"/>
          <w:szCs w:val="20"/>
        </w:rPr>
        <w:t xml:space="preserve">Would removing surcharging on designated card networks best support the RBA’s objectives to promote the public interest through improving competition, efficiency and safety in the payments system? In particular, the RBA welcomes feedback on whether there are additional public interest considerations that should be </w:t>
      </w:r>
      <w:proofErr w:type="gramStart"/>
      <w:r w:rsidR="005079D1" w:rsidRPr="003F04F4">
        <w:rPr>
          <w:b/>
          <w:bCs/>
          <w:sz w:val="20"/>
          <w:szCs w:val="20"/>
        </w:rPr>
        <w:t>taken into account</w:t>
      </w:r>
      <w:proofErr w:type="gramEnd"/>
      <w:r w:rsidR="005079D1" w:rsidRPr="003F04F4">
        <w:rPr>
          <w:b/>
          <w:bCs/>
          <w:sz w:val="20"/>
          <w:szCs w:val="20"/>
        </w:rPr>
        <w:t xml:space="preserve"> for each policy option.</w:t>
      </w:r>
    </w:p>
    <w:p w14:paraId="61FD8088" w14:textId="77777777" w:rsidR="00B8118F" w:rsidRPr="003F04F4" w:rsidRDefault="00B8118F" w:rsidP="007C6819">
      <w:pPr>
        <w:jc w:val="both"/>
        <w:rPr>
          <w:sz w:val="20"/>
          <w:szCs w:val="20"/>
        </w:rPr>
      </w:pPr>
    </w:p>
    <w:p w14:paraId="14B5ABBF" w14:textId="4D4B6F66" w:rsidR="00B8118F" w:rsidRPr="003F04F4" w:rsidRDefault="00B8118F" w:rsidP="007C6819">
      <w:pPr>
        <w:jc w:val="both"/>
        <w:rPr>
          <w:sz w:val="20"/>
          <w:szCs w:val="20"/>
        </w:rPr>
      </w:pPr>
      <w:r w:rsidRPr="003F04F4">
        <w:rPr>
          <w:sz w:val="20"/>
          <w:szCs w:val="20"/>
        </w:rPr>
        <w:t>Mint understands the RBA’s logic in banning surcharging to simplify consumer pricing and reduce complexity at checkout. From a consumer perspective, transparency is valuable: the price quoted is the price paid.</w:t>
      </w:r>
    </w:p>
    <w:p w14:paraId="188A6F78" w14:textId="696ED418" w:rsidR="00B8118F" w:rsidRPr="003F04F4" w:rsidRDefault="001F0327" w:rsidP="007C6819">
      <w:pPr>
        <w:jc w:val="both"/>
        <w:rPr>
          <w:sz w:val="20"/>
          <w:szCs w:val="20"/>
        </w:rPr>
      </w:pPr>
      <w:r w:rsidRPr="003F04F4">
        <w:rPr>
          <w:sz w:val="20"/>
          <w:szCs w:val="20"/>
        </w:rPr>
        <w:t xml:space="preserve">However, the RBA must also weigh the real-world impact on low-margin industries like travel, where surcharges have historically protected agents from absorbing card </w:t>
      </w:r>
      <w:proofErr w:type="gramStart"/>
      <w:r w:rsidRPr="003F04F4">
        <w:rPr>
          <w:sz w:val="20"/>
          <w:szCs w:val="20"/>
        </w:rPr>
        <w:t>costs</w:t>
      </w:r>
      <w:proofErr w:type="gramEnd"/>
      <w:r w:rsidRPr="003F04F4">
        <w:rPr>
          <w:sz w:val="20"/>
          <w:szCs w:val="20"/>
        </w:rPr>
        <w:t xml:space="preserve"> they cannot control.</w:t>
      </w:r>
    </w:p>
    <w:p w14:paraId="11E30119" w14:textId="77777777" w:rsidR="00B8118F" w:rsidRPr="003F04F4" w:rsidRDefault="00B8118F" w:rsidP="007C6819">
      <w:pPr>
        <w:jc w:val="both"/>
        <w:rPr>
          <w:b/>
          <w:bCs/>
          <w:sz w:val="20"/>
          <w:szCs w:val="20"/>
        </w:rPr>
      </w:pPr>
      <w:r w:rsidRPr="003F04F4">
        <w:rPr>
          <w:b/>
          <w:bCs/>
          <w:sz w:val="20"/>
          <w:szCs w:val="20"/>
        </w:rPr>
        <w:t>Public Interest Considerations</w:t>
      </w:r>
    </w:p>
    <w:p w14:paraId="3E4B0C75" w14:textId="3504761C" w:rsidR="00A35D7E" w:rsidRPr="003F04F4" w:rsidRDefault="00A35D7E" w:rsidP="007C6819">
      <w:pPr>
        <w:jc w:val="both"/>
        <w:rPr>
          <w:b/>
          <w:bCs/>
          <w:i/>
          <w:iCs/>
          <w:sz w:val="20"/>
          <w:szCs w:val="20"/>
        </w:rPr>
      </w:pPr>
      <w:r w:rsidRPr="003F04F4">
        <w:rPr>
          <w:b/>
          <w:bCs/>
          <w:i/>
          <w:iCs/>
          <w:sz w:val="20"/>
          <w:szCs w:val="20"/>
        </w:rPr>
        <w:t>Travel Agents Are Not Price Setters</w:t>
      </w:r>
      <w:r w:rsidR="00971885" w:rsidRPr="003F04F4">
        <w:rPr>
          <w:b/>
          <w:bCs/>
          <w:i/>
          <w:iCs/>
          <w:sz w:val="20"/>
          <w:szCs w:val="20"/>
        </w:rPr>
        <w:t xml:space="preserve"> </w:t>
      </w:r>
    </w:p>
    <w:p w14:paraId="4CADDFE4" w14:textId="73CF2A4F" w:rsidR="00B8118F" w:rsidRPr="003F04F4" w:rsidRDefault="0076564D" w:rsidP="007C6819">
      <w:pPr>
        <w:jc w:val="both"/>
        <w:rPr>
          <w:sz w:val="20"/>
          <w:szCs w:val="20"/>
        </w:rPr>
      </w:pPr>
      <w:r w:rsidRPr="003F04F4">
        <w:rPr>
          <w:sz w:val="20"/>
          <w:szCs w:val="20"/>
        </w:rPr>
        <w:t xml:space="preserve">Travel agents and tour operators cannot set the prices they charge. Airlines, wholesalers, and cruise companies dictate fares and commissions, leaving agents with fixed, low margins (1 to 3%). This structural imbalance means they cannot adjust margins to absorb card fees. </w:t>
      </w:r>
    </w:p>
    <w:p w14:paraId="6C170E33" w14:textId="090CD9C7" w:rsidR="0066484A" w:rsidRPr="003F04F4" w:rsidRDefault="0066484A" w:rsidP="007C6819">
      <w:pPr>
        <w:jc w:val="both"/>
        <w:rPr>
          <w:b/>
          <w:bCs/>
          <w:i/>
          <w:iCs/>
          <w:sz w:val="20"/>
          <w:szCs w:val="20"/>
        </w:rPr>
      </w:pPr>
      <w:r w:rsidRPr="003F04F4">
        <w:rPr>
          <w:b/>
          <w:bCs/>
          <w:i/>
          <w:iCs/>
          <w:sz w:val="20"/>
          <w:szCs w:val="20"/>
        </w:rPr>
        <w:t>Inflationary Risk</w:t>
      </w:r>
    </w:p>
    <w:p w14:paraId="041C9BAD" w14:textId="77777777" w:rsidR="00C44A18" w:rsidRPr="003F04F4" w:rsidRDefault="00C44A18" w:rsidP="007C6819">
      <w:pPr>
        <w:jc w:val="both"/>
        <w:rPr>
          <w:sz w:val="20"/>
          <w:szCs w:val="20"/>
        </w:rPr>
      </w:pPr>
      <w:r w:rsidRPr="003F04F4">
        <w:rPr>
          <w:sz w:val="20"/>
          <w:szCs w:val="20"/>
        </w:rPr>
        <w:t>As one of our retail agents explained:</w:t>
      </w:r>
    </w:p>
    <w:p w14:paraId="3A298D04" w14:textId="77777777" w:rsidR="00C44A18" w:rsidRPr="003F04F4" w:rsidRDefault="00C44A18" w:rsidP="007C6819">
      <w:pPr>
        <w:ind w:left="720"/>
        <w:jc w:val="both"/>
        <w:rPr>
          <w:i/>
          <w:iCs/>
          <w:sz w:val="20"/>
          <w:szCs w:val="20"/>
        </w:rPr>
      </w:pPr>
      <w:r w:rsidRPr="003F04F4">
        <w:rPr>
          <w:i/>
          <w:iCs/>
          <w:sz w:val="20"/>
          <w:szCs w:val="20"/>
        </w:rPr>
        <w:t>“When I sell a Singapore Airlines Business Class fare for $9,602 including taxes, I receive $89 commission. If the client pays by credit card at a 1.3% fee ($125), my business immediately makes a loss. Without surcharging, I have no choice but to increase my quoted fare to $9,727. This is inflationary.”</w:t>
      </w:r>
    </w:p>
    <w:p w14:paraId="4B88BCC1" w14:textId="63E27290" w:rsidR="0066484A" w:rsidRPr="003F04F4" w:rsidRDefault="007652EF" w:rsidP="007C6819">
      <w:pPr>
        <w:jc w:val="both"/>
        <w:rPr>
          <w:sz w:val="20"/>
          <w:szCs w:val="20"/>
        </w:rPr>
      </w:pPr>
      <w:r w:rsidRPr="003F04F4">
        <w:rPr>
          <w:sz w:val="20"/>
          <w:szCs w:val="20"/>
        </w:rPr>
        <w:t xml:space="preserve">Reducing interchange does not solve this, because agents </w:t>
      </w:r>
      <w:r w:rsidR="003365A2" w:rsidRPr="003F04F4">
        <w:rPr>
          <w:sz w:val="20"/>
          <w:szCs w:val="20"/>
        </w:rPr>
        <w:t xml:space="preserve">may </w:t>
      </w:r>
      <w:r w:rsidRPr="003F04F4">
        <w:rPr>
          <w:sz w:val="20"/>
          <w:szCs w:val="20"/>
        </w:rPr>
        <w:t xml:space="preserve">still have to increase all fares to cover card acceptance costs. </w:t>
      </w:r>
      <w:proofErr w:type="gramStart"/>
      <w:r w:rsidRPr="003F04F4">
        <w:rPr>
          <w:sz w:val="20"/>
          <w:szCs w:val="20"/>
        </w:rPr>
        <w:t>This risks</w:t>
      </w:r>
      <w:proofErr w:type="gramEnd"/>
      <w:r w:rsidRPr="003F04F4">
        <w:rPr>
          <w:sz w:val="20"/>
          <w:szCs w:val="20"/>
        </w:rPr>
        <w:t xml:space="preserve"> embedding inflation across all travel bookings, even for customers who pay with low-cost methods like bank transfer</w:t>
      </w:r>
      <w:r w:rsidR="00C44A18" w:rsidRPr="003F04F4">
        <w:rPr>
          <w:sz w:val="20"/>
          <w:szCs w:val="20"/>
        </w:rPr>
        <w:t xml:space="preserve"> </w:t>
      </w:r>
    </w:p>
    <w:p w14:paraId="53327353" w14:textId="77777777" w:rsidR="009F6B97" w:rsidRPr="003F04F4" w:rsidRDefault="009F6B97" w:rsidP="007C6819">
      <w:pPr>
        <w:jc w:val="both"/>
        <w:rPr>
          <w:b/>
          <w:bCs/>
          <w:i/>
          <w:iCs/>
          <w:sz w:val="20"/>
          <w:szCs w:val="20"/>
        </w:rPr>
      </w:pPr>
      <w:r w:rsidRPr="003F04F4">
        <w:rPr>
          <w:b/>
          <w:bCs/>
          <w:i/>
          <w:iCs/>
          <w:sz w:val="20"/>
          <w:szCs w:val="20"/>
        </w:rPr>
        <w:t>Consumer Protection Mismatch</w:t>
      </w:r>
    </w:p>
    <w:p w14:paraId="212921FE" w14:textId="77777777" w:rsidR="00A7353D" w:rsidRPr="003F04F4" w:rsidRDefault="00A7353D" w:rsidP="007C6819">
      <w:pPr>
        <w:jc w:val="both"/>
        <w:rPr>
          <w:sz w:val="20"/>
          <w:szCs w:val="20"/>
        </w:rPr>
      </w:pPr>
      <w:r w:rsidRPr="003F04F4">
        <w:rPr>
          <w:sz w:val="20"/>
          <w:szCs w:val="20"/>
        </w:rPr>
        <w:t>Credit and debit card chargebacks serve as a protection mechanism for consumers, particularly in travel where bookings are often made months in advance. However, this protection is effectively funded by travel agents who act as intermediaries, not principals.</w:t>
      </w:r>
    </w:p>
    <w:p w14:paraId="107B5AA4" w14:textId="77777777" w:rsidR="00A7353D" w:rsidRPr="003F04F4" w:rsidRDefault="00A7353D" w:rsidP="007C6819">
      <w:pPr>
        <w:jc w:val="both"/>
        <w:rPr>
          <w:sz w:val="20"/>
          <w:szCs w:val="20"/>
        </w:rPr>
      </w:pPr>
      <w:r w:rsidRPr="003F04F4">
        <w:rPr>
          <w:sz w:val="20"/>
          <w:szCs w:val="20"/>
        </w:rPr>
        <w:t>When events such as Bonza’s administration (2024) or Air Vanuatu’s collapse occur, consumers who paid by card were refunded through chargebacks. Those who paid via bank transfer were left unprotected. In practice, travel agents are forced to absorb these costs, even though they have no ability to set prices, control margins, or guarantee delivery of the underlying service.</w:t>
      </w:r>
    </w:p>
    <w:p w14:paraId="51D177B4" w14:textId="435B2970" w:rsidR="00AE6C95" w:rsidRPr="003F04F4" w:rsidRDefault="002F12E6" w:rsidP="007C6819">
      <w:pPr>
        <w:jc w:val="both"/>
        <w:rPr>
          <w:sz w:val="20"/>
          <w:szCs w:val="20"/>
        </w:rPr>
      </w:pPr>
      <w:r w:rsidRPr="003F04F4">
        <w:rPr>
          <w:sz w:val="20"/>
          <w:szCs w:val="20"/>
        </w:rPr>
        <w:lastRenderedPageBreak/>
        <w:t xml:space="preserve">The Australian Travel Industry Association (ATIA) </w:t>
      </w:r>
      <w:r w:rsidR="00AE6C95" w:rsidRPr="003F04F4">
        <w:rPr>
          <w:sz w:val="20"/>
          <w:szCs w:val="20"/>
        </w:rPr>
        <w:t xml:space="preserve">noted in their initial submission to the RBA in </w:t>
      </w:r>
      <w:r w:rsidRPr="003F04F4">
        <w:rPr>
          <w:sz w:val="20"/>
          <w:szCs w:val="20"/>
        </w:rPr>
        <w:t>December</w:t>
      </w:r>
      <w:r w:rsidR="00AE6C95" w:rsidRPr="003F04F4">
        <w:rPr>
          <w:sz w:val="20"/>
          <w:szCs w:val="20"/>
        </w:rPr>
        <w:t xml:space="preserve"> 2024 that travel carries much higher forward delivery risk (FDR) than other industries. Across the sector, this represents a rolling $5.4 billion of exposure held for 70–120 days, and in cases like cruise bookings, up to 36 months.</w:t>
      </w:r>
    </w:p>
    <w:p w14:paraId="091F4A37" w14:textId="77777777" w:rsidR="00AE6C95" w:rsidRPr="003F04F4" w:rsidRDefault="00AE6C95" w:rsidP="007C6819">
      <w:pPr>
        <w:jc w:val="both"/>
        <w:rPr>
          <w:sz w:val="20"/>
          <w:szCs w:val="20"/>
        </w:rPr>
      </w:pPr>
      <w:r w:rsidRPr="003F04F4">
        <w:rPr>
          <w:sz w:val="20"/>
          <w:szCs w:val="20"/>
        </w:rPr>
        <w:t>By contrast, cafés or retailers typically face chargeback risk of only ~30 days. This structural difference was acknowledged by the RBA in its 2016 Conclusions Paper, which noted travel agents and event ticketing firms face unique chargeback risks as intermediaries. That recognition remains valid today and must be carried into current reforms.</w:t>
      </w:r>
    </w:p>
    <w:p w14:paraId="2B4F3EA7" w14:textId="600E3489" w:rsidR="00A7353D" w:rsidRPr="003F04F4" w:rsidRDefault="003E263E" w:rsidP="007C6819">
      <w:pPr>
        <w:jc w:val="both"/>
        <w:rPr>
          <w:sz w:val="20"/>
          <w:szCs w:val="20"/>
        </w:rPr>
      </w:pPr>
      <w:r w:rsidRPr="003F04F4">
        <w:rPr>
          <w:sz w:val="20"/>
          <w:szCs w:val="20"/>
        </w:rPr>
        <w:t>The way chargeback rules operate</w:t>
      </w:r>
      <w:r w:rsidR="00A7353D" w:rsidRPr="003F04F4">
        <w:rPr>
          <w:sz w:val="20"/>
          <w:szCs w:val="20"/>
        </w:rPr>
        <w:t xml:space="preserve"> positions travel agents as de facto </w:t>
      </w:r>
      <w:r w:rsidR="00B23806" w:rsidRPr="003F04F4">
        <w:rPr>
          <w:sz w:val="20"/>
          <w:szCs w:val="20"/>
        </w:rPr>
        <w:t>guarantors</w:t>
      </w:r>
      <w:r w:rsidR="00A7353D" w:rsidRPr="003F04F4">
        <w:rPr>
          <w:sz w:val="20"/>
          <w:szCs w:val="20"/>
        </w:rPr>
        <w:t xml:space="preserve"> of third-party supplier performance</w:t>
      </w:r>
      <w:r w:rsidR="00B23806" w:rsidRPr="003F04F4">
        <w:rPr>
          <w:sz w:val="20"/>
          <w:szCs w:val="20"/>
        </w:rPr>
        <w:t>,</w:t>
      </w:r>
      <w:r w:rsidR="00A7353D" w:rsidRPr="003F04F4">
        <w:rPr>
          <w:sz w:val="20"/>
          <w:szCs w:val="20"/>
        </w:rPr>
        <w:t xml:space="preserve"> a role no other retail sector bears in the same way. It is inequitable and unsustainable.</w:t>
      </w:r>
    </w:p>
    <w:p w14:paraId="582F3CC8" w14:textId="4E266769" w:rsidR="00A7353D" w:rsidRPr="003F04F4" w:rsidRDefault="00A7353D" w:rsidP="007C6819">
      <w:pPr>
        <w:jc w:val="both"/>
        <w:rPr>
          <w:sz w:val="20"/>
          <w:szCs w:val="20"/>
        </w:rPr>
      </w:pPr>
      <w:r w:rsidRPr="003F04F4">
        <w:rPr>
          <w:sz w:val="20"/>
          <w:szCs w:val="20"/>
        </w:rPr>
        <w:t>One option would be to allow agents to apply a capped surcharge or per-person fee specifically covering supplier failure</w:t>
      </w:r>
      <w:r w:rsidR="00CA020D" w:rsidRPr="003F04F4">
        <w:rPr>
          <w:sz w:val="20"/>
          <w:szCs w:val="20"/>
        </w:rPr>
        <w:t xml:space="preserve"> and</w:t>
      </w:r>
      <w:r w:rsidRPr="003F04F4">
        <w:rPr>
          <w:sz w:val="20"/>
          <w:szCs w:val="20"/>
        </w:rPr>
        <w:t xml:space="preserve"> non-delivery</w:t>
      </w:r>
      <w:r w:rsidR="001F2D50">
        <w:rPr>
          <w:sz w:val="20"/>
          <w:szCs w:val="20"/>
        </w:rPr>
        <w:t xml:space="preserve">. </w:t>
      </w:r>
      <w:r w:rsidR="006452D4" w:rsidRPr="006452D4">
        <w:rPr>
          <w:sz w:val="20"/>
          <w:szCs w:val="20"/>
        </w:rPr>
        <w:t>This should only apply when the agent is acting as an intermediary (not a principal supplier), ensuring it directly addresses inherited supplier risk.</w:t>
      </w:r>
    </w:p>
    <w:p w14:paraId="35FFB704" w14:textId="77777777" w:rsidR="00A7353D" w:rsidRPr="003F04F4" w:rsidRDefault="00A7353D" w:rsidP="007C6819">
      <w:pPr>
        <w:jc w:val="both"/>
        <w:rPr>
          <w:sz w:val="20"/>
          <w:szCs w:val="20"/>
        </w:rPr>
      </w:pPr>
      <w:r w:rsidRPr="003F04F4">
        <w:rPr>
          <w:sz w:val="20"/>
          <w:szCs w:val="20"/>
        </w:rPr>
        <w:t>The analogy is Lenders Mortgage Insurance (LMI): just as borrowers accept a charge to protect lenders from default risk, consumers could accept a capped recovery fee to reflect the real costs of the consumer protection benefits they receive when paying by card.</w:t>
      </w:r>
    </w:p>
    <w:p w14:paraId="22CBE359" w14:textId="76DB5813" w:rsidR="009F6B97" w:rsidRPr="003F04F4" w:rsidRDefault="00A7353D" w:rsidP="007C6819">
      <w:pPr>
        <w:jc w:val="both"/>
        <w:rPr>
          <w:sz w:val="20"/>
          <w:szCs w:val="20"/>
        </w:rPr>
      </w:pPr>
      <w:r w:rsidRPr="003F04F4">
        <w:rPr>
          <w:sz w:val="20"/>
          <w:szCs w:val="20"/>
        </w:rPr>
        <w:t>Without such a mechanism, the surcharge ban forces small travel businesses to fund consumer protection costs that are outside their control, while large airlines and OTAs benefit from scale and preferential scheme fee arrangements.</w:t>
      </w:r>
    </w:p>
    <w:p w14:paraId="0E8287B2" w14:textId="77777777" w:rsidR="00C11A1E" w:rsidRPr="003F04F4" w:rsidRDefault="007E3E7D" w:rsidP="007C6819">
      <w:pPr>
        <w:jc w:val="both"/>
        <w:rPr>
          <w:b/>
          <w:bCs/>
          <w:i/>
          <w:iCs/>
          <w:sz w:val="20"/>
          <w:szCs w:val="20"/>
        </w:rPr>
      </w:pPr>
      <w:r w:rsidRPr="003F04F4">
        <w:rPr>
          <w:b/>
          <w:bCs/>
          <w:i/>
          <w:iCs/>
          <w:sz w:val="20"/>
          <w:szCs w:val="20"/>
        </w:rPr>
        <w:t xml:space="preserve">Employment and regional impact </w:t>
      </w:r>
    </w:p>
    <w:p w14:paraId="35934D99" w14:textId="3432736A" w:rsidR="00B8118F" w:rsidRPr="003F04F4" w:rsidRDefault="007E3E7D" w:rsidP="007C6819">
      <w:pPr>
        <w:jc w:val="both"/>
        <w:rPr>
          <w:sz w:val="20"/>
          <w:szCs w:val="20"/>
        </w:rPr>
      </w:pPr>
      <w:r w:rsidRPr="003F04F4">
        <w:rPr>
          <w:sz w:val="20"/>
          <w:szCs w:val="20"/>
        </w:rPr>
        <w:t xml:space="preserve">SME agents disproportionately employ flexible, home-based workers, often women and parents in regional Australia. Forcing these businesses to absorb card costs risks both business viability and local employment opportunities. </w:t>
      </w:r>
      <w:r w:rsidR="00B8118F" w:rsidRPr="003F04F4">
        <w:rPr>
          <w:sz w:val="20"/>
          <w:szCs w:val="20"/>
        </w:rPr>
        <w:t>This would reduce consumer choice and risk job losses across a sector that contributes ~3% of GDP and employs ~500,000 Australians.</w:t>
      </w:r>
    </w:p>
    <w:p w14:paraId="6503B044" w14:textId="3155CF6E" w:rsidR="008B6507" w:rsidRPr="003F04F4" w:rsidRDefault="008B6507" w:rsidP="007C6819">
      <w:pPr>
        <w:jc w:val="both"/>
        <w:rPr>
          <w:sz w:val="20"/>
          <w:szCs w:val="20"/>
        </w:rPr>
      </w:pPr>
      <w:r w:rsidRPr="003F04F4">
        <w:rPr>
          <w:sz w:val="20"/>
          <w:szCs w:val="20"/>
        </w:rPr>
        <w:t>Additionally, ATIA’s CEO Dean Long was quoted as saying:</w:t>
      </w:r>
    </w:p>
    <w:p w14:paraId="598E1391" w14:textId="77777777" w:rsidR="008B6507" w:rsidRPr="003F04F4" w:rsidRDefault="008B6507" w:rsidP="007C6819">
      <w:pPr>
        <w:ind w:left="720"/>
        <w:jc w:val="both"/>
        <w:rPr>
          <w:i/>
          <w:iCs/>
          <w:sz w:val="20"/>
          <w:szCs w:val="20"/>
        </w:rPr>
      </w:pPr>
      <w:r w:rsidRPr="003F04F4">
        <w:rPr>
          <w:i/>
          <w:iCs/>
          <w:sz w:val="20"/>
          <w:szCs w:val="20"/>
        </w:rPr>
        <w:t>“Without equalisation of interchange fees and unfair scheme rules before implementation, many businesses won’t be able to absorb the costs and will be forced to reduce services or increase prices elsewhere where they can. The risk is clear: consumers will face significantly diminished value and flexibility when using their cards.”</w:t>
      </w:r>
    </w:p>
    <w:p w14:paraId="0BB7BD20" w14:textId="518F9828" w:rsidR="002F0C5D" w:rsidRPr="002F0C5D" w:rsidRDefault="002F0C5D" w:rsidP="007C6819">
      <w:pPr>
        <w:jc w:val="both"/>
        <w:rPr>
          <w:b/>
          <w:bCs/>
          <w:i/>
          <w:iCs/>
          <w:sz w:val="20"/>
          <w:szCs w:val="20"/>
        </w:rPr>
      </w:pPr>
      <w:r w:rsidRPr="002F0C5D">
        <w:rPr>
          <w:b/>
          <w:bCs/>
          <w:i/>
          <w:iCs/>
          <w:sz w:val="20"/>
          <w:szCs w:val="20"/>
        </w:rPr>
        <w:t>Political Context</w:t>
      </w:r>
    </w:p>
    <w:p w14:paraId="297913B4" w14:textId="0A737E0F" w:rsidR="00156F8E" w:rsidRDefault="00156F8E" w:rsidP="007C6819">
      <w:pPr>
        <w:jc w:val="both"/>
        <w:rPr>
          <w:sz w:val="20"/>
          <w:szCs w:val="20"/>
        </w:rPr>
      </w:pPr>
      <w:r w:rsidRPr="003F04F4">
        <w:rPr>
          <w:sz w:val="20"/>
          <w:szCs w:val="20"/>
        </w:rPr>
        <w:t xml:space="preserve">Politically, this reform has been framed around small surcharges on a coffee at the checkout. But travel is not coffee. Travel payments are large, </w:t>
      </w:r>
      <w:proofErr w:type="gramStart"/>
      <w:r w:rsidRPr="003F04F4">
        <w:rPr>
          <w:sz w:val="20"/>
          <w:szCs w:val="20"/>
        </w:rPr>
        <w:t>forward-dated</w:t>
      </w:r>
      <w:proofErr w:type="gramEnd"/>
      <w:r w:rsidRPr="003F04F4">
        <w:rPr>
          <w:sz w:val="20"/>
          <w:szCs w:val="20"/>
        </w:rPr>
        <w:t>, and high-risk. Treating both sectors the same risks unintended consequences: higher prices, SME business closures, and the erosion of consumer protections in one of Australia’s most competitive global industries.</w:t>
      </w:r>
    </w:p>
    <w:p w14:paraId="63072265" w14:textId="77777777" w:rsidR="00B825DC" w:rsidRPr="003F04F4" w:rsidRDefault="00B825DC" w:rsidP="007C6819">
      <w:pPr>
        <w:jc w:val="both"/>
        <w:rPr>
          <w:sz w:val="20"/>
          <w:szCs w:val="20"/>
        </w:rPr>
      </w:pPr>
      <w:r w:rsidRPr="003F04F4">
        <w:rPr>
          <w:sz w:val="20"/>
          <w:szCs w:val="20"/>
        </w:rPr>
        <w:lastRenderedPageBreak/>
        <w:t xml:space="preserve">The real winners will be large global OTAs, who already benefit from scale and preferential fee arrangements, none of which are </w:t>
      </w:r>
      <w:proofErr w:type="gramStart"/>
      <w:r w:rsidRPr="003F04F4">
        <w:rPr>
          <w:sz w:val="20"/>
          <w:szCs w:val="20"/>
        </w:rPr>
        <w:t>Australian-owned</w:t>
      </w:r>
      <w:proofErr w:type="gramEnd"/>
      <w:r w:rsidRPr="003F04F4">
        <w:rPr>
          <w:sz w:val="20"/>
          <w:szCs w:val="20"/>
        </w:rPr>
        <w:t>. The losers will be small, locally owned travel agents who underpin regional employment and consumer choice.</w:t>
      </w:r>
    </w:p>
    <w:p w14:paraId="44592EA1" w14:textId="7A979DFB" w:rsidR="00953E9C" w:rsidRPr="003F04F4" w:rsidRDefault="00953E9C" w:rsidP="007C6819">
      <w:pPr>
        <w:jc w:val="both"/>
        <w:rPr>
          <w:b/>
          <w:bCs/>
          <w:i/>
          <w:iCs/>
          <w:sz w:val="20"/>
          <w:szCs w:val="20"/>
        </w:rPr>
      </w:pPr>
      <w:r w:rsidRPr="003F04F4">
        <w:rPr>
          <w:b/>
          <w:bCs/>
          <w:i/>
          <w:iCs/>
          <w:sz w:val="20"/>
          <w:szCs w:val="20"/>
        </w:rPr>
        <w:t>Unequal Playing Field</w:t>
      </w:r>
    </w:p>
    <w:p w14:paraId="2C5EAEAE" w14:textId="26C45764" w:rsidR="00953E9C" w:rsidRPr="003F04F4" w:rsidRDefault="00E855FD" w:rsidP="007C6819">
      <w:pPr>
        <w:jc w:val="both"/>
        <w:rPr>
          <w:sz w:val="20"/>
          <w:szCs w:val="20"/>
        </w:rPr>
      </w:pPr>
      <w:r w:rsidRPr="003F04F4">
        <w:rPr>
          <w:sz w:val="20"/>
          <w:szCs w:val="20"/>
        </w:rPr>
        <w:t>Large travel businesses and global OTAs can negotiate preferential scheme fees with Visa and Mastercard. Small agents cannot. Removing surcharging without eliminating these preferential deals entrenches structural disadvantage for small business.</w:t>
      </w:r>
      <w:r w:rsidR="007E3E7D" w:rsidRPr="003F04F4">
        <w:rPr>
          <w:sz w:val="20"/>
          <w:szCs w:val="20"/>
        </w:rPr>
        <w:t xml:space="preserve"> </w:t>
      </w:r>
    </w:p>
    <w:p w14:paraId="349DF83C" w14:textId="77777777" w:rsidR="00BD7F92" w:rsidRPr="00B825DC" w:rsidRDefault="00BD7F92" w:rsidP="00BD7F92">
      <w:pPr>
        <w:jc w:val="both"/>
        <w:rPr>
          <w:b/>
          <w:bCs/>
          <w:sz w:val="20"/>
          <w:szCs w:val="20"/>
        </w:rPr>
      </w:pPr>
      <w:r w:rsidRPr="00B825DC">
        <w:rPr>
          <w:b/>
          <w:bCs/>
          <w:sz w:val="20"/>
          <w:szCs w:val="20"/>
        </w:rPr>
        <w:t>International Precedent – New Zealand</w:t>
      </w:r>
    </w:p>
    <w:p w14:paraId="020F98F8" w14:textId="5A9FDE7E" w:rsidR="00817F77" w:rsidRPr="00817F77" w:rsidRDefault="00817F77" w:rsidP="00817F77">
      <w:pPr>
        <w:jc w:val="both"/>
        <w:rPr>
          <w:sz w:val="20"/>
          <w:szCs w:val="20"/>
        </w:rPr>
      </w:pPr>
      <w:r w:rsidRPr="00817F77">
        <w:rPr>
          <w:sz w:val="20"/>
          <w:szCs w:val="20"/>
        </w:rPr>
        <w:t>New Zealand has recently taken a nuanced approach to surcharging reform. From May 2026, it will ban surcharges only for in-person, low-value retail payments (such as café transactions), while explicitly excluding online payments and foreign-issued cards. This acknowledges the higher risk and forward-dated nature of these transactions, enabling sectors with a heavy online presence, such as travel and events, to continue recouping their card acceptance costs. This approach demonstrates that reforms can protect consumers from excessive small surcharges while still recognising the structural realities of high-value, forward-dated industries.</w:t>
      </w:r>
    </w:p>
    <w:p w14:paraId="27159DC9" w14:textId="77777777" w:rsidR="00BD7F92" w:rsidRPr="00B825DC" w:rsidRDefault="00BD7F92" w:rsidP="00BD7F92">
      <w:pPr>
        <w:jc w:val="both"/>
        <w:rPr>
          <w:sz w:val="20"/>
          <w:szCs w:val="20"/>
        </w:rPr>
      </w:pPr>
      <w:r w:rsidRPr="00B825DC">
        <w:rPr>
          <w:sz w:val="20"/>
          <w:szCs w:val="20"/>
        </w:rPr>
        <w:t xml:space="preserve">At the same time, the Commerce Commission capped interchange fees to save merchants NZ$90 million annually, while exempting commercial and prepaid credit cards to preserve flexibility. </w:t>
      </w:r>
      <w:r w:rsidRPr="003764D6">
        <w:rPr>
          <w:sz w:val="20"/>
          <w:szCs w:val="20"/>
        </w:rPr>
        <w:t>This is a recognition that high-value B2B and corporate travel requires different treatment. Australia should</w:t>
      </w:r>
      <w:r>
        <w:rPr>
          <w:sz w:val="20"/>
          <w:szCs w:val="20"/>
        </w:rPr>
        <w:t xml:space="preserve"> consider</w:t>
      </w:r>
      <w:r w:rsidRPr="003764D6">
        <w:rPr>
          <w:sz w:val="20"/>
          <w:szCs w:val="20"/>
        </w:rPr>
        <w:t xml:space="preserve"> </w:t>
      </w:r>
      <w:r>
        <w:rPr>
          <w:sz w:val="20"/>
          <w:szCs w:val="20"/>
        </w:rPr>
        <w:t>mirroring</w:t>
      </w:r>
      <w:r w:rsidRPr="003764D6">
        <w:rPr>
          <w:sz w:val="20"/>
          <w:szCs w:val="20"/>
        </w:rPr>
        <w:t xml:space="preserve"> this flexibility.</w:t>
      </w:r>
    </w:p>
    <w:p w14:paraId="0352FCEB" w14:textId="77777777" w:rsidR="00BD7F92" w:rsidRPr="00B825DC" w:rsidRDefault="00BD7F92" w:rsidP="00BD7F92">
      <w:pPr>
        <w:jc w:val="both"/>
        <w:rPr>
          <w:sz w:val="20"/>
          <w:szCs w:val="20"/>
        </w:rPr>
      </w:pPr>
      <w:r w:rsidRPr="00B825DC">
        <w:rPr>
          <w:sz w:val="20"/>
          <w:szCs w:val="20"/>
        </w:rPr>
        <w:t>This approach recognises the structural difference between everyday retail purchases and high-value, forward-dated travel bookings. It shows regulators can design reforms that protect consumers without undermining SME sectors that carry very different risks.</w:t>
      </w:r>
    </w:p>
    <w:p w14:paraId="07FED9BE" w14:textId="31FF3DBE" w:rsidR="00B8118F" w:rsidRPr="003F04F4" w:rsidRDefault="00B8118F" w:rsidP="007C6819">
      <w:pPr>
        <w:jc w:val="both"/>
        <w:rPr>
          <w:sz w:val="20"/>
          <w:szCs w:val="20"/>
        </w:rPr>
      </w:pPr>
      <w:r w:rsidRPr="003F04F4">
        <w:rPr>
          <w:b/>
          <w:bCs/>
          <w:sz w:val="20"/>
          <w:szCs w:val="20"/>
        </w:rPr>
        <w:t>Recommendation</w:t>
      </w:r>
      <w:r w:rsidRPr="003F04F4">
        <w:rPr>
          <w:sz w:val="20"/>
          <w:szCs w:val="20"/>
        </w:rPr>
        <w:t>:</w:t>
      </w:r>
      <w:r w:rsidRPr="003F04F4">
        <w:rPr>
          <w:sz w:val="20"/>
          <w:szCs w:val="20"/>
        </w:rPr>
        <w:br/>
        <w:t>If surcharging is to be banned, the RBA should:</w:t>
      </w:r>
    </w:p>
    <w:p w14:paraId="588AAEB7" w14:textId="77777777" w:rsidR="0041632F" w:rsidRPr="003F04F4" w:rsidRDefault="0041632F" w:rsidP="007C6819">
      <w:pPr>
        <w:numPr>
          <w:ilvl w:val="0"/>
          <w:numId w:val="38"/>
        </w:numPr>
        <w:jc w:val="both"/>
        <w:rPr>
          <w:sz w:val="20"/>
          <w:szCs w:val="20"/>
        </w:rPr>
      </w:pPr>
      <w:r w:rsidRPr="003F04F4">
        <w:rPr>
          <w:sz w:val="20"/>
          <w:szCs w:val="20"/>
        </w:rPr>
        <w:t>Recognise that consumer protection benefits are disproportionately funded by small merchants in travel.</w:t>
      </w:r>
    </w:p>
    <w:p w14:paraId="5B5D7C05" w14:textId="77777777" w:rsidR="0041632F" w:rsidRPr="003F04F4" w:rsidRDefault="0041632F" w:rsidP="007C6819">
      <w:pPr>
        <w:numPr>
          <w:ilvl w:val="0"/>
          <w:numId w:val="38"/>
        </w:numPr>
        <w:jc w:val="both"/>
        <w:rPr>
          <w:sz w:val="20"/>
          <w:szCs w:val="20"/>
        </w:rPr>
      </w:pPr>
      <w:r w:rsidRPr="003F04F4">
        <w:rPr>
          <w:sz w:val="20"/>
          <w:szCs w:val="20"/>
        </w:rPr>
        <w:t>Provide a small business carve-out (e.g. capped surcharge allowance for industries with forward-dated risk like travel), or</w:t>
      </w:r>
    </w:p>
    <w:p w14:paraId="5E68DE83" w14:textId="11CCF08C" w:rsidR="00341E9A" w:rsidRDefault="0041632F" w:rsidP="007C6819">
      <w:pPr>
        <w:numPr>
          <w:ilvl w:val="0"/>
          <w:numId w:val="38"/>
        </w:numPr>
        <w:jc w:val="both"/>
        <w:rPr>
          <w:sz w:val="20"/>
          <w:szCs w:val="20"/>
        </w:rPr>
      </w:pPr>
      <w:r w:rsidRPr="003F04F4">
        <w:rPr>
          <w:sz w:val="20"/>
          <w:szCs w:val="20"/>
        </w:rPr>
        <w:t>Eliminate preferential scheme deals and mandate consistent scheme and interchange rates across all merchants.</w:t>
      </w:r>
    </w:p>
    <w:p w14:paraId="64B1A6B9" w14:textId="6D3BC8B3" w:rsidR="000426FA" w:rsidRPr="00B825DC" w:rsidRDefault="000426FA" w:rsidP="007C6819">
      <w:pPr>
        <w:numPr>
          <w:ilvl w:val="0"/>
          <w:numId w:val="38"/>
        </w:numPr>
        <w:jc w:val="both"/>
        <w:rPr>
          <w:sz w:val="20"/>
          <w:szCs w:val="20"/>
        </w:rPr>
      </w:pPr>
      <w:r w:rsidRPr="000426FA">
        <w:rPr>
          <w:sz w:val="20"/>
          <w:szCs w:val="20"/>
        </w:rPr>
        <w:t>Consider the approach recently adopted in New Zealand, where online payments</w:t>
      </w:r>
      <w:r>
        <w:rPr>
          <w:sz w:val="20"/>
          <w:szCs w:val="20"/>
        </w:rPr>
        <w:t xml:space="preserve"> </w:t>
      </w:r>
      <w:r w:rsidR="0013690E">
        <w:rPr>
          <w:sz w:val="20"/>
          <w:szCs w:val="20"/>
        </w:rPr>
        <w:t xml:space="preserve">are explicitly carved out </w:t>
      </w:r>
      <w:r w:rsidRPr="000426FA">
        <w:rPr>
          <w:sz w:val="20"/>
          <w:szCs w:val="20"/>
        </w:rPr>
        <w:t>from their surcharge ban, while still addressing excessive surcharges on small, in-person retail transactions. This demonstrates that reforms can be designed to protect consumers without unfairly penalising SMEs in structurally higher-risk industries.</w:t>
      </w:r>
    </w:p>
    <w:p w14:paraId="101753C6" w14:textId="77777777" w:rsidR="00B825DC" w:rsidRDefault="00B825DC" w:rsidP="007C6819">
      <w:pPr>
        <w:jc w:val="both"/>
        <w:rPr>
          <w:b/>
          <w:bCs/>
          <w:sz w:val="20"/>
          <w:szCs w:val="20"/>
        </w:rPr>
      </w:pPr>
    </w:p>
    <w:p w14:paraId="3B4457AF" w14:textId="149309A6" w:rsidR="002754C8" w:rsidRPr="003F04F4" w:rsidRDefault="002754C8" w:rsidP="007C6819">
      <w:pPr>
        <w:jc w:val="both"/>
        <w:rPr>
          <w:sz w:val="20"/>
          <w:szCs w:val="20"/>
        </w:rPr>
      </w:pPr>
      <w:r w:rsidRPr="003F04F4">
        <w:rPr>
          <w:b/>
          <w:bCs/>
          <w:sz w:val="20"/>
          <w:szCs w:val="20"/>
        </w:rPr>
        <w:lastRenderedPageBreak/>
        <w:t xml:space="preserve">2. </w:t>
      </w:r>
      <w:r w:rsidR="00803370" w:rsidRPr="003F04F4">
        <w:rPr>
          <w:b/>
          <w:bCs/>
          <w:sz w:val="20"/>
          <w:szCs w:val="20"/>
        </w:rPr>
        <w:t>Do the proposed changes to interchange regulation promote the public interest by improving competition and efficiency in the payments system?</w:t>
      </w:r>
    </w:p>
    <w:p w14:paraId="43C89FB0" w14:textId="77777777" w:rsidR="00803370" w:rsidRPr="003F04F4" w:rsidRDefault="00803370" w:rsidP="007C6819">
      <w:pPr>
        <w:jc w:val="both"/>
        <w:rPr>
          <w:sz w:val="20"/>
          <w:szCs w:val="20"/>
        </w:rPr>
      </w:pPr>
    </w:p>
    <w:p w14:paraId="7A54DAC1" w14:textId="77777777" w:rsidR="00F526CB" w:rsidRPr="003F04F4" w:rsidRDefault="00F526CB" w:rsidP="007C6819">
      <w:pPr>
        <w:jc w:val="both"/>
        <w:rPr>
          <w:sz w:val="20"/>
          <w:szCs w:val="20"/>
        </w:rPr>
      </w:pPr>
      <w:r w:rsidRPr="003F04F4">
        <w:rPr>
          <w:sz w:val="20"/>
          <w:szCs w:val="20"/>
        </w:rPr>
        <w:t>Reducing interchange caps will partially offset the removal of surcharging. This is positive, but only if paired with scheme fee regulation to prevent cost-shifting.</w:t>
      </w:r>
    </w:p>
    <w:p w14:paraId="64C079D1" w14:textId="77777777" w:rsidR="00803370" w:rsidRPr="003F04F4" w:rsidRDefault="00803370" w:rsidP="007C6819">
      <w:pPr>
        <w:jc w:val="both"/>
        <w:rPr>
          <w:b/>
          <w:bCs/>
          <w:sz w:val="20"/>
          <w:szCs w:val="20"/>
        </w:rPr>
      </w:pPr>
      <w:r w:rsidRPr="003F04F4">
        <w:rPr>
          <w:b/>
          <w:bCs/>
          <w:sz w:val="20"/>
          <w:szCs w:val="20"/>
        </w:rPr>
        <w:t>Considerations</w:t>
      </w:r>
    </w:p>
    <w:p w14:paraId="470E3D76" w14:textId="523918CE" w:rsidR="00803370" w:rsidRPr="003F04F4" w:rsidRDefault="00803370" w:rsidP="007C6819">
      <w:pPr>
        <w:numPr>
          <w:ilvl w:val="0"/>
          <w:numId w:val="39"/>
        </w:numPr>
        <w:jc w:val="both"/>
        <w:rPr>
          <w:sz w:val="20"/>
          <w:szCs w:val="20"/>
        </w:rPr>
      </w:pPr>
      <w:r w:rsidRPr="003F04F4">
        <w:rPr>
          <w:b/>
          <w:bCs/>
          <w:sz w:val="20"/>
          <w:szCs w:val="20"/>
        </w:rPr>
        <w:t>Lessons from the UK/EU</w:t>
      </w:r>
      <w:r w:rsidRPr="003F04F4">
        <w:rPr>
          <w:sz w:val="20"/>
          <w:szCs w:val="20"/>
        </w:rPr>
        <w:t xml:space="preserve">: Interchange caps led to a surge in scheme fees (estimated </w:t>
      </w:r>
      <w:r w:rsidR="003F76AB" w:rsidRPr="003F04F4">
        <w:rPr>
          <w:sz w:val="20"/>
          <w:szCs w:val="20"/>
        </w:rPr>
        <w:t xml:space="preserve">at c. </w:t>
      </w:r>
      <w:r w:rsidRPr="003F04F4">
        <w:rPr>
          <w:sz w:val="20"/>
          <w:szCs w:val="20"/>
        </w:rPr>
        <w:t>40% between 2015</w:t>
      </w:r>
      <w:r w:rsidR="003F76AB" w:rsidRPr="003F04F4">
        <w:rPr>
          <w:sz w:val="20"/>
          <w:szCs w:val="20"/>
        </w:rPr>
        <w:t xml:space="preserve"> and </w:t>
      </w:r>
      <w:r w:rsidRPr="003F04F4">
        <w:rPr>
          <w:sz w:val="20"/>
          <w:szCs w:val="20"/>
        </w:rPr>
        <w:t>2021). This eroded much of the intended savings for merchants.</w:t>
      </w:r>
    </w:p>
    <w:p w14:paraId="462D67E0" w14:textId="241F5D38" w:rsidR="0082058D" w:rsidRPr="003F04F4" w:rsidRDefault="00803370" w:rsidP="007C6819">
      <w:pPr>
        <w:numPr>
          <w:ilvl w:val="0"/>
          <w:numId w:val="39"/>
        </w:numPr>
        <w:jc w:val="both"/>
        <w:rPr>
          <w:sz w:val="20"/>
          <w:szCs w:val="20"/>
        </w:rPr>
      </w:pPr>
      <w:r w:rsidRPr="003F04F4">
        <w:rPr>
          <w:b/>
          <w:bCs/>
          <w:sz w:val="20"/>
          <w:szCs w:val="20"/>
        </w:rPr>
        <w:t>Merchant Impact</w:t>
      </w:r>
      <w:r w:rsidRPr="003F04F4">
        <w:rPr>
          <w:sz w:val="20"/>
          <w:szCs w:val="20"/>
        </w:rPr>
        <w:t xml:space="preserve">: </w:t>
      </w:r>
      <w:r w:rsidR="0082058D" w:rsidRPr="003F04F4">
        <w:rPr>
          <w:sz w:val="20"/>
          <w:szCs w:val="20"/>
        </w:rPr>
        <w:t xml:space="preserve">Lower interchange is </w:t>
      </w:r>
      <w:proofErr w:type="gramStart"/>
      <w:r w:rsidR="0082058D" w:rsidRPr="003F04F4">
        <w:rPr>
          <w:sz w:val="20"/>
          <w:szCs w:val="20"/>
        </w:rPr>
        <w:t>helpful, but</w:t>
      </w:r>
      <w:proofErr w:type="gramEnd"/>
      <w:r w:rsidR="0082058D" w:rsidRPr="003F04F4">
        <w:rPr>
          <w:sz w:val="20"/>
          <w:szCs w:val="20"/>
        </w:rPr>
        <w:t xml:space="preserve"> does not resolve the inherited liability travel agents bear through chargebacks.</w:t>
      </w:r>
    </w:p>
    <w:p w14:paraId="6CC17339" w14:textId="008DF366" w:rsidR="0082058D" w:rsidRPr="003F04F4" w:rsidRDefault="0082058D" w:rsidP="007C6819">
      <w:pPr>
        <w:pStyle w:val="ListParagraph"/>
        <w:numPr>
          <w:ilvl w:val="0"/>
          <w:numId w:val="39"/>
        </w:numPr>
        <w:jc w:val="both"/>
        <w:rPr>
          <w:sz w:val="20"/>
          <w:szCs w:val="20"/>
        </w:rPr>
      </w:pPr>
      <w:r w:rsidRPr="003F04F4">
        <w:rPr>
          <w:b/>
          <w:bCs/>
          <w:sz w:val="20"/>
          <w:szCs w:val="20"/>
        </w:rPr>
        <w:t>Rewards programs</w:t>
      </w:r>
      <w:r w:rsidRPr="003F04F4">
        <w:rPr>
          <w:sz w:val="20"/>
          <w:szCs w:val="20"/>
        </w:rPr>
        <w:t xml:space="preserve">: </w:t>
      </w:r>
      <w:r w:rsidR="009C613F" w:rsidRPr="009C613F">
        <w:rPr>
          <w:sz w:val="20"/>
          <w:szCs w:val="20"/>
        </w:rPr>
        <w:t xml:space="preserve">For SMEs in travel already struggling with </w:t>
      </w:r>
      <w:r w:rsidR="009C613F">
        <w:rPr>
          <w:sz w:val="20"/>
          <w:szCs w:val="20"/>
        </w:rPr>
        <w:t>low margins,</w:t>
      </w:r>
      <w:r w:rsidR="009C613F" w:rsidRPr="009C613F">
        <w:rPr>
          <w:sz w:val="20"/>
          <w:szCs w:val="20"/>
        </w:rPr>
        <w:t xml:space="preserve"> subsidising premium credit card rewards for major banks’ customers is inequitable and unsustainable</w:t>
      </w:r>
      <w:r w:rsidR="009C613F">
        <w:rPr>
          <w:sz w:val="20"/>
          <w:szCs w:val="20"/>
        </w:rPr>
        <w:t xml:space="preserve">. </w:t>
      </w:r>
      <w:r w:rsidR="004831B1" w:rsidRPr="004831B1">
        <w:rPr>
          <w:sz w:val="20"/>
          <w:szCs w:val="20"/>
        </w:rPr>
        <w:t>As the RBA itself has acknowledged in August 2025, SMEs should not be forced to subsidise premium rewards programs offered by major banks. Without surcharging, this is exactly what occurs</w:t>
      </w:r>
      <w:r w:rsidR="004831B1">
        <w:rPr>
          <w:sz w:val="20"/>
          <w:szCs w:val="20"/>
        </w:rPr>
        <w:t>,</w:t>
      </w:r>
      <w:r w:rsidR="004831B1" w:rsidRPr="004831B1">
        <w:rPr>
          <w:sz w:val="20"/>
          <w:szCs w:val="20"/>
        </w:rPr>
        <w:t xml:space="preserve"> small travel businesses on </w:t>
      </w:r>
      <w:r w:rsidR="004831B1">
        <w:rPr>
          <w:sz w:val="20"/>
          <w:szCs w:val="20"/>
        </w:rPr>
        <w:t xml:space="preserve">low </w:t>
      </w:r>
      <w:r w:rsidR="004831B1" w:rsidRPr="004831B1">
        <w:rPr>
          <w:sz w:val="20"/>
          <w:szCs w:val="20"/>
        </w:rPr>
        <w:t>margins are left funding loyalty schemes for bank customers</w:t>
      </w:r>
    </w:p>
    <w:p w14:paraId="4FB166E3" w14:textId="77777777" w:rsidR="00803370" w:rsidRPr="003F04F4" w:rsidRDefault="00803370" w:rsidP="007C6819">
      <w:pPr>
        <w:jc w:val="both"/>
        <w:rPr>
          <w:sz w:val="20"/>
          <w:szCs w:val="20"/>
        </w:rPr>
      </w:pPr>
      <w:r w:rsidRPr="003F04F4">
        <w:rPr>
          <w:b/>
          <w:bCs/>
          <w:sz w:val="20"/>
          <w:szCs w:val="20"/>
        </w:rPr>
        <w:t>Recommendation</w:t>
      </w:r>
      <w:r w:rsidRPr="003F04F4">
        <w:rPr>
          <w:sz w:val="20"/>
          <w:szCs w:val="20"/>
        </w:rPr>
        <w:t>:</w:t>
      </w:r>
    </w:p>
    <w:p w14:paraId="31919C13" w14:textId="77777777" w:rsidR="0082058D" w:rsidRPr="003F04F4" w:rsidRDefault="0082058D" w:rsidP="007C6819">
      <w:pPr>
        <w:numPr>
          <w:ilvl w:val="0"/>
          <w:numId w:val="40"/>
        </w:numPr>
        <w:jc w:val="both"/>
        <w:rPr>
          <w:sz w:val="20"/>
          <w:szCs w:val="20"/>
        </w:rPr>
      </w:pPr>
      <w:r w:rsidRPr="003F04F4">
        <w:rPr>
          <w:sz w:val="20"/>
          <w:szCs w:val="20"/>
        </w:rPr>
        <w:t>Regulate both interchange and scheme fees together.</w:t>
      </w:r>
    </w:p>
    <w:p w14:paraId="1460C9D8" w14:textId="77777777" w:rsidR="0082058D" w:rsidRPr="003F04F4" w:rsidRDefault="0082058D" w:rsidP="007C6819">
      <w:pPr>
        <w:numPr>
          <w:ilvl w:val="0"/>
          <w:numId w:val="40"/>
        </w:numPr>
        <w:jc w:val="both"/>
        <w:rPr>
          <w:sz w:val="20"/>
          <w:szCs w:val="20"/>
        </w:rPr>
      </w:pPr>
      <w:r w:rsidRPr="003F04F4">
        <w:rPr>
          <w:sz w:val="20"/>
          <w:szCs w:val="20"/>
        </w:rPr>
        <w:t>Prohibit “special deals” on scheme fees that advantage large merchants.</w:t>
      </w:r>
    </w:p>
    <w:p w14:paraId="3FAE8CD9" w14:textId="570AD05D" w:rsidR="002754C8" w:rsidRDefault="0082058D" w:rsidP="007C6819">
      <w:pPr>
        <w:numPr>
          <w:ilvl w:val="0"/>
          <w:numId w:val="40"/>
        </w:numPr>
        <w:jc w:val="both"/>
        <w:rPr>
          <w:sz w:val="20"/>
          <w:szCs w:val="20"/>
        </w:rPr>
      </w:pPr>
      <w:r w:rsidRPr="003F04F4">
        <w:rPr>
          <w:sz w:val="20"/>
          <w:szCs w:val="20"/>
        </w:rPr>
        <w:t>Ensure fee reductions are transparently passed on to merchants (Mint commits to this in full).</w:t>
      </w:r>
    </w:p>
    <w:p w14:paraId="71BA55AC" w14:textId="77777777" w:rsidR="00B61447" w:rsidRPr="003F04F4" w:rsidRDefault="00B61447" w:rsidP="007C6819">
      <w:pPr>
        <w:jc w:val="both"/>
        <w:rPr>
          <w:sz w:val="20"/>
          <w:szCs w:val="20"/>
        </w:rPr>
      </w:pPr>
    </w:p>
    <w:p w14:paraId="08CF80B8" w14:textId="17379DA0" w:rsidR="002754C8" w:rsidRPr="003F04F4" w:rsidRDefault="00891D2B" w:rsidP="007C6819">
      <w:pPr>
        <w:jc w:val="both"/>
        <w:rPr>
          <w:b/>
          <w:bCs/>
          <w:sz w:val="20"/>
          <w:szCs w:val="20"/>
        </w:rPr>
      </w:pPr>
      <w:r w:rsidRPr="003F04F4">
        <w:rPr>
          <w:b/>
          <w:bCs/>
          <w:sz w:val="20"/>
          <w:szCs w:val="20"/>
        </w:rPr>
        <w:t xml:space="preserve">3. </w:t>
      </w:r>
      <w:r w:rsidR="00AB6F17" w:rsidRPr="003F04F4">
        <w:rPr>
          <w:b/>
          <w:bCs/>
          <w:sz w:val="20"/>
          <w:szCs w:val="20"/>
        </w:rPr>
        <w:t xml:space="preserve">Are there further considerations for smaller issuers that the RBA should </w:t>
      </w:r>
      <w:proofErr w:type="gramStart"/>
      <w:r w:rsidR="00AB6F17" w:rsidRPr="003F04F4">
        <w:rPr>
          <w:b/>
          <w:bCs/>
          <w:sz w:val="20"/>
          <w:szCs w:val="20"/>
        </w:rPr>
        <w:t>take into account</w:t>
      </w:r>
      <w:proofErr w:type="gramEnd"/>
      <w:r w:rsidR="00AB6F17" w:rsidRPr="003F04F4">
        <w:rPr>
          <w:b/>
          <w:bCs/>
          <w:sz w:val="20"/>
          <w:szCs w:val="20"/>
        </w:rPr>
        <w:t xml:space="preserve"> to enhance competition and efficiency in the payments system?</w:t>
      </w:r>
    </w:p>
    <w:p w14:paraId="0AA52D44" w14:textId="17EF9055" w:rsidR="00891D2B" w:rsidRPr="003F04F4" w:rsidRDefault="00891D2B" w:rsidP="007C6819">
      <w:pPr>
        <w:jc w:val="both"/>
        <w:rPr>
          <w:b/>
          <w:bCs/>
          <w:sz w:val="20"/>
          <w:szCs w:val="20"/>
        </w:rPr>
      </w:pPr>
      <w:r w:rsidRPr="003F04F4">
        <w:rPr>
          <w:b/>
          <w:bCs/>
          <w:sz w:val="20"/>
          <w:szCs w:val="20"/>
        </w:rPr>
        <w:t>4. Do the proposed changes to the net compensation provisions effectively achieve the RBA’s objectives and promote the public interest? Will Australian issuers sponsored by overseas entities be able to comply with the changes?</w:t>
      </w:r>
    </w:p>
    <w:p w14:paraId="7128C4A4" w14:textId="77777777" w:rsidR="00891D2B" w:rsidRPr="003F04F4" w:rsidRDefault="00891D2B" w:rsidP="007C6819">
      <w:pPr>
        <w:jc w:val="both"/>
        <w:rPr>
          <w:b/>
          <w:bCs/>
          <w:sz w:val="20"/>
          <w:szCs w:val="20"/>
        </w:rPr>
      </w:pPr>
    </w:p>
    <w:p w14:paraId="5405D5C5" w14:textId="77777777" w:rsidR="00AB6F17" w:rsidRPr="003F04F4" w:rsidRDefault="00AB6F17" w:rsidP="007C6819">
      <w:pPr>
        <w:jc w:val="both"/>
        <w:rPr>
          <w:sz w:val="20"/>
          <w:szCs w:val="20"/>
        </w:rPr>
      </w:pPr>
      <w:r w:rsidRPr="003F04F4">
        <w:rPr>
          <w:sz w:val="20"/>
          <w:szCs w:val="20"/>
        </w:rPr>
        <w:t xml:space="preserve">Not directly relevant to Mint’s PSP role. However, we note that structural imbalances exist between small and large issuers, </w:t>
      </w:r>
      <w:proofErr w:type="gramStart"/>
      <w:r w:rsidRPr="003F04F4">
        <w:rPr>
          <w:sz w:val="20"/>
          <w:szCs w:val="20"/>
        </w:rPr>
        <w:t>similar to</w:t>
      </w:r>
      <w:proofErr w:type="gramEnd"/>
      <w:r w:rsidRPr="003F04F4">
        <w:rPr>
          <w:sz w:val="20"/>
          <w:szCs w:val="20"/>
        </w:rPr>
        <w:t xml:space="preserve"> those faced by small vs large merchants in travel.</w:t>
      </w:r>
    </w:p>
    <w:p w14:paraId="7358506A" w14:textId="77777777" w:rsidR="002F3927" w:rsidRPr="003F04F4" w:rsidRDefault="002F3927" w:rsidP="007C6819">
      <w:pPr>
        <w:jc w:val="both"/>
        <w:rPr>
          <w:sz w:val="20"/>
          <w:szCs w:val="20"/>
        </w:rPr>
      </w:pPr>
      <w:r w:rsidRPr="003F04F4">
        <w:rPr>
          <w:sz w:val="20"/>
          <w:szCs w:val="20"/>
        </w:rPr>
        <w:t>Smaller issuers and PSPs also need to be protected from anti-competitive cross-subsidisation by large banks, who can absorb interchange reductions across their broader businesses.</w:t>
      </w:r>
    </w:p>
    <w:p w14:paraId="3966EF28" w14:textId="77777777" w:rsidR="00891D2B" w:rsidRPr="003F04F4" w:rsidRDefault="00891D2B" w:rsidP="007C6819">
      <w:pPr>
        <w:jc w:val="both"/>
        <w:rPr>
          <w:sz w:val="20"/>
          <w:szCs w:val="20"/>
        </w:rPr>
      </w:pPr>
    </w:p>
    <w:p w14:paraId="718A18A7" w14:textId="77777777" w:rsidR="00004720" w:rsidRPr="003F04F4" w:rsidRDefault="00004720" w:rsidP="007C6819">
      <w:pPr>
        <w:jc w:val="both"/>
        <w:rPr>
          <w:b/>
          <w:bCs/>
          <w:sz w:val="20"/>
          <w:szCs w:val="20"/>
        </w:rPr>
      </w:pPr>
      <w:r w:rsidRPr="003F04F4">
        <w:rPr>
          <w:b/>
          <w:bCs/>
          <w:sz w:val="20"/>
          <w:szCs w:val="20"/>
        </w:rPr>
        <w:lastRenderedPageBreak/>
        <w:t xml:space="preserve">5. Does the proposal for card networks to publish aggregate wholesale fee data achieve the RBA’s objectives of improving competition and efficiency among the card networks? Does the proposal adequately balance the information needs of the market with commercial concerns? </w:t>
      </w:r>
    </w:p>
    <w:p w14:paraId="04D945B2" w14:textId="77777777" w:rsidR="00004720" w:rsidRPr="003F04F4" w:rsidRDefault="00004720" w:rsidP="007C6819">
      <w:pPr>
        <w:jc w:val="both"/>
        <w:rPr>
          <w:b/>
          <w:bCs/>
          <w:sz w:val="20"/>
          <w:szCs w:val="20"/>
        </w:rPr>
      </w:pPr>
      <w:r w:rsidRPr="003F04F4">
        <w:rPr>
          <w:b/>
          <w:bCs/>
          <w:sz w:val="20"/>
          <w:szCs w:val="20"/>
        </w:rPr>
        <w:t xml:space="preserve">6. Does the proposal for card networks to work with industry to reduce the complexity and improve the transparency of their scheme fee schedules enhance the competitiveness and efficiency of the card payments system? </w:t>
      </w:r>
    </w:p>
    <w:p w14:paraId="64737DE9" w14:textId="34BC9971" w:rsidR="00004720" w:rsidRPr="003F04F4" w:rsidRDefault="00004720" w:rsidP="007C6819">
      <w:pPr>
        <w:jc w:val="both"/>
        <w:rPr>
          <w:b/>
          <w:bCs/>
          <w:sz w:val="20"/>
          <w:szCs w:val="20"/>
        </w:rPr>
      </w:pPr>
      <w:r w:rsidRPr="003F04F4">
        <w:rPr>
          <w:b/>
          <w:bCs/>
          <w:sz w:val="20"/>
          <w:szCs w:val="20"/>
        </w:rPr>
        <w:t xml:space="preserve">7. Does the proposed expectation on scheme fees achieve the RBA’s objectives of competition and efficiency in the payments system? </w:t>
      </w:r>
    </w:p>
    <w:p w14:paraId="10505E57" w14:textId="425762AF" w:rsidR="00004720" w:rsidRPr="003F04F4" w:rsidRDefault="00004720" w:rsidP="007C6819">
      <w:pPr>
        <w:jc w:val="both"/>
        <w:rPr>
          <w:b/>
          <w:bCs/>
          <w:sz w:val="20"/>
          <w:szCs w:val="20"/>
        </w:rPr>
      </w:pPr>
      <w:r w:rsidRPr="003F04F4">
        <w:rPr>
          <w:b/>
          <w:bCs/>
          <w:sz w:val="20"/>
          <w:szCs w:val="20"/>
        </w:rPr>
        <w:t>8. Should the PSB consider further regulatory measures in relation to the level of scheme fees to promote competition and efficiency in the payments system?</w:t>
      </w:r>
    </w:p>
    <w:p w14:paraId="654C21E1" w14:textId="77777777" w:rsidR="007B1D3D" w:rsidRPr="003F04F4" w:rsidRDefault="007B1D3D" w:rsidP="007C6819">
      <w:pPr>
        <w:jc w:val="both"/>
        <w:rPr>
          <w:sz w:val="20"/>
          <w:szCs w:val="20"/>
        </w:rPr>
      </w:pPr>
    </w:p>
    <w:p w14:paraId="6D7B6688" w14:textId="2227A0AF" w:rsidR="007B1D3D" w:rsidRPr="003F04F4" w:rsidRDefault="007B1D3D" w:rsidP="007C6819">
      <w:pPr>
        <w:jc w:val="both"/>
        <w:rPr>
          <w:sz w:val="20"/>
          <w:szCs w:val="20"/>
        </w:rPr>
      </w:pPr>
      <w:r w:rsidRPr="003F04F4">
        <w:rPr>
          <w:sz w:val="20"/>
          <w:szCs w:val="20"/>
        </w:rPr>
        <w:t>Scheme fees are the least transparent and least controllable part of merchant costs. They are also where large players secure unfair advantages through “special deals.”</w:t>
      </w:r>
    </w:p>
    <w:p w14:paraId="32196CEA" w14:textId="77777777" w:rsidR="007B1D3D" w:rsidRPr="003F04F4" w:rsidRDefault="007B1D3D" w:rsidP="007C6819">
      <w:pPr>
        <w:jc w:val="both"/>
        <w:rPr>
          <w:b/>
          <w:bCs/>
          <w:sz w:val="20"/>
          <w:szCs w:val="20"/>
        </w:rPr>
      </w:pPr>
      <w:r w:rsidRPr="003F04F4">
        <w:rPr>
          <w:b/>
          <w:bCs/>
          <w:sz w:val="20"/>
          <w:szCs w:val="20"/>
        </w:rPr>
        <w:t>Key Points</w:t>
      </w:r>
    </w:p>
    <w:p w14:paraId="14740A14" w14:textId="464C3F9F" w:rsidR="007B1D3D" w:rsidRPr="003F04F4" w:rsidRDefault="007B1D3D" w:rsidP="007C6819">
      <w:pPr>
        <w:numPr>
          <w:ilvl w:val="0"/>
          <w:numId w:val="41"/>
        </w:numPr>
        <w:tabs>
          <w:tab w:val="num" w:pos="0"/>
        </w:tabs>
        <w:ind w:left="360"/>
        <w:jc w:val="both"/>
        <w:rPr>
          <w:sz w:val="20"/>
          <w:szCs w:val="20"/>
        </w:rPr>
      </w:pPr>
      <w:r w:rsidRPr="003F04F4">
        <w:rPr>
          <w:b/>
          <w:bCs/>
          <w:sz w:val="20"/>
          <w:szCs w:val="20"/>
        </w:rPr>
        <w:t>Opaque Costs</w:t>
      </w:r>
      <w:r w:rsidRPr="003F04F4">
        <w:rPr>
          <w:sz w:val="20"/>
          <w:szCs w:val="20"/>
        </w:rPr>
        <w:t>:</w:t>
      </w:r>
      <w:r w:rsidR="00E01663" w:rsidRPr="003F04F4">
        <w:rPr>
          <w:sz w:val="20"/>
          <w:szCs w:val="20"/>
        </w:rPr>
        <w:t xml:space="preserve"> SME</w:t>
      </w:r>
      <w:r w:rsidRPr="003F04F4">
        <w:rPr>
          <w:sz w:val="20"/>
          <w:szCs w:val="20"/>
        </w:rPr>
        <w:t xml:space="preserve"> </w:t>
      </w:r>
      <w:r w:rsidR="00E01663" w:rsidRPr="003F04F4">
        <w:rPr>
          <w:sz w:val="20"/>
          <w:szCs w:val="20"/>
        </w:rPr>
        <w:t xml:space="preserve">merchants </w:t>
      </w:r>
      <w:r w:rsidRPr="003F04F4">
        <w:rPr>
          <w:sz w:val="20"/>
          <w:szCs w:val="20"/>
        </w:rPr>
        <w:t>are price-takers; they cannot negotiate scheme fees.</w:t>
      </w:r>
    </w:p>
    <w:p w14:paraId="42B3562A" w14:textId="3BECAADC" w:rsidR="007B1D3D" w:rsidRPr="003F04F4" w:rsidRDefault="007B1D3D" w:rsidP="007C6819">
      <w:pPr>
        <w:numPr>
          <w:ilvl w:val="0"/>
          <w:numId w:val="41"/>
        </w:numPr>
        <w:tabs>
          <w:tab w:val="num" w:pos="0"/>
        </w:tabs>
        <w:ind w:left="360"/>
        <w:jc w:val="both"/>
        <w:rPr>
          <w:sz w:val="20"/>
          <w:szCs w:val="20"/>
        </w:rPr>
      </w:pPr>
      <w:r w:rsidRPr="003F04F4">
        <w:rPr>
          <w:b/>
          <w:bCs/>
          <w:sz w:val="20"/>
          <w:szCs w:val="20"/>
        </w:rPr>
        <w:t>Special Deals</w:t>
      </w:r>
      <w:r w:rsidRPr="003F04F4">
        <w:rPr>
          <w:sz w:val="20"/>
          <w:szCs w:val="20"/>
        </w:rPr>
        <w:t xml:space="preserve">: Large </w:t>
      </w:r>
      <w:r w:rsidR="00866D88" w:rsidRPr="003F04F4">
        <w:rPr>
          <w:sz w:val="20"/>
          <w:szCs w:val="20"/>
        </w:rPr>
        <w:t>merchants</w:t>
      </w:r>
      <w:r w:rsidRPr="003F04F4">
        <w:rPr>
          <w:sz w:val="20"/>
          <w:szCs w:val="20"/>
        </w:rPr>
        <w:t xml:space="preserve"> often negotiate preferential scheme fees with Visa</w:t>
      </w:r>
      <w:r w:rsidR="00866D88" w:rsidRPr="003F04F4">
        <w:rPr>
          <w:sz w:val="20"/>
          <w:szCs w:val="20"/>
        </w:rPr>
        <w:t xml:space="preserve"> and </w:t>
      </w:r>
      <w:r w:rsidRPr="003F04F4">
        <w:rPr>
          <w:sz w:val="20"/>
          <w:szCs w:val="20"/>
        </w:rPr>
        <w:t xml:space="preserve">Mastercard, rates that are simply not available to small </w:t>
      </w:r>
      <w:r w:rsidR="00866D88" w:rsidRPr="003F04F4">
        <w:rPr>
          <w:sz w:val="20"/>
          <w:szCs w:val="20"/>
        </w:rPr>
        <w:t>and medium size businesses</w:t>
      </w:r>
      <w:r w:rsidRPr="003F04F4">
        <w:rPr>
          <w:sz w:val="20"/>
          <w:szCs w:val="20"/>
        </w:rPr>
        <w:t>. This entrenches structural imbalances and market power.</w:t>
      </w:r>
    </w:p>
    <w:p w14:paraId="74FD6C3C" w14:textId="4D0A3D9A" w:rsidR="007B1D3D" w:rsidRPr="003F04F4" w:rsidRDefault="007B1D3D" w:rsidP="007C6819">
      <w:pPr>
        <w:numPr>
          <w:ilvl w:val="0"/>
          <w:numId w:val="41"/>
        </w:numPr>
        <w:tabs>
          <w:tab w:val="num" w:pos="0"/>
        </w:tabs>
        <w:ind w:left="360"/>
        <w:jc w:val="both"/>
        <w:rPr>
          <w:sz w:val="20"/>
          <w:szCs w:val="20"/>
        </w:rPr>
      </w:pPr>
      <w:r w:rsidRPr="003F04F4">
        <w:rPr>
          <w:b/>
          <w:bCs/>
          <w:sz w:val="20"/>
          <w:szCs w:val="20"/>
        </w:rPr>
        <w:t>Structural Risk</w:t>
      </w:r>
      <w:r w:rsidRPr="003F04F4">
        <w:rPr>
          <w:sz w:val="20"/>
          <w:szCs w:val="20"/>
        </w:rPr>
        <w:t xml:space="preserve">: With surcharges banned, small </w:t>
      </w:r>
      <w:r w:rsidR="00866D88" w:rsidRPr="003F04F4">
        <w:rPr>
          <w:sz w:val="20"/>
          <w:szCs w:val="20"/>
        </w:rPr>
        <w:t xml:space="preserve">travel </w:t>
      </w:r>
      <w:r w:rsidRPr="003F04F4">
        <w:rPr>
          <w:sz w:val="20"/>
          <w:szCs w:val="20"/>
        </w:rPr>
        <w:t>agents will no longer be able to offset higher costs. Without action, this risks further market consolidation towards large players.</w:t>
      </w:r>
    </w:p>
    <w:p w14:paraId="00047511" w14:textId="2B154003" w:rsidR="009F1A88" w:rsidRPr="003F04F4" w:rsidRDefault="009F1A88" w:rsidP="007C6819">
      <w:pPr>
        <w:numPr>
          <w:ilvl w:val="0"/>
          <w:numId w:val="41"/>
        </w:numPr>
        <w:tabs>
          <w:tab w:val="num" w:pos="0"/>
        </w:tabs>
        <w:ind w:left="360"/>
        <w:jc w:val="both"/>
        <w:rPr>
          <w:sz w:val="20"/>
          <w:szCs w:val="20"/>
        </w:rPr>
      </w:pPr>
      <w:r w:rsidRPr="003F04F4">
        <w:rPr>
          <w:sz w:val="20"/>
          <w:szCs w:val="20"/>
        </w:rPr>
        <w:t>The current approach risks accelera</w:t>
      </w:r>
      <w:r w:rsidRPr="003F04F4">
        <w:rPr>
          <w:b/>
          <w:bCs/>
          <w:sz w:val="20"/>
          <w:szCs w:val="20"/>
        </w:rPr>
        <w:t xml:space="preserve">ting consolidation into global OTAs and large suppliers </w:t>
      </w:r>
      <w:r w:rsidRPr="003F04F4">
        <w:rPr>
          <w:sz w:val="20"/>
          <w:szCs w:val="20"/>
        </w:rPr>
        <w:t>who can absorb fees and negotiate preferential terms. Australian SMEs will be forced to either stop accepting cards or exit the market altogether. This outcome would reduce domestic competition, undermine local employment, and further entrench offshore incumbents.</w:t>
      </w:r>
    </w:p>
    <w:p w14:paraId="392E37FA" w14:textId="77777777" w:rsidR="007B1D3D" w:rsidRPr="003F04F4" w:rsidRDefault="007B1D3D" w:rsidP="007C6819">
      <w:pPr>
        <w:jc w:val="both"/>
        <w:rPr>
          <w:b/>
          <w:bCs/>
          <w:sz w:val="20"/>
          <w:szCs w:val="20"/>
        </w:rPr>
      </w:pPr>
      <w:r w:rsidRPr="003F04F4">
        <w:rPr>
          <w:b/>
          <w:bCs/>
          <w:sz w:val="20"/>
          <w:szCs w:val="20"/>
        </w:rPr>
        <w:t>Recommendations</w:t>
      </w:r>
    </w:p>
    <w:p w14:paraId="3D26472A" w14:textId="77777777" w:rsidR="007B1D3D" w:rsidRPr="003F04F4" w:rsidRDefault="007B1D3D" w:rsidP="007C6819">
      <w:pPr>
        <w:numPr>
          <w:ilvl w:val="0"/>
          <w:numId w:val="42"/>
        </w:numPr>
        <w:tabs>
          <w:tab w:val="clear" w:pos="720"/>
          <w:tab w:val="num" w:pos="360"/>
        </w:tabs>
        <w:ind w:left="360"/>
        <w:jc w:val="both"/>
        <w:rPr>
          <w:sz w:val="20"/>
          <w:szCs w:val="20"/>
        </w:rPr>
      </w:pPr>
      <w:r w:rsidRPr="003F04F4">
        <w:rPr>
          <w:sz w:val="20"/>
          <w:szCs w:val="20"/>
        </w:rPr>
        <w:t>Mandatory publication of wholesale scheme fee schedules to enable transparency.</w:t>
      </w:r>
    </w:p>
    <w:p w14:paraId="0084EBD5" w14:textId="593FD3D1" w:rsidR="007B1D3D" w:rsidRPr="003F04F4" w:rsidRDefault="00E2313E" w:rsidP="007C6819">
      <w:pPr>
        <w:numPr>
          <w:ilvl w:val="0"/>
          <w:numId w:val="42"/>
        </w:numPr>
        <w:tabs>
          <w:tab w:val="clear" w:pos="720"/>
          <w:tab w:val="num" w:pos="360"/>
        </w:tabs>
        <w:ind w:left="360"/>
        <w:jc w:val="both"/>
        <w:rPr>
          <w:sz w:val="20"/>
          <w:szCs w:val="20"/>
        </w:rPr>
      </w:pPr>
      <w:r w:rsidRPr="003F04F4">
        <w:rPr>
          <w:sz w:val="20"/>
          <w:szCs w:val="20"/>
        </w:rPr>
        <w:t xml:space="preserve">Prohibition of preferential scheme rates that allow large merchants/acquirers to secure lower rates unless universally available. </w:t>
      </w:r>
      <w:r w:rsidR="00A3330E" w:rsidRPr="003F04F4">
        <w:rPr>
          <w:sz w:val="20"/>
          <w:szCs w:val="20"/>
        </w:rPr>
        <w:t>If not addressed, these reforms risk accelerating consolidation into large players at the expense of SMEs.</w:t>
      </w:r>
    </w:p>
    <w:p w14:paraId="0657E821" w14:textId="77777777" w:rsidR="007B1D3D" w:rsidRPr="003F04F4" w:rsidRDefault="007B1D3D" w:rsidP="007C6819">
      <w:pPr>
        <w:numPr>
          <w:ilvl w:val="0"/>
          <w:numId w:val="42"/>
        </w:numPr>
        <w:tabs>
          <w:tab w:val="clear" w:pos="720"/>
          <w:tab w:val="num" w:pos="360"/>
        </w:tabs>
        <w:ind w:left="360"/>
        <w:jc w:val="both"/>
        <w:rPr>
          <w:sz w:val="20"/>
          <w:szCs w:val="20"/>
        </w:rPr>
      </w:pPr>
      <w:r w:rsidRPr="003F04F4">
        <w:rPr>
          <w:sz w:val="20"/>
          <w:szCs w:val="20"/>
        </w:rPr>
        <w:t>Simplify fee structures, e.g. flat fees for online transactions.</w:t>
      </w:r>
    </w:p>
    <w:p w14:paraId="7570F1BC" w14:textId="77777777" w:rsidR="007B1D3D" w:rsidRPr="003F04F4" w:rsidRDefault="007B1D3D" w:rsidP="007C6819">
      <w:pPr>
        <w:numPr>
          <w:ilvl w:val="0"/>
          <w:numId w:val="42"/>
        </w:numPr>
        <w:tabs>
          <w:tab w:val="clear" w:pos="720"/>
          <w:tab w:val="num" w:pos="360"/>
        </w:tabs>
        <w:ind w:left="360"/>
        <w:jc w:val="both"/>
        <w:rPr>
          <w:sz w:val="20"/>
          <w:szCs w:val="20"/>
        </w:rPr>
      </w:pPr>
      <w:r w:rsidRPr="003F04F4">
        <w:rPr>
          <w:sz w:val="20"/>
          <w:szCs w:val="20"/>
        </w:rPr>
        <w:t>Consider fee caps or CPI-linked limits to prevent unchecked fee growth, as has occurred in Europe.</w:t>
      </w:r>
    </w:p>
    <w:p w14:paraId="417A4223" w14:textId="77777777" w:rsidR="00BF4506" w:rsidRPr="003F04F4" w:rsidRDefault="00BF4506" w:rsidP="007C6819">
      <w:pPr>
        <w:ind w:left="720"/>
        <w:jc w:val="both"/>
        <w:rPr>
          <w:sz w:val="20"/>
          <w:szCs w:val="20"/>
        </w:rPr>
      </w:pPr>
    </w:p>
    <w:p w14:paraId="61E4072F" w14:textId="77777777" w:rsidR="007E4A07" w:rsidRPr="003F04F4" w:rsidRDefault="007E4A07" w:rsidP="007C6819">
      <w:pPr>
        <w:jc w:val="both"/>
        <w:rPr>
          <w:b/>
          <w:bCs/>
          <w:sz w:val="20"/>
          <w:szCs w:val="20"/>
        </w:rPr>
      </w:pPr>
      <w:r w:rsidRPr="003F04F4">
        <w:rPr>
          <w:b/>
          <w:bCs/>
          <w:sz w:val="20"/>
          <w:szCs w:val="20"/>
        </w:rPr>
        <w:lastRenderedPageBreak/>
        <w:t xml:space="preserve">9. Does the proposed requirement for acquirers to publish their merchants’ cost of acceptance enhance competition and efficiency by helping merchants search for a better plan? In particular, the RBA welcomes feedback on: </w:t>
      </w:r>
    </w:p>
    <w:p w14:paraId="4F3A08EF" w14:textId="77777777" w:rsidR="00B1474D" w:rsidRPr="003F04F4" w:rsidRDefault="007E4A07" w:rsidP="007C6819">
      <w:pPr>
        <w:ind w:left="720"/>
        <w:jc w:val="both"/>
        <w:rPr>
          <w:b/>
          <w:bCs/>
          <w:sz w:val="20"/>
          <w:szCs w:val="20"/>
        </w:rPr>
      </w:pPr>
      <w:r w:rsidRPr="003F04F4">
        <w:rPr>
          <w:b/>
          <w:bCs/>
          <w:sz w:val="20"/>
          <w:szCs w:val="20"/>
        </w:rPr>
        <w:t xml:space="preserve">• whether the size threshold for acquirers is appropriate </w:t>
      </w:r>
    </w:p>
    <w:p w14:paraId="533138C8" w14:textId="1E7024A1" w:rsidR="007E4A07" w:rsidRPr="003F04F4" w:rsidRDefault="007E4A07" w:rsidP="007C6819">
      <w:pPr>
        <w:ind w:left="720"/>
        <w:jc w:val="both"/>
        <w:rPr>
          <w:b/>
          <w:bCs/>
          <w:sz w:val="20"/>
          <w:szCs w:val="20"/>
        </w:rPr>
      </w:pPr>
      <w:r w:rsidRPr="003F04F4">
        <w:rPr>
          <w:b/>
          <w:bCs/>
          <w:sz w:val="20"/>
          <w:szCs w:val="20"/>
        </w:rPr>
        <w:t xml:space="preserve">• whether the category breakdowns (merchant size and card type) are likely to be useful to merchants without compromising commercial sensitivity </w:t>
      </w:r>
    </w:p>
    <w:p w14:paraId="4818B64E" w14:textId="77777777" w:rsidR="007E4A07" w:rsidRPr="003F04F4" w:rsidRDefault="007E4A07" w:rsidP="007C6819">
      <w:pPr>
        <w:ind w:left="720"/>
        <w:jc w:val="both"/>
        <w:rPr>
          <w:b/>
          <w:bCs/>
          <w:sz w:val="20"/>
          <w:szCs w:val="20"/>
        </w:rPr>
      </w:pPr>
      <w:r w:rsidRPr="003F04F4">
        <w:rPr>
          <w:b/>
          <w:bCs/>
          <w:sz w:val="20"/>
          <w:szCs w:val="20"/>
        </w:rPr>
        <w:t xml:space="preserve">• whether the quarterly frequency of publication is appropriate </w:t>
      </w:r>
    </w:p>
    <w:p w14:paraId="3C40128A" w14:textId="77777777" w:rsidR="007E4A07" w:rsidRPr="003F04F4" w:rsidRDefault="007E4A07" w:rsidP="007C6819">
      <w:pPr>
        <w:ind w:left="720"/>
        <w:jc w:val="both"/>
        <w:rPr>
          <w:b/>
          <w:bCs/>
          <w:sz w:val="20"/>
          <w:szCs w:val="20"/>
        </w:rPr>
      </w:pPr>
      <w:r w:rsidRPr="003F04F4">
        <w:rPr>
          <w:b/>
          <w:bCs/>
          <w:sz w:val="20"/>
          <w:szCs w:val="20"/>
        </w:rPr>
        <w:t xml:space="preserve">• what an appropriate implementation timeline would be. </w:t>
      </w:r>
    </w:p>
    <w:p w14:paraId="1B81B1F2" w14:textId="77777777" w:rsidR="007E4A07" w:rsidRPr="003F04F4" w:rsidRDefault="007E4A07" w:rsidP="007C6819">
      <w:pPr>
        <w:jc w:val="both"/>
        <w:rPr>
          <w:b/>
          <w:bCs/>
          <w:sz w:val="20"/>
          <w:szCs w:val="20"/>
        </w:rPr>
      </w:pPr>
      <w:r w:rsidRPr="003F04F4">
        <w:rPr>
          <w:b/>
          <w:bCs/>
          <w:sz w:val="20"/>
          <w:szCs w:val="20"/>
        </w:rPr>
        <w:t>10. Does the proposal to amend the cost of acceptance reporting on merchant statements to include a breakdown for domestic and international cards promote competition by helping merchants receive more information about the fees they pay? Is there a public interest case to exempt taxi fares from this requirement?</w:t>
      </w:r>
    </w:p>
    <w:p w14:paraId="0D38DEE8" w14:textId="77777777" w:rsidR="00751011" w:rsidRPr="003F04F4" w:rsidRDefault="00751011" w:rsidP="007E516D">
      <w:pPr>
        <w:spacing w:after="0"/>
        <w:jc w:val="both"/>
        <w:rPr>
          <w:sz w:val="20"/>
          <w:szCs w:val="20"/>
        </w:rPr>
      </w:pPr>
    </w:p>
    <w:p w14:paraId="5BF5D6CD" w14:textId="77777777" w:rsidR="00B7095A" w:rsidRPr="003F04F4" w:rsidRDefault="00B7095A" w:rsidP="007C6819">
      <w:pPr>
        <w:jc w:val="both"/>
        <w:rPr>
          <w:sz w:val="20"/>
          <w:szCs w:val="20"/>
        </w:rPr>
      </w:pPr>
      <w:r w:rsidRPr="003F04F4">
        <w:rPr>
          <w:sz w:val="20"/>
          <w:szCs w:val="20"/>
        </w:rPr>
        <w:t>We support clearer billing and disclosure, provided it is simple and comparable. Many SMEs already struggle to interpret complex structures such as interchange++ or tiered rates. Without regulation, providers could use complexity to obscure true costs.</w:t>
      </w:r>
    </w:p>
    <w:p w14:paraId="613BBF84" w14:textId="77777777" w:rsidR="002754C8" w:rsidRPr="003F04F4" w:rsidRDefault="002754C8" w:rsidP="007E516D">
      <w:pPr>
        <w:spacing w:after="0"/>
        <w:ind w:left="720"/>
        <w:jc w:val="both"/>
        <w:rPr>
          <w:sz w:val="20"/>
          <w:szCs w:val="20"/>
        </w:rPr>
      </w:pPr>
    </w:p>
    <w:p w14:paraId="5A21097F" w14:textId="77777777" w:rsidR="00B13DED" w:rsidRPr="003F04F4" w:rsidRDefault="002754C8" w:rsidP="007C6819">
      <w:pPr>
        <w:jc w:val="both"/>
        <w:rPr>
          <w:b/>
          <w:bCs/>
          <w:sz w:val="20"/>
          <w:szCs w:val="20"/>
        </w:rPr>
      </w:pPr>
      <w:r w:rsidRPr="003F04F4">
        <w:rPr>
          <w:b/>
          <w:bCs/>
          <w:sz w:val="20"/>
          <w:szCs w:val="20"/>
        </w:rPr>
        <w:t xml:space="preserve">11. </w:t>
      </w:r>
      <w:r w:rsidR="00B13DED" w:rsidRPr="003F04F4">
        <w:rPr>
          <w:b/>
          <w:bCs/>
          <w:sz w:val="20"/>
          <w:szCs w:val="20"/>
        </w:rPr>
        <w:t xml:space="preserve">Are there any changes that should be made to the RBA’s existing industry expectation on LCR implementation to improve competition and efficiency in the debit card market? </w:t>
      </w:r>
    </w:p>
    <w:p w14:paraId="0A93E925" w14:textId="77777777" w:rsidR="009D53F6" w:rsidRPr="003F04F4" w:rsidRDefault="009D53F6" w:rsidP="007E516D">
      <w:pPr>
        <w:spacing w:after="0"/>
        <w:jc w:val="both"/>
        <w:rPr>
          <w:sz w:val="20"/>
          <w:szCs w:val="20"/>
        </w:rPr>
      </w:pPr>
    </w:p>
    <w:p w14:paraId="3E5BDF57" w14:textId="77777777" w:rsidR="009D53F6" w:rsidRPr="003F04F4" w:rsidRDefault="009D53F6" w:rsidP="007C6819">
      <w:pPr>
        <w:jc w:val="both"/>
        <w:rPr>
          <w:sz w:val="20"/>
          <w:szCs w:val="20"/>
        </w:rPr>
      </w:pPr>
      <w:r w:rsidRPr="003F04F4">
        <w:rPr>
          <w:sz w:val="20"/>
          <w:szCs w:val="20"/>
        </w:rPr>
        <w:t>We support stronger RBA measures to accelerate LCR adoption (e.g. mandate LCR enabled by default). In travel, card-not-present transactions dominate, so real competitive benefit will require extending LCR principles into online acceptance.</w:t>
      </w:r>
    </w:p>
    <w:p w14:paraId="1E378BE3" w14:textId="77777777" w:rsidR="009D53F6" w:rsidRPr="003F04F4" w:rsidRDefault="009D53F6" w:rsidP="007E516D">
      <w:pPr>
        <w:spacing w:after="0"/>
        <w:jc w:val="both"/>
        <w:rPr>
          <w:b/>
          <w:bCs/>
          <w:sz w:val="20"/>
          <w:szCs w:val="20"/>
        </w:rPr>
      </w:pPr>
    </w:p>
    <w:p w14:paraId="12BC987F" w14:textId="3D3E6864" w:rsidR="00EA13BF" w:rsidRPr="003F04F4" w:rsidRDefault="002754C8" w:rsidP="007C6819">
      <w:pPr>
        <w:jc w:val="both"/>
        <w:rPr>
          <w:b/>
          <w:bCs/>
          <w:sz w:val="20"/>
          <w:szCs w:val="20"/>
        </w:rPr>
      </w:pPr>
      <w:r w:rsidRPr="003F04F4">
        <w:rPr>
          <w:b/>
          <w:bCs/>
          <w:sz w:val="20"/>
          <w:szCs w:val="20"/>
        </w:rPr>
        <w:t xml:space="preserve">12. </w:t>
      </w:r>
      <w:r w:rsidR="00EA13BF" w:rsidRPr="003F04F4">
        <w:rPr>
          <w:b/>
          <w:bCs/>
          <w:sz w:val="20"/>
          <w:szCs w:val="20"/>
        </w:rPr>
        <w:t xml:space="preserve">Does the PSB’s preferred package meet its objectives of competition, efficiency and safety in the payments system? Are there any variations to the package that the PSB should consider that would yield higher net public benefits? Is there any additional evidence that the RBA should consider before finalising its decision? </w:t>
      </w:r>
    </w:p>
    <w:p w14:paraId="4DEEBD63" w14:textId="77777777" w:rsidR="00EA13BF" w:rsidRPr="003F04F4" w:rsidRDefault="00EA13BF" w:rsidP="007E516D">
      <w:pPr>
        <w:spacing w:after="0"/>
        <w:jc w:val="both"/>
        <w:rPr>
          <w:sz w:val="20"/>
          <w:szCs w:val="20"/>
        </w:rPr>
      </w:pPr>
    </w:p>
    <w:p w14:paraId="668695E4" w14:textId="0ABB2ACB" w:rsidR="00974977" w:rsidRPr="003F04F4" w:rsidRDefault="00EA13BF" w:rsidP="007C6819">
      <w:pPr>
        <w:jc w:val="both"/>
        <w:rPr>
          <w:sz w:val="20"/>
          <w:szCs w:val="20"/>
        </w:rPr>
      </w:pPr>
      <w:r w:rsidRPr="003F04F4">
        <w:rPr>
          <w:sz w:val="20"/>
          <w:szCs w:val="20"/>
        </w:rPr>
        <w:t xml:space="preserve">The RBA’s package largely meets its objectives of competition, efficiency, and safety. </w:t>
      </w:r>
      <w:r w:rsidR="009D53F6" w:rsidRPr="003F04F4">
        <w:rPr>
          <w:sz w:val="20"/>
          <w:szCs w:val="20"/>
        </w:rPr>
        <w:t xml:space="preserve">We understand the intent behind the RBA’s package, </w:t>
      </w:r>
      <w:r w:rsidR="00974977" w:rsidRPr="003F04F4">
        <w:rPr>
          <w:sz w:val="20"/>
          <w:szCs w:val="20"/>
        </w:rPr>
        <w:t>however, the package risks unintended consequences if travel’s unique characteristics are not addressed.</w:t>
      </w:r>
    </w:p>
    <w:p w14:paraId="16A0A307" w14:textId="77777777" w:rsidR="00EA13BF" w:rsidRPr="003F04F4" w:rsidRDefault="00EA13BF" w:rsidP="007C6819">
      <w:pPr>
        <w:jc w:val="both"/>
        <w:rPr>
          <w:b/>
          <w:bCs/>
          <w:sz w:val="20"/>
          <w:szCs w:val="20"/>
        </w:rPr>
      </w:pPr>
      <w:r w:rsidRPr="003F04F4">
        <w:rPr>
          <w:b/>
          <w:bCs/>
          <w:sz w:val="20"/>
          <w:szCs w:val="20"/>
        </w:rPr>
        <w:t>Travel Industry Considerations</w:t>
      </w:r>
    </w:p>
    <w:p w14:paraId="4653E73E" w14:textId="11C077A6" w:rsidR="00B23806" w:rsidRPr="003F04F4" w:rsidRDefault="00974977" w:rsidP="007C6819">
      <w:pPr>
        <w:numPr>
          <w:ilvl w:val="0"/>
          <w:numId w:val="44"/>
        </w:numPr>
        <w:jc w:val="both"/>
        <w:rPr>
          <w:sz w:val="20"/>
          <w:szCs w:val="20"/>
        </w:rPr>
      </w:pPr>
      <w:r w:rsidRPr="003F04F4">
        <w:rPr>
          <w:b/>
          <w:bCs/>
          <w:sz w:val="20"/>
          <w:szCs w:val="20"/>
        </w:rPr>
        <w:t xml:space="preserve">Inherited consumer protection liability </w:t>
      </w:r>
    </w:p>
    <w:p w14:paraId="6559057E" w14:textId="07262293" w:rsidR="009D53F6" w:rsidRPr="003F04F4" w:rsidRDefault="00487CC1" w:rsidP="007C6819">
      <w:pPr>
        <w:numPr>
          <w:ilvl w:val="1"/>
          <w:numId w:val="44"/>
        </w:numPr>
        <w:jc w:val="both"/>
        <w:rPr>
          <w:sz w:val="20"/>
          <w:szCs w:val="20"/>
        </w:rPr>
      </w:pPr>
      <w:r w:rsidRPr="003F04F4">
        <w:rPr>
          <w:sz w:val="20"/>
          <w:szCs w:val="20"/>
        </w:rPr>
        <w:t xml:space="preserve">Travel agents act as de facto guarantors of supplier performance, bearing chargeback costs outside their control. A surcharge ban removes their only mechanism to recover this cost. </w:t>
      </w:r>
    </w:p>
    <w:p w14:paraId="27EAC14F" w14:textId="77777777" w:rsidR="006F4411" w:rsidRPr="003F04F4" w:rsidRDefault="006F4411" w:rsidP="007C6819">
      <w:pPr>
        <w:numPr>
          <w:ilvl w:val="1"/>
          <w:numId w:val="44"/>
        </w:numPr>
        <w:jc w:val="both"/>
        <w:rPr>
          <w:sz w:val="20"/>
          <w:szCs w:val="20"/>
        </w:rPr>
      </w:pPr>
      <w:r w:rsidRPr="003F04F4">
        <w:rPr>
          <w:sz w:val="20"/>
          <w:szCs w:val="20"/>
        </w:rPr>
        <w:lastRenderedPageBreak/>
        <w:t>Bonza demonstrated the gap where consumers were protected by cards, and unprotected via bank transfers, with agents bearing the cost.</w:t>
      </w:r>
    </w:p>
    <w:p w14:paraId="6E9934F1" w14:textId="0B836461" w:rsidR="002410E2" w:rsidRPr="003F04F4" w:rsidRDefault="002410E2" w:rsidP="007C6819">
      <w:pPr>
        <w:numPr>
          <w:ilvl w:val="1"/>
          <w:numId w:val="44"/>
        </w:numPr>
        <w:jc w:val="both"/>
        <w:rPr>
          <w:sz w:val="20"/>
          <w:szCs w:val="20"/>
        </w:rPr>
      </w:pPr>
      <w:r w:rsidRPr="003F04F4">
        <w:rPr>
          <w:sz w:val="20"/>
          <w:szCs w:val="20"/>
        </w:rPr>
        <w:t>ATIA has quantified the forward-dated consumer risk that travel merchants are required to underwrite: $5.4 billion of exposure rolling at any given time. For most bookings, this extends 70–120 days, and for cruise bookings, up to 36 months. No other industry bears this scale of risk. A surcharge ban without recognition of this structural difference unfairly penalises SME travel agents, who have no control over pricing or service delivery.</w:t>
      </w:r>
    </w:p>
    <w:p w14:paraId="2F1A9741" w14:textId="1963E23B" w:rsidR="00EA13BF" w:rsidRPr="003F04F4" w:rsidRDefault="00EA13BF" w:rsidP="007C6819">
      <w:pPr>
        <w:numPr>
          <w:ilvl w:val="1"/>
          <w:numId w:val="44"/>
        </w:numPr>
        <w:jc w:val="both"/>
        <w:rPr>
          <w:sz w:val="20"/>
          <w:szCs w:val="20"/>
        </w:rPr>
      </w:pPr>
      <w:r w:rsidRPr="003F04F4">
        <w:rPr>
          <w:sz w:val="20"/>
          <w:szCs w:val="20"/>
        </w:rPr>
        <w:t>This creates a structural burden on travel agents, who must absorb chargeback costs even when failure is outside their control.</w:t>
      </w:r>
    </w:p>
    <w:p w14:paraId="2A2963FE" w14:textId="77777777" w:rsidR="00EA13BF" w:rsidRPr="003F04F4" w:rsidRDefault="00EA13BF" w:rsidP="007C6819">
      <w:pPr>
        <w:numPr>
          <w:ilvl w:val="0"/>
          <w:numId w:val="44"/>
        </w:numPr>
        <w:jc w:val="both"/>
        <w:rPr>
          <w:sz w:val="20"/>
          <w:szCs w:val="20"/>
        </w:rPr>
      </w:pPr>
      <w:r w:rsidRPr="003F04F4">
        <w:rPr>
          <w:b/>
          <w:bCs/>
          <w:sz w:val="20"/>
          <w:szCs w:val="20"/>
        </w:rPr>
        <w:t>Travel Agents Are Not Price-Setters</w:t>
      </w:r>
    </w:p>
    <w:p w14:paraId="06845CB9" w14:textId="77777777" w:rsidR="00C4228B" w:rsidRPr="003F04F4" w:rsidRDefault="00C4228B" w:rsidP="007C6819">
      <w:pPr>
        <w:numPr>
          <w:ilvl w:val="1"/>
          <w:numId w:val="44"/>
        </w:numPr>
        <w:jc w:val="both"/>
        <w:rPr>
          <w:sz w:val="20"/>
          <w:szCs w:val="20"/>
        </w:rPr>
      </w:pPr>
      <w:r w:rsidRPr="003F04F4">
        <w:rPr>
          <w:sz w:val="20"/>
          <w:szCs w:val="20"/>
        </w:rPr>
        <w:t xml:space="preserve">With suppliers controlling pricing and commissions, agents cannot increase margins to offset fees. </w:t>
      </w:r>
    </w:p>
    <w:p w14:paraId="2CD654F9" w14:textId="77777777" w:rsidR="003549DC" w:rsidRPr="003F04F4" w:rsidRDefault="00C4228B" w:rsidP="007C6819">
      <w:pPr>
        <w:numPr>
          <w:ilvl w:val="1"/>
          <w:numId w:val="44"/>
        </w:numPr>
        <w:jc w:val="both"/>
        <w:rPr>
          <w:sz w:val="20"/>
          <w:szCs w:val="20"/>
        </w:rPr>
      </w:pPr>
      <w:r w:rsidRPr="003F04F4">
        <w:rPr>
          <w:sz w:val="20"/>
          <w:szCs w:val="20"/>
        </w:rPr>
        <w:t xml:space="preserve">This risks SMEs exiting the market or discouraging card payments, reducing consumer choice. </w:t>
      </w:r>
    </w:p>
    <w:p w14:paraId="22750D30" w14:textId="479EA96B" w:rsidR="00EA13BF" w:rsidRPr="003F04F4" w:rsidRDefault="00EA13BF" w:rsidP="007C6819">
      <w:pPr>
        <w:numPr>
          <w:ilvl w:val="0"/>
          <w:numId w:val="44"/>
        </w:numPr>
        <w:jc w:val="both"/>
        <w:rPr>
          <w:sz w:val="20"/>
          <w:szCs w:val="20"/>
        </w:rPr>
      </w:pPr>
      <w:r w:rsidRPr="003F04F4">
        <w:rPr>
          <w:b/>
          <w:bCs/>
          <w:sz w:val="20"/>
          <w:szCs w:val="20"/>
        </w:rPr>
        <w:t>Special Deals Entrench Imbalances</w:t>
      </w:r>
    </w:p>
    <w:p w14:paraId="127C97C4" w14:textId="3AE301CE" w:rsidR="00EA13BF" w:rsidRDefault="006401D5" w:rsidP="007C6819">
      <w:pPr>
        <w:numPr>
          <w:ilvl w:val="1"/>
          <w:numId w:val="44"/>
        </w:numPr>
        <w:jc w:val="both"/>
        <w:rPr>
          <w:sz w:val="20"/>
          <w:szCs w:val="20"/>
        </w:rPr>
      </w:pPr>
      <w:r w:rsidRPr="003F04F4">
        <w:rPr>
          <w:sz w:val="20"/>
          <w:szCs w:val="20"/>
        </w:rPr>
        <w:t xml:space="preserve">Large players can absorb costs and secure preferential scheme fees, leaving SMEs structurally disadvantaged. </w:t>
      </w:r>
      <w:r w:rsidR="00EA13BF" w:rsidRPr="003F04F4">
        <w:rPr>
          <w:sz w:val="20"/>
          <w:szCs w:val="20"/>
        </w:rPr>
        <w:t>Small agents cannot compete fairly without equal access.</w:t>
      </w:r>
    </w:p>
    <w:p w14:paraId="50D6FEC3" w14:textId="77777777" w:rsidR="00EA13BF" w:rsidRPr="003F04F4" w:rsidRDefault="00EA13BF" w:rsidP="007C6819">
      <w:pPr>
        <w:numPr>
          <w:ilvl w:val="0"/>
          <w:numId w:val="44"/>
        </w:numPr>
        <w:jc w:val="both"/>
        <w:rPr>
          <w:sz w:val="20"/>
          <w:szCs w:val="20"/>
        </w:rPr>
      </w:pPr>
      <w:r w:rsidRPr="003F04F4">
        <w:rPr>
          <w:b/>
          <w:bCs/>
          <w:sz w:val="20"/>
          <w:szCs w:val="20"/>
        </w:rPr>
        <w:t>Pay by Bank Adoption Blockers</w:t>
      </w:r>
    </w:p>
    <w:p w14:paraId="5C58E32A" w14:textId="77777777" w:rsidR="006401D5" w:rsidRPr="003F04F4" w:rsidRDefault="006401D5" w:rsidP="007C6819">
      <w:pPr>
        <w:pStyle w:val="ListParagraph"/>
        <w:numPr>
          <w:ilvl w:val="1"/>
          <w:numId w:val="44"/>
        </w:numPr>
        <w:jc w:val="both"/>
        <w:rPr>
          <w:sz w:val="20"/>
          <w:szCs w:val="20"/>
        </w:rPr>
      </w:pPr>
      <w:r w:rsidRPr="003F04F4">
        <w:rPr>
          <w:sz w:val="20"/>
          <w:szCs w:val="20"/>
        </w:rPr>
        <w:t>High-value travel payments often get flagged by banks’ fraud systems, delaying settlement and making PayID/PayTo impractical. Without regulatory support, these lower-cost alternatives cannot scale.</w:t>
      </w:r>
    </w:p>
    <w:p w14:paraId="4D80E86E" w14:textId="50A8F536" w:rsidR="007D3B2F" w:rsidRPr="003F04F4" w:rsidRDefault="007D3B2F" w:rsidP="007C6819">
      <w:pPr>
        <w:jc w:val="both"/>
        <w:rPr>
          <w:sz w:val="20"/>
          <w:szCs w:val="20"/>
        </w:rPr>
      </w:pPr>
      <w:r w:rsidRPr="003F04F4">
        <w:rPr>
          <w:sz w:val="20"/>
          <w:szCs w:val="20"/>
        </w:rPr>
        <w:t xml:space="preserve">Large players like airlines set prices, negotiate lower scheme fees, and can absorb costs across business lines. Small travel businesses cannot. If reforms do not account for this imbalance, small agents will either fail or revert to insecure payment methods like bank transfers, which harms consumers. </w:t>
      </w:r>
    </w:p>
    <w:p w14:paraId="5305F2FD" w14:textId="5A1FC24B" w:rsidR="00361923" w:rsidRDefault="007D3B2F" w:rsidP="007C6819">
      <w:pPr>
        <w:jc w:val="both"/>
        <w:rPr>
          <w:sz w:val="20"/>
          <w:szCs w:val="20"/>
        </w:rPr>
      </w:pPr>
      <w:r w:rsidRPr="003F04F4">
        <w:rPr>
          <w:sz w:val="20"/>
          <w:szCs w:val="20"/>
        </w:rPr>
        <w:t>Additionally, a</w:t>
      </w:r>
      <w:r w:rsidR="00361923" w:rsidRPr="003F04F4">
        <w:rPr>
          <w:sz w:val="20"/>
          <w:szCs w:val="20"/>
        </w:rPr>
        <w:t>ll this could lead to inflationary pressures where small agents are forced to raise prices for all consumers, regardless of payment method. More dramatically, if agents collapse under cost pressure, consumers will face fewer options and higher prices in a concentrated market.</w:t>
      </w:r>
    </w:p>
    <w:p w14:paraId="4EF5917E" w14:textId="77777777" w:rsidR="0054441E" w:rsidRDefault="0054441E" w:rsidP="007C6819">
      <w:pPr>
        <w:jc w:val="both"/>
        <w:rPr>
          <w:b/>
          <w:bCs/>
          <w:sz w:val="20"/>
          <w:szCs w:val="20"/>
        </w:rPr>
      </w:pPr>
      <w:r w:rsidRPr="0054441E">
        <w:rPr>
          <w:b/>
          <w:bCs/>
          <w:sz w:val="20"/>
          <w:szCs w:val="20"/>
        </w:rPr>
        <w:t>Comparative Evidence – New Zealand</w:t>
      </w:r>
    </w:p>
    <w:p w14:paraId="7FB79109" w14:textId="77777777" w:rsidR="0054441E" w:rsidRDefault="0054441E" w:rsidP="007C6819">
      <w:pPr>
        <w:jc w:val="both"/>
        <w:rPr>
          <w:sz w:val="20"/>
          <w:szCs w:val="20"/>
        </w:rPr>
      </w:pPr>
      <w:r w:rsidRPr="0054441E">
        <w:rPr>
          <w:sz w:val="20"/>
          <w:szCs w:val="20"/>
        </w:rPr>
        <w:t>New Zealand’s reforms highlight how sector-aware regulation can achieve balance. By banning surcharges for low-value, in-person retail transactions while maintaining carve-outs for online, high-value, and commercial card payments, the New Zealand Commerce Commission explicitly acknowledged that coffee payments and multi-thousand-dollar travel bookings cannot be treated the same.</w:t>
      </w:r>
    </w:p>
    <w:p w14:paraId="26B58F2E" w14:textId="0691D880" w:rsidR="0054441E" w:rsidRPr="003F04F4" w:rsidRDefault="0054441E" w:rsidP="007C6819">
      <w:pPr>
        <w:jc w:val="both"/>
        <w:rPr>
          <w:sz w:val="20"/>
          <w:szCs w:val="20"/>
        </w:rPr>
      </w:pPr>
      <w:r w:rsidRPr="0054441E">
        <w:rPr>
          <w:sz w:val="20"/>
          <w:szCs w:val="20"/>
        </w:rPr>
        <w:lastRenderedPageBreak/>
        <w:t>This reinforces the need for Australia to recognise travel’s forward delivery risk and unique consumer protection burden. Failing to do so risks tilting the market further toward large offshore OTAs, while disadvantaging local SMEs.</w:t>
      </w:r>
    </w:p>
    <w:p w14:paraId="5D6D2BE2" w14:textId="127392F1" w:rsidR="00EA13BF" w:rsidRPr="003F04F4" w:rsidRDefault="00E55A40" w:rsidP="007C6819">
      <w:pPr>
        <w:jc w:val="both"/>
        <w:rPr>
          <w:b/>
          <w:bCs/>
          <w:sz w:val="20"/>
          <w:szCs w:val="20"/>
        </w:rPr>
      </w:pPr>
      <w:r>
        <w:rPr>
          <w:b/>
          <w:bCs/>
          <w:sz w:val="20"/>
          <w:szCs w:val="20"/>
        </w:rPr>
        <w:t xml:space="preserve">Innovation Needs Support of Regulation </w:t>
      </w:r>
    </w:p>
    <w:p w14:paraId="0CE31257" w14:textId="605FAEE3" w:rsidR="00423726" w:rsidRDefault="00423726" w:rsidP="007C6819">
      <w:pPr>
        <w:numPr>
          <w:ilvl w:val="0"/>
          <w:numId w:val="45"/>
        </w:numPr>
        <w:jc w:val="both"/>
        <w:rPr>
          <w:sz w:val="20"/>
          <w:szCs w:val="20"/>
        </w:rPr>
      </w:pPr>
      <w:r w:rsidRPr="00423726">
        <w:rPr>
          <w:sz w:val="20"/>
          <w:szCs w:val="20"/>
        </w:rPr>
        <w:t>The travel sector cannot rely on product workarounds to solve systemic regulatory issues. While innovative PSPs like Mint are developing tools that help merchants mitigate risks</w:t>
      </w:r>
      <w:r>
        <w:rPr>
          <w:sz w:val="20"/>
          <w:szCs w:val="20"/>
        </w:rPr>
        <w:t>,</w:t>
      </w:r>
      <w:r w:rsidRPr="00423726">
        <w:rPr>
          <w:sz w:val="20"/>
          <w:szCs w:val="20"/>
        </w:rPr>
        <w:t xml:space="preserve"> these solutions cannot substitute for fair and balanced policy. The reality is that regulatory design must directly acknowledge travel’s structural differences: long forward delivery risk, fixed margins, and inherited supplier liabilities. Without this recognition, SMEs will remain disproportionately exposed, regardless of product innovation.</w:t>
      </w:r>
    </w:p>
    <w:p w14:paraId="3C982864" w14:textId="5D8C8515" w:rsidR="00996108" w:rsidRDefault="00996108" w:rsidP="0044210A">
      <w:pPr>
        <w:numPr>
          <w:ilvl w:val="0"/>
          <w:numId w:val="45"/>
        </w:numPr>
        <w:jc w:val="both"/>
        <w:rPr>
          <w:sz w:val="20"/>
          <w:szCs w:val="20"/>
        </w:rPr>
      </w:pPr>
      <w:r w:rsidRPr="00996108">
        <w:rPr>
          <w:sz w:val="20"/>
          <w:szCs w:val="20"/>
        </w:rPr>
        <w:t>Travel SMEs are already disadvantaged by incumbent banks. ATIA has documented that many travel agents are required to post excessive collateral</w:t>
      </w:r>
      <w:r>
        <w:rPr>
          <w:sz w:val="20"/>
          <w:szCs w:val="20"/>
        </w:rPr>
        <w:t>,</w:t>
      </w:r>
      <w:r w:rsidRPr="00996108">
        <w:rPr>
          <w:sz w:val="20"/>
          <w:szCs w:val="20"/>
        </w:rPr>
        <w:t xml:space="preserve"> sometimes exceeding $1 million</w:t>
      </w:r>
      <w:r>
        <w:rPr>
          <w:sz w:val="20"/>
          <w:szCs w:val="20"/>
        </w:rPr>
        <w:t>,</w:t>
      </w:r>
      <w:r w:rsidRPr="00996108">
        <w:rPr>
          <w:sz w:val="20"/>
          <w:szCs w:val="20"/>
        </w:rPr>
        <w:t xml:space="preserve"> just to maintain a merchant facility. These requirements are often imposed with little transparency and no clear regulatory basis, with acquirers citing “APRA requirements” but without identifying which standards apply. Smaller agents that cannot provide such bonds are frequently debanked or lose their facility altogether, cutting off their ability to trade. This practice demonstrates how banks and acquirers push all forward-delivery risk onto SMEs, creating a fragile environment for local travel businesses.</w:t>
      </w:r>
    </w:p>
    <w:p w14:paraId="169CEF35" w14:textId="2E2B15EE" w:rsidR="00806DF8" w:rsidRPr="0044210A" w:rsidRDefault="00CD48FD" w:rsidP="0044210A">
      <w:pPr>
        <w:numPr>
          <w:ilvl w:val="0"/>
          <w:numId w:val="45"/>
        </w:numPr>
        <w:jc w:val="both"/>
        <w:rPr>
          <w:sz w:val="20"/>
          <w:szCs w:val="20"/>
        </w:rPr>
      </w:pPr>
      <w:r w:rsidRPr="00CD48FD">
        <w:rPr>
          <w:sz w:val="20"/>
          <w:szCs w:val="20"/>
        </w:rPr>
        <w:t>If regulatory reform drives a race to the bottom on acquiring fees</w:t>
      </w:r>
      <w:r>
        <w:rPr>
          <w:sz w:val="20"/>
          <w:szCs w:val="20"/>
        </w:rPr>
        <w:t>,</w:t>
      </w:r>
      <w:r w:rsidRPr="00CD48FD">
        <w:rPr>
          <w:sz w:val="20"/>
          <w:szCs w:val="20"/>
        </w:rPr>
        <w:t xml:space="preserve"> one that only the largest banks can sustain</w:t>
      </w:r>
      <w:r>
        <w:rPr>
          <w:sz w:val="20"/>
          <w:szCs w:val="20"/>
        </w:rPr>
        <w:t>,</w:t>
      </w:r>
      <w:r w:rsidRPr="00CD48FD">
        <w:rPr>
          <w:sz w:val="20"/>
          <w:szCs w:val="20"/>
        </w:rPr>
        <w:t xml:space="preserve"> these pressures will intensify. Innovation will vanish, SMEs will lose access, and competition will collapse. In this environment:</w:t>
      </w:r>
    </w:p>
    <w:p w14:paraId="7448A8F6" w14:textId="77777777" w:rsidR="00806DF8" w:rsidRPr="00806DF8" w:rsidRDefault="00806DF8" w:rsidP="0044210A">
      <w:pPr>
        <w:numPr>
          <w:ilvl w:val="1"/>
          <w:numId w:val="45"/>
        </w:numPr>
        <w:jc w:val="both"/>
        <w:rPr>
          <w:sz w:val="20"/>
          <w:szCs w:val="20"/>
        </w:rPr>
      </w:pPr>
      <w:r w:rsidRPr="0044210A">
        <w:rPr>
          <w:b/>
          <w:bCs/>
          <w:sz w:val="20"/>
          <w:szCs w:val="20"/>
        </w:rPr>
        <w:t xml:space="preserve">Innovation </w:t>
      </w:r>
      <w:proofErr w:type="gramStart"/>
      <w:r w:rsidRPr="0044210A">
        <w:rPr>
          <w:b/>
          <w:bCs/>
          <w:sz w:val="20"/>
          <w:szCs w:val="20"/>
        </w:rPr>
        <w:t>suffers</w:t>
      </w:r>
      <w:r w:rsidRPr="00806DF8">
        <w:rPr>
          <w:sz w:val="20"/>
          <w:szCs w:val="20"/>
        </w:rPr>
        <w:t>:</w:t>
      </w:r>
      <w:proofErr w:type="gramEnd"/>
      <w:r w:rsidRPr="00806DF8">
        <w:rPr>
          <w:sz w:val="20"/>
          <w:szCs w:val="20"/>
        </w:rPr>
        <w:t xml:space="preserve"> PSPs will not be able to invest in sector-specific protections (like forward delivery risk cover) if policy forces lowest-cost commoditisation.</w:t>
      </w:r>
    </w:p>
    <w:p w14:paraId="28AC8B9F" w14:textId="77777777" w:rsidR="00806DF8" w:rsidRPr="00806DF8" w:rsidRDefault="00806DF8" w:rsidP="0044210A">
      <w:pPr>
        <w:numPr>
          <w:ilvl w:val="1"/>
          <w:numId w:val="45"/>
        </w:numPr>
        <w:jc w:val="both"/>
        <w:rPr>
          <w:sz w:val="20"/>
          <w:szCs w:val="20"/>
        </w:rPr>
      </w:pPr>
      <w:r w:rsidRPr="00DF66E4">
        <w:rPr>
          <w:b/>
          <w:bCs/>
          <w:sz w:val="20"/>
          <w:szCs w:val="20"/>
        </w:rPr>
        <w:t xml:space="preserve">Choice </w:t>
      </w:r>
      <w:proofErr w:type="gramStart"/>
      <w:r w:rsidRPr="00DF66E4">
        <w:rPr>
          <w:b/>
          <w:bCs/>
          <w:sz w:val="20"/>
          <w:szCs w:val="20"/>
        </w:rPr>
        <w:t>reduces</w:t>
      </w:r>
      <w:r w:rsidRPr="00806DF8">
        <w:rPr>
          <w:sz w:val="20"/>
          <w:szCs w:val="20"/>
        </w:rPr>
        <w:t>:</w:t>
      </w:r>
      <w:proofErr w:type="gramEnd"/>
      <w:r w:rsidRPr="00806DF8">
        <w:rPr>
          <w:sz w:val="20"/>
          <w:szCs w:val="20"/>
        </w:rPr>
        <w:t xml:space="preserve"> SMEs will be squeezed out, leaving merchants with fewer PSP options.</w:t>
      </w:r>
    </w:p>
    <w:p w14:paraId="6BF5B2E3" w14:textId="77777777" w:rsidR="00806DF8" w:rsidRPr="00806DF8" w:rsidRDefault="00806DF8" w:rsidP="0044210A">
      <w:pPr>
        <w:numPr>
          <w:ilvl w:val="1"/>
          <w:numId w:val="45"/>
        </w:numPr>
        <w:jc w:val="both"/>
        <w:rPr>
          <w:sz w:val="20"/>
          <w:szCs w:val="20"/>
        </w:rPr>
      </w:pPr>
      <w:r w:rsidRPr="00DF66E4">
        <w:rPr>
          <w:b/>
          <w:bCs/>
          <w:sz w:val="20"/>
          <w:szCs w:val="20"/>
        </w:rPr>
        <w:t>Travel businesses exit</w:t>
      </w:r>
      <w:r w:rsidRPr="00806DF8">
        <w:rPr>
          <w:sz w:val="20"/>
          <w:szCs w:val="20"/>
        </w:rPr>
        <w:t>: Those unable to lodge large bonds or absorb chargeback liabilities will be forced out, further consolidating the market into global OTAs and large suppliers.</w:t>
      </w:r>
    </w:p>
    <w:p w14:paraId="6BACED4C" w14:textId="77777777" w:rsidR="00806DF8" w:rsidRPr="00806DF8" w:rsidRDefault="00806DF8" w:rsidP="0044210A">
      <w:pPr>
        <w:numPr>
          <w:ilvl w:val="1"/>
          <w:numId w:val="45"/>
        </w:numPr>
        <w:jc w:val="both"/>
        <w:rPr>
          <w:sz w:val="20"/>
          <w:szCs w:val="20"/>
        </w:rPr>
      </w:pPr>
      <w:r w:rsidRPr="00DF66E4">
        <w:rPr>
          <w:b/>
          <w:bCs/>
          <w:sz w:val="20"/>
          <w:szCs w:val="20"/>
        </w:rPr>
        <w:t>Consumers lose</w:t>
      </w:r>
      <w:r w:rsidRPr="00806DF8">
        <w:rPr>
          <w:sz w:val="20"/>
          <w:szCs w:val="20"/>
        </w:rPr>
        <w:t>: Less competition means poorer service, weaker protections, and higher prices over the long run.</w:t>
      </w:r>
    </w:p>
    <w:p w14:paraId="0D35D8F4" w14:textId="77777777" w:rsidR="00806DF8" w:rsidRDefault="00806DF8" w:rsidP="0044210A">
      <w:pPr>
        <w:numPr>
          <w:ilvl w:val="0"/>
          <w:numId w:val="45"/>
        </w:numPr>
        <w:jc w:val="both"/>
        <w:rPr>
          <w:sz w:val="20"/>
          <w:szCs w:val="20"/>
        </w:rPr>
      </w:pPr>
      <w:r w:rsidRPr="00806DF8">
        <w:rPr>
          <w:sz w:val="20"/>
          <w:szCs w:val="20"/>
        </w:rPr>
        <w:t>Regulation must therefore support innovation and competition, not just cost reduction. Ensuring a level playing field on scheme fees, prohibiting preferential deals, and recognising travel’s unique forward-risk profile are critical to sustaining a diverse payments ecosystem that protects both merchants and consumers.</w:t>
      </w:r>
    </w:p>
    <w:p w14:paraId="68C46B38" w14:textId="77777777" w:rsidR="00CD48FD" w:rsidRDefault="00CD48FD" w:rsidP="00806DF8">
      <w:pPr>
        <w:jc w:val="both"/>
        <w:rPr>
          <w:b/>
          <w:bCs/>
          <w:sz w:val="20"/>
          <w:szCs w:val="20"/>
        </w:rPr>
      </w:pPr>
    </w:p>
    <w:p w14:paraId="37D99056" w14:textId="77777777" w:rsidR="00CD48FD" w:rsidRDefault="00CD48FD" w:rsidP="00806DF8">
      <w:pPr>
        <w:jc w:val="both"/>
        <w:rPr>
          <w:b/>
          <w:bCs/>
          <w:sz w:val="20"/>
          <w:szCs w:val="20"/>
        </w:rPr>
      </w:pPr>
    </w:p>
    <w:p w14:paraId="2C6EE943" w14:textId="77777777" w:rsidR="00CD48FD" w:rsidRDefault="00CD48FD" w:rsidP="00806DF8">
      <w:pPr>
        <w:jc w:val="both"/>
        <w:rPr>
          <w:b/>
          <w:bCs/>
          <w:sz w:val="20"/>
          <w:szCs w:val="20"/>
        </w:rPr>
      </w:pPr>
    </w:p>
    <w:p w14:paraId="25007B35" w14:textId="3082FE9F" w:rsidR="00CC04CB" w:rsidRDefault="00EA13BF" w:rsidP="00806DF8">
      <w:pPr>
        <w:jc w:val="both"/>
        <w:rPr>
          <w:sz w:val="20"/>
          <w:szCs w:val="20"/>
        </w:rPr>
      </w:pPr>
      <w:r w:rsidRPr="003F04F4">
        <w:rPr>
          <w:b/>
          <w:bCs/>
          <w:sz w:val="20"/>
          <w:szCs w:val="20"/>
        </w:rPr>
        <w:lastRenderedPageBreak/>
        <w:t>Recommendation</w:t>
      </w:r>
      <w:r w:rsidRPr="003F04F4">
        <w:rPr>
          <w:sz w:val="20"/>
          <w:szCs w:val="20"/>
        </w:rPr>
        <w:t>:</w:t>
      </w:r>
    </w:p>
    <w:p w14:paraId="03FBB8C3" w14:textId="386F6849" w:rsidR="00EA13BF" w:rsidRPr="003F04F4" w:rsidRDefault="00EA13BF" w:rsidP="007C6819">
      <w:pPr>
        <w:jc w:val="both"/>
        <w:rPr>
          <w:sz w:val="20"/>
          <w:szCs w:val="20"/>
        </w:rPr>
      </w:pPr>
      <w:r w:rsidRPr="003F04F4">
        <w:rPr>
          <w:sz w:val="20"/>
          <w:szCs w:val="20"/>
        </w:rPr>
        <w:t>The RBA should either:</w:t>
      </w:r>
    </w:p>
    <w:p w14:paraId="6AEBCF07" w14:textId="64620333" w:rsidR="00EA13BF" w:rsidRPr="003F04F4" w:rsidRDefault="00EA13BF" w:rsidP="007C6819">
      <w:pPr>
        <w:numPr>
          <w:ilvl w:val="0"/>
          <w:numId w:val="46"/>
        </w:numPr>
        <w:jc w:val="both"/>
        <w:rPr>
          <w:sz w:val="20"/>
          <w:szCs w:val="20"/>
        </w:rPr>
      </w:pPr>
      <w:r w:rsidRPr="003F04F4">
        <w:rPr>
          <w:sz w:val="20"/>
          <w:szCs w:val="20"/>
        </w:rPr>
        <w:t xml:space="preserve">Provide a carve-out or capped surcharge option for travel, recognising the </w:t>
      </w:r>
      <w:r w:rsidR="00863CF6" w:rsidRPr="003F04F4">
        <w:rPr>
          <w:sz w:val="20"/>
          <w:szCs w:val="20"/>
        </w:rPr>
        <w:t>guarantor</w:t>
      </w:r>
      <w:r w:rsidRPr="003F04F4">
        <w:rPr>
          <w:sz w:val="20"/>
          <w:szCs w:val="20"/>
        </w:rPr>
        <w:t>-like role agents play</w:t>
      </w:r>
      <w:r w:rsidR="001D62E1">
        <w:rPr>
          <w:sz w:val="20"/>
          <w:szCs w:val="20"/>
        </w:rPr>
        <w:t xml:space="preserve">. </w:t>
      </w:r>
      <w:r w:rsidR="001D62E1" w:rsidRPr="001D62E1">
        <w:rPr>
          <w:sz w:val="20"/>
          <w:szCs w:val="20"/>
        </w:rPr>
        <w:t>This could mirror New Zealand’s recent approach, where surcharging bans apply only to low-value, in-person retail transactions, while online and higher-risk payments</w:t>
      </w:r>
      <w:r w:rsidR="00857F35">
        <w:rPr>
          <w:sz w:val="20"/>
          <w:szCs w:val="20"/>
        </w:rPr>
        <w:t>,</w:t>
      </w:r>
      <w:r w:rsidR="001D62E1" w:rsidRPr="001D62E1">
        <w:rPr>
          <w:sz w:val="20"/>
          <w:szCs w:val="20"/>
        </w:rPr>
        <w:t xml:space="preserve"> such as travel</w:t>
      </w:r>
      <w:r w:rsidR="00857F35">
        <w:rPr>
          <w:sz w:val="20"/>
          <w:szCs w:val="20"/>
        </w:rPr>
        <w:t>,</w:t>
      </w:r>
      <w:r w:rsidR="001D62E1" w:rsidRPr="001D62E1">
        <w:rPr>
          <w:sz w:val="20"/>
          <w:szCs w:val="20"/>
        </w:rPr>
        <w:t xml:space="preserve"> remain excluded. This demonstrates how regulators can protect consumers from excessive surcharges without unfairly penalising SMEs in structurally different industries</w:t>
      </w:r>
      <w:r w:rsidR="0016160A" w:rsidRPr="003F04F4">
        <w:rPr>
          <w:sz w:val="20"/>
          <w:szCs w:val="20"/>
        </w:rPr>
        <w:t>; or</w:t>
      </w:r>
    </w:p>
    <w:p w14:paraId="7372369A" w14:textId="58D58E7F" w:rsidR="00EA13BF" w:rsidRPr="003F04F4" w:rsidRDefault="0016160A" w:rsidP="007C6819">
      <w:pPr>
        <w:numPr>
          <w:ilvl w:val="0"/>
          <w:numId w:val="46"/>
        </w:numPr>
        <w:jc w:val="both"/>
        <w:rPr>
          <w:sz w:val="20"/>
          <w:szCs w:val="20"/>
        </w:rPr>
      </w:pPr>
      <w:r w:rsidRPr="003F04F4">
        <w:rPr>
          <w:sz w:val="20"/>
          <w:szCs w:val="20"/>
        </w:rPr>
        <w:t>I</w:t>
      </w:r>
      <w:r w:rsidR="00EA13BF" w:rsidRPr="003F04F4">
        <w:rPr>
          <w:sz w:val="20"/>
          <w:szCs w:val="20"/>
        </w:rPr>
        <w:t>mplement a regulatory mechanism that acknowledges this dynamic and ensures consumer protection costs are not unfairly borne by small businesses.</w:t>
      </w:r>
    </w:p>
    <w:p w14:paraId="7A1ED349" w14:textId="5536883D" w:rsidR="005D7586" w:rsidRPr="003F04F4" w:rsidRDefault="005D7586" w:rsidP="007C6819">
      <w:pPr>
        <w:jc w:val="both"/>
        <w:rPr>
          <w:sz w:val="20"/>
          <w:szCs w:val="20"/>
        </w:rPr>
      </w:pPr>
      <w:r w:rsidRPr="003F04F4">
        <w:rPr>
          <w:sz w:val="20"/>
          <w:szCs w:val="20"/>
        </w:rPr>
        <w:t>The Lenders Mortgage Insurance (LMI) analogy is instructive here. In home lending, borrowers accept an explicit fee to cover the lender’s default risk. A similar approach could be applied in travel: allowing a capped surcharge or per-person fee that transparently funds supplier failure, service non-delivery, and card fraud risk. This would ensure consumers continue to receive strong protections while ensuring the cost is not unfairly imposed on small intermediaries.</w:t>
      </w:r>
    </w:p>
    <w:p w14:paraId="661A93B4" w14:textId="7C9F6306" w:rsidR="005D7222" w:rsidRPr="003F04F4" w:rsidRDefault="005D7222" w:rsidP="007C6819">
      <w:pPr>
        <w:jc w:val="both"/>
        <w:rPr>
          <w:sz w:val="20"/>
          <w:szCs w:val="20"/>
        </w:rPr>
      </w:pPr>
      <w:r w:rsidRPr="003F04F4">
        <w:rPr>
          <w:sz w:val="20"/>
          <w:szCs w:val="20"/>
        </w:rPr>
        <w:t>Additionally, the RBA should explicitly consider the role of smaller PSPs in driving innovation, particularly in industries like travel where sector-specific solutions are needed. Regulation should not simply push prices down to a level where only the largest banks can operate sustainably, as this will result in reduced competition, diminished service quality, and weaker consumer protection.</w:t>
      </w:r>
    </w:p>
    <w:p w14:paraId="24A13E94" w14:textId="41430702" w:rsidR="005D7222" w:rsidRPr="003F04F4" w:rsidRDefault="005D7222" w:rsidP="007C6819">
      <w:pPr>
        <w:jc w:val="both"/>
        <w:rPr>
          <w:sz w:val="20"/>
          <w:szCs w:val="20"/>
        </w:rPr>
      </w:pPr>
      <w:r w:rsidRPr="003F04F4">
        <w:rPr>
          <w:sz w:val="20"/>
          <w:szCs w:val="20"/>
        </w:rPr>
        <w:t>To ensure this, we recommend that the RBA:</w:t>
      </w:r>
    </w:p>
    <w:p w14:paraId="58EA739A" w14:textId="1A9F74C0" w:rsidR="005D7222" w:rsidRPr="003F04F4" w:rsidRDefault="005D7222" w:rsidP="007C6819">
      <w:pPr>
        <w:numPr>
          <w:ilvl w:val="0"/>
          <w:numId w:val="53"/>
        </w:numPr>
        <w:jc w:val="both"/>
        <w:rPr>
          <w:sz w:val="20"/>
          <w:szCs w:val="20"/>
        </w:rPr>
      </w:pPr>
      <w:r w:rsidRPr="003F04F4">
        <w:rPr>
          <w:b/>
          <w:bCs/>
          <w:sz w:val="20"/>
          <w:szCs w:val="20"/>
        </w:rPr>
        <w:t>Ensure a level playing field on scheme and interchange fees</w:t>
      </w:r>
      <w:r w:rsidR="005857C1" w:rsidRPr="003F04F4">
        <w:rPr>
          <w:sz w:val="20"/>
          <w:szCs w:val="20"/>
        </w:rPr>
        <w:t>:</w:t>
      </w:r>
      <w:r w:rsidRPr="003F04F4">
        <w:rPr>
          <w:sz w:val="20"/>
          <w:szCs w:val="20"/>
        </w:rPr>
        <w:t xml:space="preserve"> prohibit preferential “strategic rates” for large merchants and acquirers that are not equally available to SMEs. This would stop structural advantages that undermine small business competition.</w:t>
      </w:r>
    </w:p>
    <w:p w14:paraId="3561D1DC" w14:textId="62378262" w:rsidR="005D7222" w:rsidRPr="003F04F4" w:rsidRDefault="005D7222" w:rsidP="007C6819">
      <w:pPr>
        <w:numPr>
          <w:ilvl w:val="0"/>
          <w:numId w:val="53"/>
        </w:numPr>
        <w:jc w:val="both"/>
        <w:rPr>
          <w:sz w:val="20"/>
          <w:szCs w:val="20"/>
        </w:rPr>
      </w:pPr>
      <w:r w:rsidRPr="003F04F4">
        <w:rPr>
          <w:b/>
          <w:bCs/>
          <w:sz w:val="20"/>
          <w:szCs w:val="20"/>
        </w:rPr>
        <w:t>Recognise and support sector-specific PSP innovation</w:t>
      </w:r>
      <w:r w:rsidR="005857C1" w:rsidRPr="003F04F4">
        <w:rPr>
          <w:sz w:val="20"/>
          <w:szCs w:val="20"/>
        </w:rPr>
        <w:t>:</w:t>
      </w:r>
      <w:r w:rsidRPr="003F04F4">
        <w:rPr>
          <w:sz w:val="20"/>
          <w:szCs w:val="20"/>
        </w:rPr>
        <w:t xml:space="preserve"> smaller PSPs are developing tailored solutions (e.g. consumer protection tools, embedded travel guarantees, Pay by Bank with refund protections) that directly benefit both consumers and merchants. The RBA should ensure regulation creates space for these innovations, not just lowest-cost commoditisation.</w:t>
      </w:r>
    </w:p>
    <w:p w14:paraId="04BCA284" w14:textId="7E4E2444" w:rsidR="005D7222" w:rsidRPr="003F04F4" w:rsidRDefault="005D7222" w:rsidP="007C6819">
      <w:pPr>
        <w:numPr>
          <w:ilvl w:val="0"/>
          <w:numId w:val="53"/>
        </w:numPr>
        <w:jc w:val="both"/>
        <w:rPr>
          <w:sz w:val="20"/>
          <w:szCs w:val="20"/>
        </w:rPr>
      </w:pPr>
      <w:r w:rsidRPr="003F04F4">
        <w:rPr>
          <w:b/>
          <w:bCs/>
          <w:sz w:val="20"/>
          <w:szCs w:val="20"/>
        </w:rPr>
        <w:t>Guard against a race to the bottom</w:t>
      </w:r>
      <w:r w:rsidR="005857C1" w:rsidRPr="003F04F4">
        <w:rPr>
          <w:sz w:val="20"/>
          <w:szCs w:val="20"/>
        </w:rPr>
        <w:t>:</w:t>
      </w:r>
      <w:r w:rsidRPr="003F04F4">
        <w:rPr>
          <w:sz w:val="20"/>
          <w:szCs w:val="20"/>
        </w:rPr>
        <w:t xml:space="preserve"> if the outcome of reforms is simply banks cross-subsidising acquiring from other lines, the long-term effect will be market concentration, fewer choices for merchants, and poorer consumer outcomes. A focus on transparency, fairness, and access to wholesale fee structures for all participants will sustain competition and innovation.</w:t>
      </w:r>
    </w:p>
    <w:p w14:paraId="3CB66A68" w14:textId="5932BD00" w:rsidR="00950BD8" w:rsidRPr="003F04F4" w:rsidRDefault="00950BD8" w:rsidP="007C6819">
      <w:pPr>
        <w:jc w:val="both"/>
        <w:rPr>
          <w:sz w:val="20"/>
          <w:szCs w:val="20"/>
        </w:rPr>
      </w:pPr>
      <w:r w:rsidRPr="003F04F4">
        <w:rPr>
          <w:sz w:val="20"/>
          <w:szCs w:val="20"/>
        </w:rPr>
        <w:t xml:space="preserve">These reforms must also be considered in their political context. The surcharge debate has been driven by consumer frustration at paying an extra 50c on a coffee. But in travel, we are talking about multi-thousand-dollar bookings, forward-dated exposure, and structurally low margins. A one-size-fits-all ban will not only harm local small businesses </w:t>
      </w:r>
      <w:r w:rsidRPr="003F04F4">
        <w:rPr>
          <w:sz w:val="20"/>
          <w:szCs w:val="20"/>
        </w:rPr>
        <w:lastRenderedPageBreak/>
        <w:t>but also tilt the playing field in favour of large offshore OTAs and suppliers at the expense of Australian SMEs and consumers.</w:t>
      </w:r>
    </w:p>
    <w:p w14:paraId="7A9598BB" w14:textId="18FE42FD" w:rsidR="00B30FE1" w:rsidRPr="003F04F4" w:rsidRDefault="00950BD8" w:rsidP="007C6819">
      <w:pPr>
        <w:jc w:val="both"/>
        <w:rPr>
          <w:sz w:val="20"/>
          <w:szCs w:val="20"/>
        </w:rPr>
      </w:pPr>
      <w:r w:rsidRPr="003F04F4">
        <w:rPr>
          <w:sz w:val="20"/>
          <w:szCs w:val="20"/>
        </w:rPr>
        <w:t>To ensure the reforms deliver fairness, the RBA must explicitly recognise travel’s unique characteristics and provide mechanisms that balance consumer protection with SME sustainability.</w:t>
      </w:r>
    </w:p>
    <w:p w14:paraId="0F19AA12" w14:textId="77777777" w:rsidR="00B61447" w:rsidRPr="003F04F4" w:rsidRDefault="00B61447" w:rsidP="007C6819">
      <w:pPr>
        <w:jc w:val="both"/>
        <w:rPr>
          <w:sz w:val="20"/>
          <w:szCs w:val="20"/>
        </w:rPr>
      </w:pPr>
    </w:p>
    <w:p w14:paraId="58112DCD" w14:textId="78159C7D" w:rsidR="002754C8" w:rsidRPr="003F04F4" w:rsidRDefault="002754C8" w:rsidP="007C6819">
      <w:pPr>
        <w:jc w:val="both"/>
        <w:rPr>
          <w:b/>
          <w:bCs/>
          <w:sz w:val="20"/>
          <w:szCs w:val="20"/>
        </w:rPr>
      </w:pPr>
      <w:r w:rsidRPr="003F04F4">
        <w:rPr>
          <w:b/>
          <w:bCs/>
          <w:sz w:val="20"/>
          <w:szCs w:val="20"/>
        </w:rPr>
        <w:t xml:space="preserve">13. </w:t>
      </w:r>
      <w:r w:rsidR="0016160A" w:rsidRPr="003F04F4">
        <w:rPr>
          <w:b/>
          <w:bCs/>
          <w:sz w:val="20"/>
          <w:szCs w:val="20"/>
        </w:rPr>
        <w:t>What is your feedback on the proposed implementation timeline for these reforms?</w:t>
      </w:r>
    </w:p>
    <w:p w14:paraId="4A0FC08C" w14:textId="77777777" w:rsidR="00330F27" w:rsidRPr="003F04F4" w:rsidRDefault="00330F27" w:rsidP="007C6819">
      <w:pPr>
        <w:jc w:val="both"/>
        <w:rPr>
          <w:sz w:val="20"/>
          <w:szCs w:val="20"/>
        </w:rPr>
      </w:pPr>
    </w:p>
    <w:p w14:paraId="05B13326" w14:textId="77777777" w:rsidR="00330F27" w:rsidRPr="003F04F4" w:rsidRDefault="00330F27" w:rsidP="007C6819">
      <w:pPr>
        <w:jc w:val="both"/>
        <w:rPr>
          <w:sz w:val="20"/>
          <w:szCs w:val="20"/>
        </w:rPr>
      </w:pPr>
      <w:r w:rsidRPr="003F04F4">
        <w:rPr>
          <w:sz w:val="20"/>
          <w:szCs w:val="20"/>
        </w:rPr>
        <w:t>Mint supports the proposed timelines but notes three dependencies:</w:t>
      </w:r>
    </w:p>
    <w:p w14:paraId="7A03EEAD" w14:textId="77777777" w:rsidR="00330F27" w:rsidRPr="003F04F4" w:rsidRDefault="00330F27" w:rsidP="007C6819">
      <w:pPr>
        <w:numPr>
          <w:ilvl w:val="0"/>
          <w:numId w:val="47"/>
        </w:numPr>
        <w:jc w:val="both"/>
        <w:rPr>
          <w:sz w:val="20"/>
          <w:szCs w:val="20"/>
        </w:rPr>
      </w:pPr>
      <w:r w:rsidRPr="003F04F4">
        <w:rPr>
          <w:sz w:val="20"/>
          <w:szCs w:val="20"/>
        </w:rPr>
        <w:t>Scheme fee transparency must be operational before surcharge bans.</w:t>
      </w:r>
    </w:p>
    <w:p w14:paraId="03E853B2" w14:textId="77777777" w:rsidR="00330F27" w:rsidRPr="003F04F4" w:rsidRDefault="00330F27" w:rsidP="007C6819">
      <w:pPr>
        <w:numPr>
          <w:ilvl w:val="0"/>
          <w:numId w:val="47"/>
        </w:numPr>
        <w:jc w:val="both"/>
        <w:rPr>
          <w:sz w:val="20"/>
          <w:szCs w:val="20"/>
        </w:rPr>
      </w:pPr>
      <w:r w:rsidRPr="003F04F4">
        <w:rPr>
          <w:sz w:val="20"/>
          <w:szCs w:val="20"/>
        </w:rPr>
        <w:t>Issuer readiness is critical to avoid disruption.</w:t>
      </w:r>
    </w:p>
    <w:p w14:paraId="02DF760F" w14:textId="77777777" w:rsidR="00330F27" w:rsidRPr="003F04F4" w:rsidRDefault="00330F27" w:rsidP="007C6819">
      <w:pPr>
        <w:numPr>
          <w:ilvl w:val="0"/>
          <w:numId w:val="47"/>
        </w:numPr>
        <w:jc w:val="both"/>
        <w:rPr>
          <w:sz w:val="20"/>
          <w:szCs w:val="20"/>
        </w:rPr>
      </w:pPr>
      <w:r w:rsidRPr="003F04F4">
        <w:rPr>
          <w:sz w:val="20"/>
          <w:szCs w:val="20"/>
        </w:rPr>
        <w:t>Merchant and consumer education campaigns are essential to mitigate confusion and backlash.</w:t>
      </w:r>
    </w:p>
    <w:p w14:paraId="6620D07C" w14:textId="77777777" w:rsidR="00BF4506" w:rsidRPr="003F04F4" w:rsidRDefault="00BF4506" w:rsidP="007C6819">
      <w:pPr>
        <w:ind w:left="720"/>
        <w:jc w:val="both"/>
        <w:rPr>
          <w:sz w:val="20"/>
          <w:szCs w:val="20"/>
        </w:rPr>
      </w:pPr>
    </w:p>
    <w:p w14:paraId="6166D546" w14:textId="77777777" w:rsidR="00A206A2" w:rsidRPr="003F04F4" w:rsidRDefault="00A206A2" w:rsidP="007C6819">
      <w:pPr>
        <w:jc w:val="both"/>
        <w:rPr>
          <w:b/>
          <w:bCs/>
          <w:sz w:val="20"/>
          <w:szCs w:val="20"/>
        </w:rPr>
      </w:pPr>
      <w:r w:rsidRPr="003F04F4">
        <w:rPr>
          <w:b/>
          <w:bCs/>
          <w:sz w:val="20"/>
          <w:szCs w:val="20"/>
        </w:rPr>
        <w:t>Conclusion</w:t>
      </w:r>
    </w:p>
    <w:p w14:paraId="75287719" w14:textId="77777777" w:rsidR="00336064" w:rsidRPr="003F04F4" w:rsidRDefault="00336064" w:rsidP="007C6819">
      <w:pPr>
        <w:jc w:val="both"/>
        <w:rPr>
          <w:sz w:val="20"/>
          <w:szCs w:val="20"/>
        </w:rPr>
      </w:pPr>
      <w:r w:rsidRPr="003F04F4">
        <w:rPr>
          <w:sz w:val="20"/>
          <w:szCs w:val="20"/>
        </w:rPr>
        <w:t>Mint understands the RBA’s policy objectives and agrees that simplicity, transparency, and fairness are in the public interest.</w:t>
      </w:r>
    </w:p>
    <w:p w14:paraId="2C6DE4B5" w14:textId="2A19ECC4" w:rsidR="00336064" w:rsidRPr="003F04F4" w:rsidRDefault="00336064" w:rsidP="007C6819">
      <w:pPr>
        <w:jc w:val="both"/>
        <w:rPr>
          <w:sz w:val="20"/>
          <w:szCs w:val="20"/>
        </w:rPr>
      </w:pPr>
      <w:r w:rsidRPr="003F04F4">
        <w:rPr>
          <w:sz w:val="20"/>
          <w:szCs w:val="20"/>
        </w:rPr>
        <w:t>However, for travel merchants, the reforms risk:</w:t>
      </w:r>
    </w:p>
    <w:p w14:paraId="0EEBB984" w14:textId="77777777" w:rsidR="00336064" w:rsidRPr="003F04F4" w:rsidRDefault="00336064" w:rsidP="007C6819">
      <w:pPr>
        <w:numPr>
          <w:ilvl w:val="0"/>
          <w:numId w:val="56"/>
        </w:numPr>
        <w:jc w:val="both"/>
        <w:rPr>
          <w:sz w:val="20"/>
          <w:szCs w:val="20"/>
        </w:rPr>
      </w:pPr>
      <w:r w:rsidRPr="003F04F4">
        <w:rPr>
          <w:sz w:val="20"/>
          <w:szCs w:val="20"/>
        </w:rPr>
        <w:t>Higher consumer prices due to inflationary repricing.</w:t>
      </w:r>
    </w:p>
    <w:p w14:paraId="0438B48E" w14:textId="77777777" w:rsidR="00336064" w:rsidRPr="003F04F4" w:rsidRDefault="00336064" w:rsidP="007C6819">
      <w:pPr>
        <w:numPr>
          <w:ilvl w:val="0"/>
          <w:numId w:val="56"/>
        </w:numPr>
        <w:jc w:val="both"/>
        <w:rPr>
          <w:sz w:val="20"/>
          <w:szCs w:val="20"/>
        </w:rPr>
      </w:pPr>
      <w:r w:rsidRPr="003F04F4">
        <w:rPr>
          <w:sz w:val="20"/>
          <w:szCs w:val="20"/>
        </w:rPr>
        <w:t>Reduced consumer choice and SME viability.</w:t>
      </w:r>
    </w:p>
    <w:p w14:paraId="0E735686" w14:textId="77777777" w:rsidR="00336064" w:rsidRPr="003F04F4" w:rsidRDefault="00336064" w:rsidP="007C6819">
      <w:pPr>
        <w:numPr>
          <w:ilvl w:val="0"/>
          <w:numId w:val="56"/>
        </w:numPr>
        <w:jc w:val="both"/>
        <w:rPr>
          <w:sz w:val="20"/>
          <w:szCs w:val="20"/>
        </w:rPr>
      </w:pPr>
      <w:r w:rsidRPr="003F04F4">
        <w:rPr>
          <w:sz w:val="20"/>
          <w:szCs w:val="20"/>
        </w:rPr>
        <w:t>Consolidation of market power into large OTAs and suppliers.</w:t>
      </w:r>
    </w:p>
    <w:p w14:paraId="79CB0939" w14:textId="77777777" w:rsidR="00336064" w:rsidRPr="003F04F4" w:rsidRDefault="00336064" w:rsidP="007C6819">
      <w:pPr>
        <w:numPr>
          <w:ilvl w:val="0"/>
          <w:numId w:val="56"/>
        </w:numPr>
        <w:jc w:val="both"/>
        <w:rPr>
          <w:sz w:val="20"/>
          <w:szCs w:val="20"/>
        </w:rPr>
      </w:pPr>
      <w:r w:rsidRPr="003F04F4">
        <w:rPr>
          <w:sz w:val="20"/>
          <w:szCs w:val="20"/>
        </w:rPr>
        <w:t>Structural unfairness through preferential scheme deals.</w:t>
      </w:r>
    </w:p>
    <w:p w14:paraId="7D2DD8E6" w14:textId="3188B0FE" w:rsidR="00336064" w:rsidRPr="003F04F4" w:rsidRDefault="00336064" w:rsidP="007C6819">
      <w:pPr>
        <w:jc w:val="both"/>
        <w:rPr>
          <w:sz w:val="20"/>
          <w:szCs w:val="20"/>
        </w:rPr>
      </w:pPr>
      <w:r w:rsidRPr="003F04F4">
        <w:rPr>
          <w:b/>
          <w:bCs/>
          <w:sz w:val="20"/>
          <w:szCs w:val="20"/>
        </w:rPr>
        <w:t>Mint recommends the RBA consider:</w:t>
      </w:r>
    </w:p>
    <w:p w14:paraId="62E6DFDF" w14:textId="77777777" w:rsidR="00336064" w:rsidRPr="003F04F4" w:rsidRDefault="00336064" w:rsidP="007C6819">
      <w:pPr>
        <w:numPr>
          <w:ilvl w:val="0"/>
          <w:numId w:val="57"/>
        </w:numPr>
        <w:tabs>
          <w:tab w:val="num" w:pos="720"/>
        </w:tabs>
        <w:jc w:val="both"/>
        <w:rPr>
          <w:sz w:val="20"/>
          <w:szCs w:val="20"/>
        </w:rPr>
      </w:pPr>
      <w:r w:rsidRPr="003F04F4">
        <w:rPr>
          <w:sz w:val="20"/>
          <w:szCs w:val="20"/>
        </w:rPr>
        <w:t>Regulating both interchange and scheme fees together.</w:t>
      </w:r>
    </w:p>
    <w:p w14:paraId="4E2752A4" w14:textId="77777777" w:rsidR="00336064" w:rsidRPr="003F04F4" w:rsidRDefault="00336064" w:rsidP="007C6819">
      <w:pPr>
        <w:numPr>
          <w:ilvl w:val="0"/>
          <w:numId w:val="57"/>
        </w:numPr>
        <w:tabs>
          <w:tab w:val="num" w:pos="720"/>
        </w:tabs>
        <w:jc w:val="both"/>
        <w:rPr>
          <w:sz w:val="20"/>
          <w:szCs w:val="20"/>
        </w:rPr>
      </w:pPr>
      <w:r w:rsidRPr="003F04F4">
        <w:rPr>
          <w:sz w:val="20"/>
          <w:szCs w:val="20"/>
        </w:rPr>
        <w:t>Prohibiting preferential scheme deals that undermine SME competition.</w:t>
      </w:r>
    </w:p>
    <w:p w14:paraId="559A353E" w14:textId="77777777" w:rsidR="00336064" w:rsidRPr="003F04F4" w:rsidRDefault="00336064" w:rsidP="007C6819">
      <w:pPr>
        <w:numPr>
          <w:ilvl w:val="0"/>
          <w:numId w:val="57"/>
        </w:numPr>
        <w:tabs>
          <w:tab w:val="num" w:pos="720"/>
        </w:tabs>
        <w:jc w:val="both"/>
        <w:rPr>
          <w:sz w:val="20"/>
          <w:szCs w:val="20"/>
        </w:rPr>
      </w:pPr>
      <w:r w:rsidRPr="003F04F4">
        <w:rPr>
          <w:sz w:val="20"/>
          <w:szCs w:val="20"/>
        </w:rPr>
        <w:t>Recognising travel’s unique consumer protection burden and allowing a capped recovery mechanism.</w:t>
      </w:r>
    </w:p>
    <w:p w14:paraId="17F9794C" w14:textId="77777777" w:rsidR="00336064" w:rsidRPr="003F04F4" w:rsidRDefault="00336064" w:rsidP="007C6819">
      <w:pPr>
        <w:numPr>
          <w:ilvl w:val="0"/>
          <w:numId w:val="57"/>
        </w:numPr>
        <w:tabs>
          <w:tab w:val="num" w:pos="720"/>
        </w:tabs>
        <w:jc w:val="both"/>
        <w:rPr>
          <w:sz w:val="20"/>
          <w:szCs w:val="20"/>
        </w:rPr>
      </w:pPr>
      <w:r w:rsidRPr="003F04F4">
        <w:rPr>
          <w:sz w:val="20"/>
          <w:szCs w:val="20"/>
        </w:rPr>
        <w:t>Supporting adoption of alternative payment methods by addressing bank-imposed limits.</w:t>
      </w:r>
    </w:p>
    <w:p w14:paraId="58AF100E" w14:textId="77777777" w:rsidR="00336064" w:rsidRPr="003F04F4" w:rsidRDefault="00336064" w:rsidP="007C6819">
      <w:pPr>
        <w:numPr>
          <w:ilvl w:val="0"/>
          <w:numId w:val="57"/>
        </w:numPr>
        <w:tabs>
          <w:tab w:val="num" w:pos="720"/>
        </w:tabs>
        <w:jc w:val="both"/>
        <w:rPr>
          <w:sz w:val="20"/>
          <w:szCs w:val="20"/>
        </w:rPr>
      </w:pPr>
      <w:r w:rsidRPr="003F04F4">
        <w:rPr>
          <w:sz w:val="20"/>
          <w:szCs w:val="20"/>
        </w:rPr>
        <w:t>Ensuring cost reductions are transparently passed through to merchants (Mint commits to this).</w:t>
      </w:r>
    </w:p>
    <w:p w14:paraId="4F07D2CF" w14:textId="77777777" w:rsidR="00336064" w:rsidRPr="003F04F4" w:rsidRDefault="00336064" w:rsidP="007C6819">
      <w:pPr>
        <w:numPr>
          <w:ilvl w:val="0"/>
          <w:numId w:val="57"/>
        </w:numPr>
        <w:tabs>
          <w:tab w:val="num" w:pos="720"/>
        </w:tabs>
        <w:jc w:val="both"/>
        <w:rPr>
          <w:sz w:val="20"/>
          <w:szCs w:val="20"/>
        </w:rPr>
      </w:pPr>
      <w:r w:rsidRPr="003F04F4">
        <w:rPr>
          <w:sz w:val="20"/>
          <w:szCs w:val="20"/>
        </w:rPr>
        <w:t>Creating space for sector-specific PSP innovation rather than defaulting to a lowest-cost model dominated by large banks.</w:t>
      </w:r>
    </w:p>
    <w:p w14:paraId="23B57A57" w14:textId="77777777" w:rsidR="00146604" w:rsidRPr="00146604" w:rsidRDefault="00146604" w:rsidP="00146604">
      <w:pPr>
        <w:jc w:val="both"/>
        <w:rPr>
          <w:sz w:val="20"/>
          <w:szCs w:val="20"/>
        </w:rPr>
      </w:pPr>
      <w:r w:rsidRPr="00146604">
        <w:rPr>
          <w:sz w:val="20"/>
          <w:szCs w:val="20"/>
        </w:rPr>
        <w:lastRenderedPageBreak/>
        <w:t>With these refinements, the reforms can meet RBA objectives without disproportionately harming small travel businesses, ensuring continued consumer choice, trust, and competition. The RBA must ensure reforms designed to address everyday coffee transactions do not inadvertently destabilise a $40 billion sector employing half a million Australians.</w:t>
      </w:r>
    </w:p>
    <w:p w14:paraId="511A5DE2" w14:textId="77777777" w:rsidR="00146604" w:rsidRPr="00146604" w:rsidRDefault="00146604" w:rsidP="00146604">
      <w:pPr>
        <w:jc w:val="both"/>
        <w:rPr>
          <w:sz w:val="20"/>
          <w:szCs w:val="20"/>
        </w:rPr>
      </w:pPr>
      <w:r w:rsidRPr="00146604">
        <w:rPr>
          <w:sz w:val="20"/>
          <w:szCs w:val="20"/>
        </w:rPr>
        <w:t>We therefore encourage the RBA to ensure that reforms designed for low-value consumer transactions do not destabilise high-value, forward-dated sectors like travel. Explicit recognition of travel’s forward delivery risk, consumer protection burden, and SME role in regional employment is essential to ensure the reforms deliver balanced outcomes.</w:t>
      </w:r>
    </w:p>
    <w:p w14:paraId="38924B2D" w14:textId="75920279" w:rsidR="0047226F" w:rsidRPr="003F04F4" w:rsidRDefault="00146604" w:rsidP="00146604">
      <w:pPr>
        <w:jc w:val="both"/>
        <w:rPr>
          <w:sz w:val="20"/>
          <w:szCs w:val="20"/>
        </w:rPr>
      </w:pPr>
      <w:r w:rsidRPr="00146604">
        <w:rPr>
          <w:sz w:val="20"/>
          <w:szCs w:val="20"/>
        </w:rPr>
        <w:t>As demonstrated by New Zealand’s recent approach, regulators can tailor surcharging reforms by distinguishing between small in-person retail payments and large online, forward-dated transactions such as travel, while maintaining carve-outs for higher-risk and commercial cards. A similarly balanced framework in Australia would better protect consumers, preserve competition, and support local SMEs.</w:t>
      </w:r>
    </w:p>
    <w:sectPr w:rsidR="0047226F" w:rsidRPr="003F04F4" w:rsidSect="00892099">
      <w:headerReference w:type="default" r:id="rId11"/>
      <w:pgSz w:w="11906" w:h="16838"/>
      <w:pgMar w:top="-1796" w:right="1440" w:bottom="18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142CE" w14:textId="77777777" w:rsidR="00D5634A" w:rsidRDefault="00D5634A" w:rsidP="00F5021A">
      <w:r>
        <w:separator/>
      </w:r>
    </w:p>
  </w:endnote>
  <w:endnote w:type="continuationSeparator" w:id="0">
    <w:p w14:paraId="51D056E0" w14:textId="77777777" w:rsidR="00D5634A" w:rsidRDefault="00D5634A" w:rsidP="00F50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Poppins SemiBold">
    <w:charset w:val="00"/>
    <w:family w:val="auto"/>
    <w:pitch w:val="variable"/>
    <w:sig w:usb0="00008007" w:usb1="00000000" w:usb2="00000000" w:usb3="00000000" w:csb0="00000093" w:csb1="00000000"/>
  </w:font>
  <w:font w:name="Times New Roman (Body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DBEE6" w14:textId="77777777" w:rsidR="00D5634A" w:rsidRDefault="00D5634A" w:rsidP="00F5021A">
      <w:r>
        <w:separator/>
      </w:r>
    </w:p>
  </w:footnote>
  <w:footnote w:type="continuationSeparator" w:id="0">
    <w:p w14:paraId="5321B5D0" w14:textId="77777777" w:rsidR="00D5634A" w:rsidRDefault="00D5634A" w:rsidP="00F50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D7AF4" w14:textId="77777777" w:rsidR="00F5021A" w:rsidRDefault="00DF7583">
    <w:pPr>
      <w:pStyle w:val="Header"/>
    </w:pPr>
    <w:r>
      <w:rPr>
        <w:noProof/>
      </w:rPr>
      <w:drawing>
        <wp:anchor distT="0" distB="0" distL="114300" distR="114300" simplePos="0" relativeHeight="251658240" behindDoc="1" locked="0" layoutInCell="1" allowOverlap="1" wp14:anchorId="7DDA3C90" wp14:editId="38526A55">
          <wp:simplePos x="0" y="0"/>
          <wp:positionH relativeFrom="column">
            <wp:posOffset>-925195</wp:posOffset>
          </wp:positionH>
          <wp:positionV relativeFrom="paragraph">
            <wp:posOffset>-455295</wp:posOffset>
          </wp:positionV>
          <wp:extent cx="7568588" cy="10697989"/>
          <wp:effectExtent l="0" t="0" r="635" b="0"/>
          <wp:wrapNone/>
          <wp:docPr id="1347161619" name="Picture 1"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61619" name="Picture 1" descr="A white background with black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98837" cy="107407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43C14"/>
    <w:multiLevelType w:val="hybridMultilevel"/>
    <w:tmpl w:val="1542DDA6"/>
    <w:lvl w:ilvl="0" w:tplc="C246B296">
      <w:start w:val="1"/>
      <w:numFmt w:val="bullet"/>
      <w:lvlText w:val="•"/>
      <w:lvlJc w:val="left"/>
      <w:pPr>
        <w:tabs>
          <w:tab w:val="num" w:pos="720"/>
        </w:tabs>
        <w:ind w:left="720" w:hanging="360"/>
      </w:pPr>
      <w:rPr>
        <w:rFonts w:ascii="Arial" w:hAnsi="Arial" w:hint="default"/>
      </w:rPr>
    </w:lvl>
    <w:lvl w:ilvl="1" w:tplc="B2C22888" w:tentative="1">
      <w:start w:val="1"/>
      <w:numFmt w:val="bullet"/>
      <w:lvlText w:val="•"/>
      <w:lvlJc w:val="left"/>
      <w:pPr>
        <w:tabs>
          <w:tab w:val="num" w:pos="1440"/>
        </w:tabs>
        <w:ind w:left="1440" w:hanging="360"/>
      </w:pPr>
      <w:rPr>
        <w:rFonts w:ascii="Arial" w:hAnsi="Arial" w:hint="default"/>
      </w:rPr>
    </w:lvl>
    <w:lvl w:ilvl="2" w:tplc="52AC1266" w:tentative="1">
      <w:start w:val="1"/>
      <w:numFmt w:val="bullet"/>
      <w:lvlText w:val="•"/>
      <w:lvlJc w:val="left"/>
      <w:pPr>
        <w:tabs>
          <w:tab w:val="num" w:pos="2160"/>
        </w:tabs>
        <w:ind w:left="2160" w:hanging="360"/>
      </w:pPr>
      <w:rPr>
        <w:rFonts w:ascii="Arial" w:hAnsi="Arial" w:hint="default"/>
      </w:rPr>
    </w:lvl>
    <w:lvl w:ilvl="3" w:tplc="1B803E78" w:tentative="1">
      <w:start w:val="1"/>
      <w:numFmt w:val="bullet"/>
      <w:lvlText w:val="•"/>
      <w:lvlJc w:val="left"/>
      <w:pPr>
        <w:tabs>
          <w:tab w:val="num" w:pos="2880"/>
        </w:tabs>
        <w:ind w:left="2880" w:hanging="360"/>
      </w:pPr>
      <w:rPr>
        <w:rFonts w:ascii="Arial" w:hAnsi="Arial" w:hint="default"/>
      </w:rPr>
    </w:lvl>
    <w:lvl w:ilvl="4" w:tplc="D3085428" w:tentative="1">
      <w:start w:val="1"/>
      <w:numFmt w:val="bullet"/>
      <w:lvlText w:val="•"/>
      <w:lvlJc w:val="left"/>
      <w:pPr>
        <w:tabs>
          <w:tab w:val="num" w:pos="3600"/>
        </w:tabs>
        <w:ind w:left="3600" w:hanging="360"/>
      </w:pPr>
      <w:rPr>
        <w:rFonts w:ascii="Arial" w:hAnsi="Arial" w:hint="default"/>
      </w:rPr>
    </w:lvl>
    <w:lvl w:ilvl="5" w:tplc="147AD0F6" w:tentative="1">
      <w:start w:val="1"/>
      <w:numFmt w:val="bullet"/>
      <w:lvlText w:val="•"/>
      <w:lvlJc w:val="left"/>
      <w:pPr>
        <w:tabs>
          <w:tab w:val="num" w:pos="4320"/>
        </w:tabs>
        <w:ind w:left="4320" w:hanging="360"/>
      </w:pPr>
      <w:rPr>
        <w:rFonts w:ascii="Arial" w:hAnsi="Arial" w:hint="default"/>
      </w:rPr>
    </w:lvl>
    <w:lvl w:ilvl="6" w:tplc="1EF646C2" w:tentative="1">
      <w:start w:val="1"/>
      <w:numFmt w:val="bullet"/>
      <w:lvlText w:val="•"/>
      <w:lvlJc w:val="left"/>
      <w:pPr>
        <w:tabs>
          <w:tab w:val="num" w:pos="5040"/>
        </w:tabs>
        <w:ind w:left="5040" w:hanging="360"/>
      </w:pPr>
      <w:rPr>
        <w:rFonts w:ascii="Arial" w:hAnsi="Arial" w:hint="default"/>
      </w:rPr>
    </w:lvl>
    <w:lvl w:ilvl="7" w:tplc="FEC6ABC0" w:tentative="1">
      <w:start w:val="1"/>
      <w:numFmt w:val="bullet"/>
      <w:lvlText w:val="•"/>
      <w:lvlJc w:val="left"/>
      <w:pPr>
        <w:tabs>
          <w:tab w:val="num" w:pos="5760"/>
        </w:tabs>
        <w:ind w:left="5760" w:hanging="360"/>
      </w:pPr>
      <w:rPr>
        <w:rFonts w:ascii="Arial" w:hAnsi="Arial" w:hint="default"/>
      </w:rPr>
    </w:lvl>
    <w:lvl w:ilvl="8" w:tplc="82928A9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051667"/>
    <w:multiLevelType w:val="multilevel"/>
    <w:tmpl w:val="20F00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304A1"/>
    <w:multiLevelType w:val="multilevel"/>
    <w:tmpl w:val="700A9B6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5966B73"/>
    <w:multiLevelType w:val="multilevel"/>
    <w:tmpl w:val="EDE8A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DE369A"/>
    <w:multiLevelType w:val="multilevel"/>
    <w:tmpl w:val="F9245BD0"/>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BBA16B3"/>
    <w:multiLevelType w:val="multilevel"/>
    <w:tmpl w:val="1FB23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565E78"/>
    <w:multiLevelType w:val="multilevel"/>
    <w:tmpl w:val="BF3A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774681"/>
    <w:multiLevelType w:val="multilevel"/>
    <w:tmpl w:val="168EB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FD14A9"/>
    <w:multiLevelType w:val="multilevel"/>
    <w:tmpl w:val="8C004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334F1E"/>
    <w:multiLevelType w:val="hybridMultilevel"/>
    <w:tmpl w:val="0EE0286C"/>
    <w:lvl w:ilvl="0" w:tplc="41A6CFA4">
      <w:start w:val="1"/>
      <w:numFmt w:val="bullet"/>
      <w:lvlText w:val="•"/>
      <w:lvlJc w:val="left"/>
      <w:pPr>
        <w:tabs>
          <w:tab w:val="num" w:pos="720"/>
        </w:tabs>
        <w:ind w:left="720" w:hanging="360"/>
      </w:pPr>
      <w:rPr>
        <w:rFonts w:ascii="Arial" w:hAnsi="Arial" w:hint="default"/>
      </w:rPr>
    </w:lvl>
    <w:lvl w:ilvl="1" w:tplc="5F5A5DC6" w:tentative="1">
      <w:start w:val="1"/>
      <w:numFmt w:val="bullet"/>
      <w:lvlText w:val="•"/>
      <w:lvlJc w:val="left"/>
      <w:pPr>
        <w:tabs>
          <w:tab w:val="num" w:pos="1440"/>
        </w:tabs>
        <w:ind w:left="1440" w:hanging="360"/>
      </w:pPr>
      <w:rPr>
        <w:rFonts w:ascii="Arial" w:hAnsi="Arial" w:hint="default"/>
      </w:rPr>
    </w:lvl>
    <w:lvl w:ilvl="2" w:tplc="C9266AE4" w:tentative="1">
      <w:start w:val="1"/>
      <w:numFmt w:val="bullet"/>
      <w:lvlText w:val="•"/>
      <w:lvlJc w:val="left"/>
      <w:pPr>
        <w:tabs>
          <w:tab w:val="num" w:pos="2160"/>
        </w:tabs>
        <w:ind w:left="2160" w:hanging="360"/>
      </w:pPr>
      <w:rPr>
        <w:rFonts w:ascii="Arial" w:hAnsi="Arial" w:hint="default"/>
      </w:rPr>
    </w:lvl>
    <w:lvl w:ilvl="3" w:tplc="219807F4" w:tentative="1">
      <w:start w:val="1"/>
      <w:numFmt w:val="bullet"/>
      <w:lvlText w:val="•"/>
      <w:lvlJc w:val="left"/>
      <w:pPr>
        <w:tabs>
          <w:tab w:val="num" w:pos="2880"/>
        </w:tabs>
        <w:ind w:left="2880" w:hanging="360"/>
      </w:pPr>
      <w:rPr>
        <w:rFonts w:ascii="Arial" w:hAnsi="Arial" w:hint="default"/>
      </w:rPr>
    </w:lvl>
    <w:lvl w:ilvl="4" w:tplc="7F98611C" w:tentative="1">
      <w:start w:val="1"/>
      <w:numFmt w:val="bullet"/>
      <w:lvlText w:val="•"/>
      <w:lvlJc w:val="left"/>
      <w:pPr>
        <w:tabs>
          <w:tab w:val="num" w:pos="3600"/>
        </w:tabs>
        <w:ind w:left="3600" w:hanging="360"/>
      </w:pPr>
      <w:rPr>
        <w:rFonts w:ascii="Arial" w:hAnsi="Arial" w:hint="default"/>
      </w:rPr>
    </w:lvl>
    <w:lvl w:ilvl="5" w:tplc="CE9CB030" w:tentative="1">
      <w:start w:val="1"/>
      <w:numFmt w:val="bullet"/>
      <w:lvlText w:val="•"/>
      <w:lvlJc w:val="left"/>
      <w:pPr>
        <w:tabs>
          <w:tab w:val="num" w:pos="4320"/>
        </w:tabs>
        <w:ind w:left="4320" w:hanging="360"/>
      </w:pPr>
      <w:rPr>
        <w:rFonts w:ascii="Arial" w:hAnsi="Arial" w:hint="default"/>
      </w:rPr>
    </w:lvl>
    <w:lvl w:ilvl="6" w:tplc="99223B92" w:tentative="1">
      <w:start w:val="1"/>
      <w:numFmt w:val="bullet"/>
      <w:lvlText w:val="•"/>
      <w:lvlJc w:val="left"/>
      <w:pPr>
        <w:tabs>
          <w:tab w:val="num" w:pos="5040"/>
        </w:tabs>
        <w:ind w:left="5040" w:hanging="360"/>
      </w:pPr>
      <w:rPr>
        <w:rFonts w:ascii="Arial" w:hAnsi="Arial" w:hint="default"/>
      </w:rPr>
    </w:lvl>
    <w:lvl w:ilvl="7" w:tplc="CD048D00" w:tentative="1">
      <w:start w:val="1"/>
      <w:numFmt w:val="bullet"/>
      <w:lvlText w:val="•"/>
      <w:lvlJc w:val="left"/>
      <w:pPr>
        <w:tabs>
          <w:tab w:val="num" w:pos="5760"/>
        </w:tabs>
        <w:ind w:left="5760" w:hanging="360"/>
      </w:pPr>
      <w:rPr>
        <w:rFonts w:ascii="Arial" w:hAnsi="Arial" w:hint="default"/>
      </w:rPr>
    </w:lvl>
    <w:lvl w:ilvl="8" w:tplc="D62CD6D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73626D6"/>
    <w:multiLevelType w:val="multilevel"/>
    <w:tmpl w:val="2990D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E70214"/>
    <w:multiLevelType w:val="multilevel"/>
    <w:tmpl w:val="EB5CA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5664A2"/>
    <w:multiLevelType w:val="multilevel"/>
    <w:tmpl w:val="C2FCE33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1BBF2DF7"/>
    <w:multiLevelType w:val="hybridMultilevel"/>
    <w:tmpl w:val="367E0170"/>
    <w:lvl w:ilvl="0" w:tplc="A6B2AB96">
      <w:start w:val="1"/>
      <w:numFmt w:val="bullet"/>
      <w:lvlText w:val="•"/>
      <w:lvlJc w:val="left"/>
      <w:pPr>
        <w:tabs>
          <w:tab w:val="num" w:pos="720"/>
        </w:tabs>
        <w:ind w:left="720" w:hanging="360"/>
      </w:pPr>
      <w:rPr>
        <w:rFonts w:ascii="Arial" w:hAnsi="Arial" w:hint="default"/>
      </w:rPr>
    </w:lvl>
    <w:lvl w:ilvl="1" w:tplc="266C5FFC" w:tentative="1">
      <w:start w:val="1"/>
      <w:numFmt w:val="bullet"/>
      <w:lvlText w:val="•"/>
      <w:lvlJc w:val="left"/>
      <w:pPr>
        <w:tabs>
          <w:tab w:val="num" w:pos="1440"/>
        </w:tabs>
        <w:ind w:left="1440" w:hanging="360"/>
      </w:pPr>
      <w:rPr>
        <w:rFonts w:ascii="Arial" w:hAnsi="Arial" w:hint="default"/>
      </w:rPr>
    </w:lvl>
    <w:lvl w:ilvl="2" w:tplc="AE3EF4AE" w:tentative="1">
      <w:start w:val="1"/>
      <w:numFmt w:val="bullet"/>
      <w:lvlText w:val="•"/>
      <w:lvlJc w:val="left"/>
      <w:pPr>
        <w:tabs>
          <w:tab w:val="num" w:pos="2160"/>
        </w:tabs>
        <w:ind w:left="2160" w:hanging="360"/>
      </w:pPr>
      <w:rPr>
        <w:rFonts w:ascii="Arial" w:hAnsi="Arial" w:hint="default"/>
      </w:rPr>
    </w:lvl>
    <w:lvl w:ilvl="3" w:tplc="4198AE58" w:tentative="1">
      <w:start w:val="1"/>
      <w:numFmt w:val="bullet"/>
      <w:lvlText w:val="•"/>
      <w:lvlJc w:val="left"/>
      <w:pPr>
        <w:tabs>
          <w:tab w:val="num" w:pos="2880"/>
        </w:tabs>
        <w:ind w:left="2880" w:hanging="360"/>
      </w:pPr>
      <w:rPr>
        <w:rFonts w:ascii="Arial" w:hAnsi="Arial" w:hint="default"/>
      </w:rPr>
    </w:lvl>
    <w:lvl w:ilvl="4" w:tplc="0592FC5A" w:tentative="1">
      <w:start w:val="1"/>
      <w:numFmt w:val="bullet"/>
      <w:lvlText w:val="•"/>
      <w:lvlJc w:val="left"/>
      <w:pPr>
        <w:tabs>
          <w:tab w:val="num" w:pos="3600"/>
        </w:tabs>
        <w:ind w:left="3600" w:hanging="360"/>
      </w:pPr>
      <w:rPr>
        <w:rFonts w:ascii="Arial" w:hAnsi="Arial" w:hint="default"/>
      </w:rPr>
    </w:lvl>
    <w:lvl w:ilvl="5" w:tplc="C0A04032" w:tentative="1">
      <w:start w:val="1"/>
      <w:numFmt w:val="bullet"/>
      <w:lvlText w:val="•"/>
      <w:lvlJc w:val="left"/>
      <w:pPr>
        <w:tabs>
          <w:tab w:val="num" w:pos="4320"/>
        </w:tabs>
        <w:ind w:left="4320" w:hanging="360"/>
      </w:pPr>
      <w:rPr>
        <w:rFonts w:ascii="Arial" w:hAnsi="Arial" w:hint="default"/>
      </w:rPr>
    </w:lvl>
    <w:lvl w:ilvl="6" w:tplc="15E42D88" w:tentative="1">
      <w:start w:val="1"/>
      <w:numFmt w:val="bullet"/>
      <w:lvlText w:val="•"/>
      <w:lvlJc w:val="left"/>
      <w:pPr>
        <w:tabs>
          <w:tab w:val="num" w:pos="5040"/>
        </w:tabs>
        <w:ind w:left="5040" w:hanging="360"/>
      </w:pPr>
      <w:rPr>
        <w:rFonts w:ascii="Arial" w:hAnsi="Arial" w:hint="default"/>
      </w:rPr>
    </w:lvl>
    <w:lvl w:ilvl="7" w:tplc="1C7AD7FA" w:tentative="1">
      <w:start w:val="1"/>
      <w:numFmt w:val="bullet"/>
      <w:lvlText w:val="•"/>
      <w:lvlJc w:val="left"/>
      <w:pPr>
        <w:tabs>
          <w:tab w:val="num" w:pos="5760"/>
        </w:tabs>
        <w:ind w:left="5760" w:hanging="360"/>
      </w:pPr>
      <w:rPr>
        <w:rFonts w:ascii="Arial" w:hAnsi="Arial" w:hint="default"/>
      </w:rPr>
    </w:lvl>
    <w:lvl w:ilvl="8" w:tplc="1958C7F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1766A63"/>
    <w:multiLevelType w:val="hybridMultilevel"/>
    <w:tmpl w:val="8690BD0C"/>
    <w:lvl w:ilvl="0" w:tplc="5F440F04">
      <w:start w:val="1"/>
      <w:numFmt w:val="decimal"/>
      <w:lvlText w:val="%1."/>
      <w:lvlJc w:val="left"/>
      <w:pPr>
        <w:ind w:left="720" w:hanging="360"/>
      </w:pPr>
      <w:rPr>
        <w:rFonts w:hint="default"/>
        <w:color w:val="EC008C" w:themeColor="accent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1B7308E"/>
    <w:multiLevelType w:val="multilevel"/>
    <w:tmpl w:val="F0F0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6546B4"/>
    <w:multiLevelType w:val="hybridMultilevel"/>
    <w:tmpl w:val="66FAEA22"/>
    <w:lvl w:ilvl="0" w:tplc="ACC80870">
      <w:start w:val="1"/>
      <w:numFmt w:val="bullet"/>
      <w:lvlText w:val="•"/>
      <w:lvlJc w:val="left"/>
      <w:pPr>
        <w:tabs>
          <w:tab w:val="num" w:pos="720"/>
        </w:tabs>
        <w:ind w:left="720" w:hanging="360"/>
      </w:pPr>
      <w:rPr>
        <w:rFonts w:ascii="Arial" w:hAnsi="Arial" w:hint="default"/>
      </w:rPr>
    </w:lvl>
    <w:lvl w:ilvl="1" w:tplc="1BF6095A" w:tentative="1">
      <w:start w:val="1"/>
      <w:numFmt w:val="bullet"/>
      <w:lvlText w:val="•"/>
      <w:lvlJc w:val="left"/>
      <w:pPr>
        <w:tabs>
          <w:tab w:val="num" w:pos="1440"/>
        </w:tabs>
        <w:ind w:left="1440" w:hanging="360"/>
      </w:pPr>
      <w:rPr>
        <w:rFonts w:ascii="Arial" w:hAnsi="Arial" w:hint="default"/>
      </w:rPr>
    </w:lvl>
    <w:lvl w:ilvl="2" w:tplc="307E9F8E" w:tentative="1">
      <w:start w:val="1"/>
      <w:numFmt w:val="bullet"/>
      <w:lvlText w:val="•"/>
      <w:lvlJc w:val="left"/>
      <w:pPr>
        <w:tabs>
          <w:tab w:val="num" w:pos="2160"/>
        </w:tabs>
        <w:ind w:left="2160" w:hanging="360"/>
      </w:pPr>
      <w:rPr>
        <w:rFonts w:ascii="Arial" w:hAnsi="Arial" w:hint="default"/>
      </w:rPr>
    </w:lvl>
    <w:lvl w:ilvl="3" w:tplc="ACA22E18" w:tentative="1">
      <w:start w:val="1"/>
      <w:numFmt w:val="bullet"/>
      <w:lvlText w:val="•"/>
      <w:lvlJc w:val="left"/>
      <w:pPr>
        <w:tabs>
          <w:tab w:val="num" w:pos="2880"/>
        </w:tabs>
        <w:ind w:left="2880" w:hanging="360"/>
      </w:pPr>
      <w:rPr>
        <w:rFonts w:ascii="Arial" w:hAnsi="Arial" w:hint="default"/>
      </w:rPr>
    </w:lvl>
    <w:lvl w:ilvl="4" w:tplc="CEDA28A0" w:tentative="1">
      <w:start w:val="1"/>
      <w:numFmt w:val="bullet"/>
      <w:lvlText w:val="•"/>
      <w:lvlJc w:val="left"/>
      <w:pPr>
        <w:tabs>
          <w:tab w:val="num" w:pos="3600"/>
        </w:tabs>
        <w:ind w:left="3600" w:hanging="360"/>
      </w:pPr>
      <w:rPr>
        <w:rFonts w:ascii="Arial" w:hAnsi="Arial" w:hint="default"/>
      </w:rPr>
    </w:lvl>
    <w:lvl w:ilvl="5" w:tplc="FDCAC522" w:tentative="1">
      <w:start w:val="1"/>
      <w:numFmt w:val="bullet"/>
      <w:lvlText w:val="•"/>
      <w:lvlJc w:val="left"/>
      <w:pPr>
        <w:tabs>
          <w:tab w:val="num" w:pos="4320"/>
        </w:tabs>
        <w:ind w:left="4320" w:hanging="360"/>
      </w:pPr>
      <w:rPr>
        <w:rFonts w:ascii="Arial" w:hAnsi="Arial" w:hint="default"/>
      </w:rPr>
    </w:lvl>
    <w:lvl w:ilvl="6" w:tplc="434ABD3C" w:tentative="1">
      <w:start w:val="1"/>
      <w:numFmt w:val="bullet"/>
      <w:lvlText w:val="•"/>
      <w:lvlJc w:val="left"/>
      <w:pPr>
        <w:tabs>
          <w:tab w:val="num" w:pos="5040"/>
        </w:tabs>
        <w:ind w:left="5040" w:hanging="360"/>
      </w:pPr>
      <w:rPr>
        <w:rFonts w:ascii="Arial" w:hAnsi="Arial" w:hint="default"/>
      </w:rPr>
    </w:lvl>
    <w:lvl w:ilvl="7" w:tplc="40AEA258" w:tentative="1">
      <w:start w:val="1"/>
      <w:numFmt w:val="bullet"/>
      <w:lvlText w:val="•"/>
      <w:lvlJc w:val="left"/>
      <w:pPr>
        <w:tabs>
          <w:tab w:val="num" w:pos="5760"/>
        </w:tabs>
        <w:ind w:left="5760" w:hanging="360"/>
      </w:pPr>
      <w:rPr>
        <w:rFonts w:ascii="Arial" w:hAnsi="Arial" w:hint="default"/>
      </w:rPr>
    </w:lvl>
    <w:lvl w:ilvl="8" w:tplc="975628F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7065DEE"/>
    <w:multiLevelType w:val="multilevel"/>
    <w:tmpl w:val="8C1443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86D09DF"/>
    <w:multiLevelType w:val="hybridMultilevel"/>
    <w:tmpl w:val="203CE0CC"/>
    <w:lvl w:ilvl="0" w:tplc="59DEFC54">
      <w:start w:val="1"/>
      <w:numFmt w:val="bullet"/>
      <w:lvlText w:val=""/>
      <w:lvlJc w:val="left"/>
      <w:pPr>
        <w:ind w:left="720" w:hanging="360"/>
      </w:pPr>
      <w:rPr>
        <w:rFonts w:ascii="Symbol" w:hAnsi="Symbol" w:hint="default"/>
        <w:color w:val="EC008C" w:themeColor="accent2"/>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2B1F04CF"/>
    <w:multiLevelType w:val="multilevel"/>
    <w:tmpl w:val="512A144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0" w15:restartNumberingAfterBreak="0">
    <w:nsid w:val="2BCC7ADF"/>
    <w:multiLevelType w:val="multilevel"/>
    <w:tmpl w:val="019C29B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30416131"/>
    <w:multiLevelType w:val="hybridMultilevel"/>
    <w:tmpl w:val="A00EE374"/>
    <w:lvl w:ilvl="0" w:tplc="10E6AA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06722C3"/>
    <w:multiLevelType w:val="hybridMultilevel"/>
    <w:tmpl w:val="643A636E"/>
    <w:lvl w:ilvl="0" w:tplc="5F440F04">
      <w:start w:val="1"/>
      <w:numFmt w:val="decimal"/>
      <w:lvlText w:val="%1."/>
      <w:lvlJc w:val="left"/>
      <w:pPr>
        <w:ind w:left="3600" w:hanging="360"/>
      </w:pPr>
      <w:rPr>
        <w:rFonts w:hint="default"/>
        <w:color w:val="EC008C" w:themeColor="accent2"/>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23" w15:restartNumberingAfterBreak="0">
    <w:nsid w:val="321924DC"/>
    <w:multiLevelType w:val="hybridMultilevel"/>
    <w:tmpl w:val="8D4AC348"/>
    <w:lvl w:ilvl="0" w:tplc="497A3412">
      <w:start w:val="1"/>
      <w:numFmt w:val="bullet"/>
      <w:lvlText w:val="•"/>
      <w:lvlJc w:val="left"/>
      <w:pPr>
        <w:tabs>
          <w:tab w:val="num" w:pos="720"/>
        </w:tabs>
        <w:ind w:left="720" w:hanging="360"/>
      </w:pPr>
      <w:rPr>
        <w:rFonts w:ascii="Arial" w:hAnsi="Arial" w:hint="default"/>
      </w:rPr>
    </w:lvl>
    <w:lvl w:ilvl="1" w:tplc="0D3AE438" w:tentative="1">
      <w:start w:val="1"/>
      <w:numFmt w:val="bullet"/>
      <w:lvlText w:val="•"/>
      <w:lvlJc w:val="left"/>
      <w:pPr>
        <w:tabs>
          <w:tab w:val="num" w:pos="1440"/>
        </w:tabs>
        <w:ind w:left="1440" w:hanging="360"/>
      </w:pPr>
      <w:rPr>
        <w:rFonts w:ascii="Arial" w:hAnsi="Arial" w:hint="default"/>
      </w:rPr>
    </w:lvl>
    <w:lvl w:ilvl="2" w:tplc="DA22CEC8" w:tentative="1">
      <w:start w:val="1"/>
      <w:numFmt w:val="bullet"/>
      <w:lvlText w:val="•"/>
      <w:lvlJc w:val="left"/>
      <w:pPr>
        <w:tabs>
          <w:tab w:val="num" w:pos="2160"/>
        </w:tabs>
        <w:ind w:left="2160" w:hanging="360"/>
      </w:pPr>
      <w:rPr>
        <w:rFonts w:ascii="Arial" w:hAnsi="Arial" w:hint="default"/>
      </w:rPr>
    </w:lvl>
    <w:lvl w:ilvl="3" w:tplc="7FFC6A48" w:tentative="1">
      <w:start w:val="1"/>
      <w:numFmt w:val="bullet"/>
      <w:lvlText w:val="•"/>
      <w:lvlJc w:val="left"/>
      <w:pPr>
        <w:tabs>
          <w:tab w:val="num" w:pos="2880"/>
        </w:tabs>
        <w:ind w:left="2880" w:hanging="360"/>
      </w:pPr>
      <w:rPr>
        <w:rFonts w:ascii="Arial" w:hAnsi="Arial" w:hint="default"/>
      </w:rPr>
    </w:lvl>
    <w:lvl w:ilvl="4" w:tplc="E18EA472" w:tentative="1">
      <w:start w:val="1"/>
      <w:numFmt w:val="bullet"/>
      <w:lvlText w:val="•"/>
      <w:lvlJc w:val="left"/>
      <w:pPr>
        <w:tabs>
          <w:tab w:val="num" w:pos="3600"/>
        </w:tabs>
        <w:ind w:left="3600" w:hanging="360"/>
      </w:pPr>
      <w:rPr>
        <w:rFonts w:ascii="Arial" w:hAnsi="Arial" w:hint="default"/>
      </w:rPr>
    </w:lvl>
    <w:lvl w:ilvl="5" w:tplc="1C58AAAE" w:tentative="1">
      <w:start w:val="1"/>
      <w:numFmt w:val="bullet"/>
      <w:lvlText w:val="•"/>
      <w:lvlJc w:val="left"/>
      <w:pPr>
        <w:tabs>
          <w:tab w:val="num" w:pos="4320"/>
        </w:tabs>
        <w:ind w:left="4320" w:hanging="360"/>
      </w:pPr>
      <w:rPr>
        <w:rFonts w:ascii="Arial" w:hAnsi="Arial" w:hint="default"/>
      </w:rPr>
    </w:lvl>
    <w:lvl w:ilvl="6" w:tplc="7B4A3BEE" w:tentative="1">
      <w:start w:val="1"/>
      <w:numFmt w:val="bullet"/>
      <w:lvlText w:val="•"/>
      <w:lvlJc w:val="left"/>
      <w:pPr>
        <w:tabs>
          <w:tab w:val="num" w:pos="5040"/>
        </w:tabs>
        <w:ind w:left="5040" w:hanging="360"/>
      </w:pPr>
      <w:rPr>
        <w:rFonts w:ascii="Arial" w:hAnsi="Arial" w:hint="default"/>
      </w:rPr>
    </w:lvl>
    <w:lvl w:ilvl="7" w:tplc="AE2ECA9C" w:tentative="1">
      <w:start w:val="1"/>
      <w:numFmt w:val="bullet"/>
      <w:lvlText w:val="•"/>
      <w:lvlJc w:val="left"/>
      <w:pPr>
        <w:tabs>
          <w:tab w:val="num" w:pos="5760"/>
        </w:tabs>
        <w:ind w:left="5760" w:hanging="360"/>
      </w:pPr>
      <w:rPr>
        <w:rFonts w:ascii="Arial" w:hAnsi="Arial" w:hint="default"/>
      </w:rPr>
    </w:lvl>
    <w:lvl w:ilvl="8" w:tplc="397E1AB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4142B7F"/>
    <w:multiLevelType w:val="hybridMultilevel"/>
    <w:tmpl w:val="CF8EF864"/>
    <w:lvl w:ilvl="0" w:tplc="D070DE6E">
      <w:start w:val="1"/>
      <w:numFmt w:val="bullet"/>
      <w:lvlText w:val="•"/>
      <w:lvlJc w:val="left"/>
      <w:pPr>
        <w:tabs>
          <w:tab w:val="num" w:pos="720"/>
        </w:tabs>
        <w:ind w:left="720" w:hanging="360"/>
      </w:pPr>
      <w:rPr>
        <w:rFonts w:ascii="Arial" w:hAnsi="Arial" w:hint="default"/>
      </w:rPr>
    </w:lvl>
    <w:lvl w:ilvl="1" w:tplc="D0CCBFD0" w:tentative="1">
      <w:start w:val="1"/>
      <w:numFmt w:val="bullet"/>
      <w:lvlText w:val="•"/>
      <w:lvlJc w:val="left"/>
      <w:pPr>
        <w:tabs>
          <w:tab w:val="num" w:pos="1440"/>
        </w:tabs>
        <w:ind w:left="1440" w:hanging="360"/>
      </w:pPr>
      <w:rPr>
        <w:rFonts w:ascii="Arial" w:hAnsi="Arial" w:hint="default"/>
      </w:rPr>
    </w:lvl>
    <w:lvl w:ilvl="2" w:tplc="41605366" w:tentative="1">
      <w:start w:val="1"/>
      <w:numFmt w:val="bullet"/>
      <w:lvlText w:val="•"/>
      <w:lvlJc w:val="left"/>
      <w:pPr>
        <w:tabs>
          <w:tab w:val="num" w:pos="2160"/>
        </w:tabs>
        <w:ind w:left="2160" w:hanging="360"/>
      </w:pPr>
      <w:rPr>
        <w:rFonts w:ascii="Arial" w:hAnsi="Arial" w:hint="default"/>
      </w:rPr>
    </w:lvl>
    <w:lvl w:ilvl="3" w:tplc="CD7CADFE" w:tentative="1">
      <w:start w:val="1"/>
      <w:numFmt w:val="bullet"/>
      <w:lvlText w:val="•"/>
      <w:lvlJc w:val="left"/>
      <w:pPr>
        <w:tabs>
          <w:tab w:val="num" w:pos="2880"/>
        </w:tabs>
        <w:ind w:left="2880" w:hanging="360"/>
      </w:pPr>
      <w:rPr>
        <w:rFonts w:ascii="Arial" w:hAnsi="Arial" w:hint="default"/>
      </w:rPr>
    </w:lvl>
    <w:lvl w:ilvl="4" w:tplc="67FA4D3E" w:tentative="1">
      <w:start w:val="1"/>
      <w:numFmt w:val="bullet"/>
      <w:lvlText w:val="•"/>
      <w:lvlJc w:val="left"/>
      <w:pPr>
        <w:tabs>
          <w:tab w:val="num" w:pos="3600"/>
        </w:tabs>
        <w:ind w:left="3600" w:hanging="360"/>
      </w:pPr>
      <w:rPr>
        <w:rFonts w:ascii="Arial" w:hAnsi="Arial" w:hint="default"/>
      </w:rPr>
    </w:lvl>
    <w:lvl w:ilvl="5" w:tplc="BBE4BF7A" w:tentative="1">
      <w:start w:val="1"/>
      <w:numFmt w:val="bullet"/>
      <w:lvlText w:val="•"/>
      <w:lvlJc w:val="left"/>
      <w:pPr>
        <w:tabs>
          <w:tab w:val="num" w:pos="4320"/>
        </w:tabs>
        <w:ind w:left="4320" w:hanging="360"/>
      </w:pPr>
      <w:rPr>
        <w:rFonts w:ascii="Arial" w:hAnsi="Arial" w:hint="default"/>
      </w:rPr>
    </w:lvl>
    <w:lvl w:ilvl="6" w:tplc="34C02AD0" w:tentative="1">
      <w:start w:val="1"/>
      <w:numFmt w:val="bullet"/>
      <w:lvlText w:val="•"/>
      <w:lvlJc w:val="left"/>
      <w:pPr>
        <w:tabs>
          <w:tab w:val="num" w:pos="5040"/>
        </w:tabs>
        <w:ind w:left="5040" w:hanging="360"/>
      </w:pPr>
      <w:rPr>
        <w:rFonts w:ascii="Arial" w:hAnsi="Arial" w:hint="default"/>
      </w:rPr>
    </w:lvl>
    <w:lvl w:ilvl="7" w:tplc="F6EEB696" w:tentative="1">
      <w:start w:val="1"/>
      <w:numFmt w:val="bullet"/>
      <w:lvlText w:val="•"/>
      <w:lvlJc w:val="left"/>
      <w:pPr>
        <w:tabs>
          <w:tab w:val="num" w:pos="5760"/>
        </w:tabs>
        <w:ind w:left="5760" w:hanging="360"/>
      </w:pPr>
      <w:rPr>
        <w:rFonts w:ascii="Arial" w:hAnsi="Arial" w:hint="default"/>
      </w:rPr>
    </w:lvl>
    <w:lvl w:ilvl="8" w:tplc="4B9E628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75F73F6"/>
    <w:multiLevelType w:val="multilevel"/>
    <w:tmpl w:val="F586C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7E636C3"/>
    <w:multiLevelType w:val="multilevel"/>
    <w:tmpl w:val="3D3C712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38764754"/>
    <w:multiLevelType w:val="hybridMultilevel"/>
    <w:tmpl w:val="53B843CA"/>
    <w:lvl w:ilvl="0" w:tplc="59DEFC54">
      <w:start w:val="1"/>
      <w:numFmt w:val="bullet"/>
      <w:lvlText w:val=""/>
      <w:lvlJc w:val="left"/>
      <w:pPr>
        <w:ind w:left="720" w:hanging="360"/>
      </w:pPr>
      <w:rPr>
        <w:rFonts w:ascii="Symbol" w:hAnsi="Symbol" w:hint="default"/>
        <w:color w:val="EC008C"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9F4547"/>
    <w:multiLevelType w:val="hybridMultilevel"/>
    <w:tmpl w:val="7668F606"/>
    <w:lvl w:ilvl="0" w:tplc="59DEFC54">
      <w:start w:val="1"/>
      <w:numFmt w:val="bullet"/>
      <w:lvlText w:val=""/>
      <w:lvlJc w:val="left"/>
      <w:pPr>
        <w:ind w:left="720" w:hanging="360"/>
      </w:pPr>
      <w:rPr>
        <w:rFonts w:ascii="Symbol" w:hAnsi="Symbol" w:hint="default"/>
        <w:color w:val="EC008C" w:themeColor="accent2"/>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3F277FBD"/>
    <w:multiLevelType w:val="multilevel"/>
    <w:tmpl w:val="AF5AB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08563B1"/>
    <w:multiLevelType w:val="multilevel"/>
    <w:tmpl w:val="37C84D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15:restartNumberingAfterBreak="0">
    <w:nsid w:val="414D595A"/>
    <w:multiLevelType w:val="multilevel"/>
    <w:tmpl w:val="49049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C56847"/>
    <w:multiLevelType w:val="multilevel"/>
    <w:tmpl w:val="8720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C510B1E"/>
    <w:multiLevelType w:val="multilevel"/>
    <w:tmpl w:val="3E687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D7A090F"/>
    <w:multiLevelType w:val="multilevel"/>
    <w:tmpl w:val="F9B40AAC"/>
    <w:lvl w:ilvl="0">
      <w:start w:val="1"/>
      <w:numFmt w:val="bullet"/>
      <w:lvlText w:val=""/>
      <w:lvlJc w:val="left"/>
      <w:pPr>
        <w:ind w:left="720" w:hanging="360"/>
      </w:pPr>
      <w:rPr>
        <w:rFonts w:ascii="Symbol" w:hAnsi="Symbol" w:hint="default"/>
        <w:color w:val="EC008C"/>
      </w:rPr>
    </w:lvl>
    <w:lvl w:ilvl="1">
      <w:start w:val="1"/>
      <w:numFmt w:val="bullet"/>
      <w:lvlText w:val="•"/>
      <w:lvlJc w:val="left"/>
      <w:pPr>
        <w:tabs>
          <w:tab w:val="num" w:pos="1440"/>
        </w:tabs>
        <w:ind w:left="1440" w:hanging="360"/>
      </w:pPr>
      <w:rPr>
        <w:rFonts w:ascii="Symbol" w:hAnsi="Symbol" w:hint="default"/>
        <w:color w:val="EC008C"/>
      </w:rPr>
    </w:lvl>
    <w:lvl w:ilvl="2">
      <w:start w:val="1"/>
      <w:numFmt w:val="bullet"/>
      <w:lvlText w:val="•"/>
      <w:lvlJc w:val="left"/>
      <w:pPr>
        <w:tabs>
          <w:tab w:val="num" w:pos="2160"/>
        </w:tabs>
        <w:ind w:left="2160" w:hanging="360"/>
      </w:pPr>
      <w:rPr>
        <w:rFonts w:ascii="Symbol" w:hAnsi="Symbol" w:hint="default"/>
        <w:color w:val="EC008C"/>
      </w:rPr>
    </w:lvl>
    <w:lvl w:ilvl="3">
      <w:start w:val="1"/>
      <w:numFmt w:val="bullet"/>
      <w:lvlText w:val="•"/>
      <w:lvlJc w:val="left"/>
      <w:pPr>
        <w:tabs>
          <w:tab w:val="num" w:pos="2880"/>
        </w:tabs>
        <w:ind w:left="2880" w:hanging="360"/>
      </w:pPr>
      <w:rPr>
        <w:rFonts w:ascii="Symbol" w:hAnsi="Symbol" w:hint="default"/>
        <w:color w:val="EC008C"/>
      </w:rPr>
    </w:lvl>
    <w:lvl w:ilvl="4">
      <w:start w:val="1"/>
      <w:numFmt w:val="bullet"/>
      <w:lvlText w:val="•"/>
      <w:lvlJc w:val="left"/>
      <w:pPr>
        <w:tabs>
          <w:tab w:val="num" w:pos="3600"/>
        </w:tabs>
        <w:ind w:left="3600" w:hanging="360"/>
      </w:pPr>
      <w:rPr>
        <w:rFonts w:ascii="Symbol" w:hAnsi="Symbol" w:hint="default"/>
        <w:color w:val="EC008C"/>
      </w:rPr>
    </w:lvl>
    <w:lvl w:ilvl="5">
      <w:start w:val="1"/>
      <w:numFmt w:val="bullet"/>
      <w:lvlText w:val="•"/>
      <w:lvlJc w:val="left"/>
      <w:pPr>
        <w:tabs>
          <w:tab w:val="num" w:pos="4320"/>
        </w:tabs>
        <w:ind w:left="4320" w:hanging="360"/>
      </w:pPr>
      <w:rPr>
        <w:rFonts w:ascii="Symbol" w:hAnsi="Symbol" w:hint="default"/>
        <w:color w:val="EC008C"/>
      </w:rPr>
    </w:lvl>
    <w:lvl w:ilvl="6">
      <w:start w:val="1"/>
      <w:numFmt w:val="bullet"/>
      <w:lvlText w:val="•"/>
      <w:lvlJc w:val="left"/>
      <w:pPr>
        <w:tabs>
          <w:tab w:val="num" w:pos="5040"/>
        </w:tabs>
        <w:ind w:left="5040" w:hanging="360"/>
      </w:pPr>
      <w:rPr>
        <w:rFonts w:ascii="Symbol" w:hAnsi="Symbol" w:hint="default"/>
        <w:color w:val="EC008C"/>
      </w:rPr>
    </w:lvl>
    <w:lvl w:ilvl="7">
      <w:start w:val="1"/>
      <w:numFmt w:val="bullet"/>
      <w:lvlText w:val="•"/>
      <w:lvlJc w:val="left"/>
      <w:pPr>
        <w:tabs>
          <w:tab w:val="num" w:pos="5760"/>
        </w:tabs>
        <w:ind w:left="5760" w:hanging="360"/>
      </w:pPr>
      <w:rPr>
        <w:rFonts w:ascii="Symbol" w:hAnsi="Symbol" w:hint="default"/>
        <w:color w:val="EC008C"/>
      </w:rPr>
    </w:lvl>
    <w:lvl w:ilvl="8">
      <w:start w:val="1"/>
      <w:numFmt w:val="bullet"/>
      <w:lvlText w:val="•"/>
      <w:lvlJc w:val="left"/>
      <w:pPr>
        <w:ind w:left="6480" w:hanging="360"/>
      </w:pPr>
      <w:rPr>
        <w:rFonts w:ascii="Symbol" w:hAnsi="Symbol" w:hint="default"/>
        <w:color w:val="EC008C"/>
      </w:rPr>
    </w:lvl>
  </w:abstractNum>
  <w:abstractNum w:abstractNumId="35" w15:restartNumberingAfterBreak="0">
    <w:nsid w:val="4D905FDA"/>
    <w:multiLevelType w:val="multilevel"/>
    <w:tmpl w:val="D84C6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9146F4"/>
    <w:multiLevelType w:val="multilevel"/>
    <w:tmpl w:val="782A797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500E660D"/>
    <w:multiLevelType w:val="multilevel"/>
    <w:tmpl w:val="79147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2710FFA"/>
    <w:multiLevelType w:val="multilevel"/>
    <w:tmpl w:val="5A0E3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5DA55FF"/>
    <w:multiLevelType w:val="multilevel"/>
    <w:tmpl w:val="C2887F3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0" w15:restartNumberingAfterBreak="0">
    <w:nsid w:val="56AD6E16"/>
    <w:multiLevelType w:val="hybridMultilevel"/>
    <w:tmpl w:val="3F24DA9C"/>
    <w:lvl w:ilvl="0" w:tplc="0A92C346">
      <w:start w:val="1"/>
      <w:numFmt w:val="bullet"/>
      <w:lvlText w:val="•"/>
      <w:lvlJc w:val="left"/>
      <w:pPr>
        <w:tabs>
          <w:tab w:val="num" w:pos="720"/>
        </w:tabs>
        <w:ind w:left="720" w:hanging="360"/>
      </w:pPr>
      <w:rPr>
        <w:rFonts w:ascii="Arial" w:hAnsi="Arial" w:hint="default"/>
      </w:rPr>
    </w:lvl>
    <w:lvl w:ilvl="1" w:tplc="D1AA0802" w:tentative="1">
      <w:start w:val="1"/>
      <w:numFmt w:val="bullet"/>
      <w:lvlText w:val="•"/>
      <w:lvlJc w:val="left"/>
      <w:pPr>
        <w:tabs>
          <w:tab w:val="num" w:pos="1440"/>
        </w:tabs>
        <w:ind w:left="1440" w:hanging="360"/>
      </w:pPr>
      <w:rPr>
        <w:rFonts w:ascii="Arial" w:hAnsi="Arial" w:hint="default"/>
      </w:rPr>
    </w:lvl>
    <w:lvl w:ilvl="2" w:tplc="9BEE8E1C" w:tentative="1">
      <w:start w:val="1"/>
      <w:numFmt w:val="bullet"/>
      <w:lvlText w:val="•"/>
      <w:lvlJc w:val="left"/>
      <w:pPr>
        <w:tabs>
          <w:tab w:val="num" w:pos="2160"/>
        </w:tabs>
        <w:ind w:left="2160" w:hanging="360"/>
      </w:pPr>
      <w:rPr>
        <w:rFonts w:ascii="Arial" w:hAnsi="Arial" w:hint="default"/>
      </w:rPr>
    </w:lvl>
    <w:lvl w:ilvl="3" w:tplc="497C70CC" w:tentative="1">
      <w:start w:val="1"/>
      <w:numFmt w:val="bullet"/>
      <w:lvlText w:val="•"/>
      <w:lvlJc w:val="left"/>
      <w:pPr>
        <w:tabs>
          <w:tab w:val="num" w:pos="2880"/>
        </w:tabs>
        <w:ind w:left="2880" w:hanging="360"/>
      </w:pPr>
      <w:rPr>
        <w:rFonts w:ascii="Arial" w:hAnsi="Arial" w:hint="default"/>
      </w:rPr>
    </w:lvl>
    <w:lvl w:ilvl="4" w:tplc="B92440C6" w:tentative="1">
      <w:start w:val="1"/>
      <w:numFmt w:val="bullet"/>
      <w:lvlText w:val="•"/>
      <w:lvlJc w:val="left"/>
      <w:pPr>
        <w:tabs>
          <w:tab w:val="num" w:pos="3600"/>
        </w:tabs>
        <w:ind w:left="3600" w:hanging="360"/>
      </w:pPr>
      <w:rPr>
        <w:rFonts w:ascii="Arial" w:hAnsi="Arial" w:hint="default"/>
      </w:rPr>
    </w:lvl>
    <w:lvl w:ilvl="5" w:tplc="7EB0CDE0" w:tentative="1">
      <w:start w:val="1"/>
      <w:numFmt w:val="bullet"/>
      <w:lvlText w:val="•"/>
      <w:lvlJc w:val="left"/>
      <w:pPr>
        <w:tabs>
          <w:tab w:val="num" w:pos="4320"/>
        </w:tabs>
        <w:ind w:left="4320" w:hanging="360"/>
      </w:pPr>
      <w:rPr>
        <w:rFonts w:ascii="Arial" w:hAnsi="Arial" w:hint="default"/>
      </w:rPr>
    </w:lvl>
    <w:lvl w:ilvl="6" w:tplc="A9C46EA4" w:tentative="1">
      <w:start w:val="1"/>
      <w:numFmt w:val="bullet"/>
      <w:lvlText w:val="•"/>
      <w:lvlJc w:val="left"/>
      <w:pPr>
        <w:tabs>
          <w:tab w:val="num" w:pos="5040"/>
        </w:tabs>
        <w:ind w:left="5040" w:hanging="360"/>
      </w:pPr>
      <w:rPr>
        <w:rFonts w:ascii="Arial" w:hAnsi="Arial" w:hint="default"/>
      </w:rPr>
    </w:lvl>
    <w:lvl w:ilvl="7" w:tplc="168417EA" w:tentative="1">
      <w:start w:val="1"/>
      <w:numFmt w:val="bullet"/>
      <w:lvlText w:val="•"/>
      <w:lvlJc w:val="left"/>
      <w:pPr>
        <w:tabs>
          <w:tab w:val="num" w:pos="5760"/>
        </w:tabs>
        <w:ind w:left="5760" w:hanging="360"/>
      </w:pPr>
      <w:rPr>
        <w:rFonts w:ascii="Arial" w:hAnsi="Arial" w:hint="default"/>
      </w:rPr>
    </w:lvl>
    <w:lvl w:ilvl="8" w:tplc="D5BE9A5C"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59677BC4"/>
    <w:multiLevelType w:val="hybridMultilevel"/>
    <w:tmpl w:val="A77E2028"/>
    <w:lvl w:ilvl="0" w:tplc="18BA1650">
      <w:start w:val="1"/>
      <w:numFmt w:val="bullet"/>
      <w:lvlText w:val="•"/>
      <w:lvlJc w:val="left"/>
      <w:pPr>
        <w:tabs>
          <w:tab w:val="num" w:pos="720"/>
        </w:tabs>
        <w:ind w:left="720" w:hanging="360"/>
      </w:pPr>
      <w:rPr>
        <w:rFonts w:ascii="Arial" w:hAnsi="Arial" w:hint="default"/>
      </w:rPr>
    </w:lvl>
    <w:lvl w:ilvl="1" w:tplc="83E6B3AC" w:tentative="1">
      <w:start w:val="1"/>
      <w:numFmt w:val="bullet"/>
      <w:lvlText w:val="•"/>
      <w:lvlJc w:val="left"/>
      <w:pPr>
        <w:tabs>
          <w:tab w:val="num" w:pos="1440"/>
        </w:tabs>
        <w:ind w:left="1440" w:hanging="360"/>
      </w:pPr>
      <w:rPr>
        <w:rFonts w:ascii="Arial" w:hAnsi="Arial" w:hint="default"/>
      </w:rPr>
    </w:lvl>
    <w:lvl w:ilvl="2" w:tplc="72D488F0" w:tentative="1">
      <w:start w:val="1"/>
      <w:numFmt w:val="bullet"/>
      <w:lvlText w:val="•"/>
      <w:lvlJc w:val="left"/>
      <w:pPr>
        <w:tabs>
          <w:tab w:val="num" w:pos="2160"/>
        </w:tabs>
        <w:ind w:left="2160" w:hanging="360"/>
      </w:pPr>
      <w:rPr>
        <w:rFonts w:ascii="Arial" w:hAnsi="Arial" w:hint="default"/>
      </w:rPr>
    </w:lvl>
    <w:lvl w:ilvl="3" w:tplc="CDA6E81E" w:tentative="1">
      <w:start w:val="1"/>
      <w:numFmt w:val="bullet"/>
      <w:lvlText w:val="•"/>
      <w:lvlJc w:val="left"/>
      <w:pPr>
        <w:tabs>
          <w:tab w:val="num" w:pos="2880"/>
        </w:tabs>
        <w:ind w:left="2880" w:hanging="360"/>
      </w:pPr>
      <w:rPr>
        <w:rFonts w:ascii="Arial" w:hAnsi="Arial" w:hint="default"/>
      </w:rPr>
    </w:lvl>
    <w:lvl w:ilvl="4" w:tplc="6952DE5E" w:tentative="1">
      <w:start w:val="1"/>
      <w:numFmt w:val="bullet"/>
      <w:lvlText w:val="•"/>
      <w:lvlJc w:val="left"/>
      <w:pPr>
        <w:tabs>
          <w:tab w:val="num" w:pos="3600"/>
        </w:tabs>
        <w:ind w:left="3600" w:hanging="360"/>
      </w:pPr>
      <w:rPr>
        <w:rFonts w:ascii="Arial" w:hAnsi="Arial" w:hint="default"/>
      </w:rPr>
    </w:lvl>
    <w:lvl w:ilvl="5" w:tplc="53A8EBDE" w:tentative="1">
      <w:start w:val="1"/>
      <w:numFmt w:val="bullet"/>
      <w:lvlText w:val="•"/>
      <w:lvlJc w:val="left"/>
      <w:pPr>
        <w:tabs>
          <w:tab w:val="num" w:pos="4320"/>
        </w:tabs>
        <w:ind w:left="4320" w:hanging="360"/>
      </w:pPr>
      <w:rPr>
        <w:rFonts w:ascii="Arial" w:hAnsi="Arial" w:hint="default"/>
      </w:rPr>
    </w:lvl>
    <w:lvl w:ilvl="6" w:tplc="3FC0215A" w:tentative="1">
      <w:start w:val="1"/>
      <w:numFmt w:val="bullet"/>
      <w:lvlText w:val="•"/>
      <w:lvlJc w:val="left"/>
      <w:pPr>
        <w:tabs>
          <w:tab w:val="num" w:pos="5040"/>
        </w:tabs>
        <w:ind w:left="5040" w:hanging="360"/>
      </w:pPr>
      <w:rPr>
        <w:rFonts w:ascii="Arial" w:hAnsi="Arial" w:hint="default"/>
      </w:rPr>
    </w:lvl>
    <w:lvl w:ilvl="7" w:tplc="F49A7F42" w:tentative="1">
      <w:start w:val="1"/>
      <w:numFmt w:val="bullet"/>
      <w:lvlText w:val="•"/>
      <w:lvlJc w:val="left"/>
      <w:pPr>
        <w:tabs>
          <w:tab w:val="num" w:pos="5760"/>
        </w:tabs>
        <w:ind w:left="5760" w:hanging="360"/>
      </w:pPr>
      <w:rPr>
        <w:rFonts w:ascii="Arial" w:hAnsi="Arial" w:hint="default"/>
      </w:rPr>
    </w:lvl>
    <w:lvl w:ilvl="8" w:tplc="6D721A3A"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5AE97019"/>
    <w:multiLevelType w:val="multilevel"/>
    <w:tmpl w:val="8960B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C5E4D77"/>
    <w:multiLevelType w:val="multilevel"/>
    <w:tmpl w:val="2A3A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ECD299F"/>
    <w:multiLevelType w:val="multilevel"/>
    <w:tmpl w:val="C92E7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3A7E1A"/>
    <w:multiLevelType w:val="hybridMultilevel"/>
    <w:tmpl w:val="56F8BA56"/>
    <w:lvl w:ilvl="0" w:tplc="59DEFC54">
      <w:start w:val="1"/>
      <w:numFmt w:val="bullet"/>
      <w:lvlText w:val=""/>
      <w:lvlJc w:val="left"/>
      <w:pPr>
        <w:ind w:left="720" w:hanging="360"/>
      </w:pPr>
      <w:rPr>
        <w:rFonts w:ascii="Symbol" w:hAnsi="Symbol" w:hint="default"/>
        <w:color w:val="EC008C" w:themeColor="accent2"/>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5F923DC8"/>
    <w:multiLevelType w:val="multilevel"/>
    <w:tmpl w:val="B0D2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18735C2"/>
    <w:multiLevelType w:val="multilevel"/>
    <w:tmpl w:val="37C84D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63050F94"/>
    <w:multiLevelType w:val="multilevel"/>
    <w:tmpl w:val="ADCC0A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9" w15:restartNumberingAfterBreak="0">
    <w:nsid w:val="635D2640"/>
    <w:multiLevelType w:val="hybridMultilevel"/>
    <w:tmpl w:val="4962AC8E"/>
    <w:lvl w:ilvl="0" w:tplc="10E6AA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37550A8"/>
    <w:multiLevelType w:val="hybridMultilevel"/>
    <w:tmpl w:val="F13626A0"/>
    <w:lvl w:ilvl="0" w:tplc="12CEEBFC">
      <w:start w:val="1"/>
      <w:numFmt w:val="bullet"/>
      <w:lvlText w:val="•"/>
      <w:lvlJc w:val="left"/>
      <w:pPr>
        <w:tabs>
          <w:tab w:val="num" w:pos="720"/>
        </w:tabs>
        <w:ind w:left="720" w:hanging="360"/>
      </w:pPr>
      <w:rPr>
        <w:rFonts w:ascii="Arial" w:hAnsi="Arial" w:hint="default"/>
      </w:rPr>
    </w:lvl>
    <w:lvl w:ilvl="1" w:tplc="C0D2B1CA" w:tentative="1">
      <w:start w:val="1"/>
      <w:numFmt w:val="bullet"/>
      <w:lvlText w:val="•"/>
      <w:lvlJc w:val="left"/>
      <w:pPr>
        <w:tabs>
          <w:tab w:val="num" w:pos="1440"/>
        </w:tabs>
        <w:ind w:left="1440" w:hanging="360"/>
      </w:pPr>
      <w:rPr>
        <w:rFonts w:ascii="Arial" w:hAnsi="Arial" w:hint="default"/>
      </w:rPr>
    </w:lvl>
    <w:lvl w:ilvl="2" w:tplc="22A8DD90" w:tentative="1">
      <w:start w:val="1"/>
      <w:numFmt w:val="bullet"/>
      <w:lvlText w:val="•"/>
      <w:lvlJc w:val="left"/>
      <w:pPr>
        <w:tabs>
          <w:tab w:val="num" w:pos="2160"/>
        </w:tabs>
        <w:ind w:left="2160" w:hanging="360"/>
      </w:pPr>
      <w:rPr>
        <w:rFonts w:ascii="Arial" w:hAnsi="Arial" w:hint="default"/>
      </w:rPr>
    </w:lvl>
    <w:lvl w:ilvl="3" w:tplc="65864186" w:tentative="1">
      <w:start w:val="1"/>
      <w:numFmt w:val="bullet"/>
      <w:lvlText w:val="•"/>
      <w:lvlJc w:val="left"/>
      <w:pPr>
        <w:tabs>
          <w:tab w:val="num" w:pos="2880"/>
        </w:tabs>
        <w:ind w:left="2880" w:hanging="360"/>
      </w:pPr>
      <w:rPr>
        <w:rFonts w:ascii="Arial" w:hAnsi="Arial" w:hint="default"/>
      </w:rPr>
    </w:lvl>
    <w:lvl w:ilvl="4" w:tplc="4476EAE0" w:tentative="1">
      <w:start w:val="1"/>
      <w:numFmt w:val="bullet"/>
      <w:lvlText w:val="•"/>
      <w:lvlJc w:val="left"/>
      <w:pPr>
        <w:tabs>
          <w:tab w:val="num" w:pos="3600"/>
        </w:tabs>
        <w:ind w:left="3600" w:hanging="360"/>
      </w:pPr>
      <w:rPr>
        <w:rFonts w:ascii="Arial" w:hAnsi="Arial" w:hint="default"/>
      </w:rPr>
    </w:lvl>
    <w:lvl w:ilvl="5" w:tplc="35DCC2A0" w:tentative="1">
      <w:start w:val="1"/>
      <w:numFmt w:val="bullet"/>
      <w:lvlText w:val="•"/>
      <w:lvlJc w:val="left"/>
      <w:pPr>
        <w:tabs>
          <w:tab w:val="num" w:pos="4320"/>
        </w:tabs>
        <w:ind w:left="4320" w:hanging="360"/>
      </w:pPr>
      <w:rPr>
        <w:rFonts w:ascii="Arial" w:hAnsi="Arial" w:hint="default"/>
      </w:rPr>
    </w:lvl>
    <w:lvl w:ilvl="6" w:tplc="ED487780" w:tentative="1">
      <w:start w:val="1"/>
      <w:numFmt w:val="bullet"/>
      <w:lvlText w:val="•"/>
      <w:lvlJc w:val="left"/>
      <w:pPr>
        <w:tabs>
          <w:tab w:val="num" w:pos="5040"/>
        </w:tabs>
        <w:ind w:left="5040" w:hanging="360"/>
      </w:pPr>
      <w:rPr>
        <w:rFonts w:ascii="Arial" w:hAnsi="Arial" w:hint="default"/>
      </w:rPr>
    </w:lvl>
    <w:lvl w:ilvl="7" w:tplc="E4A4F440" w:tentative="1">
      <w:start w:val="1"/>
      <w:numFmt w:val="bullet"/>
      <w:lvlText w:val="•"/>
      <w:lvlJc w:val="left"/>
      <w:pPr>
        <w:tabs>
          <w:tab w:val="num" w:pos="5760"/>
        </w:tabs>
        <w:ind w:left="5760" w:hanging="360"/>
      </w:pPr>
      <w:rPr>
        <w:rFonts w:ascii="Arial" w:hAnsi="Arial" w:hint="default"/>
      </w:rPr>
    </w:lvl>
    <w:lvl w:ilvl="8" w:tplc="D4AC739C"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69D01119"/>
    <w:multiLevelType w:val="multilevel"/>
    <w:tmpl w:val="5C56C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DDF44F0"/>
    <w:multiLevelType w:val="hybridMultilevel"/>
    <w:tmpl w:val="F926DCDA"/>
    <w:lvl w:ilvl="0" w:tplc="37EA65B6">
      <w:start w:val="1"/>
      <w:numFmt w:val="bullet"/>
      <w:lvlText w:val="•"/>
      <w:lvlJc w:val="left"/>
      <w:pPr>
        <w:tabs>
          <w:tab w:val="num" w:pos="720"/>
        </w:tabs>
        <w:ind w:left="720" w:hanging="360"/>
      </w:pPr>
      <w:rPr>
        <w:rFonts w:ascii="Arial" w:hAnsi="Arial" w:hint="default"/>
      </w:rPr>
    </w:lvl>
    <w:lvl w:ilvl="1" w:tplc="85C2D3E8" w:tentative="1">
      <w:start w:val="1"/>
      <w:numFmt w:val="bullet"/>
      <w:lvlText w:val="•"/>
      <w:lvlJc w:val="left"/>
      <w:pPr>
        <w:tabs>
          <w:tab w:val="num" w:pos="1440"/>
        </w:tabs>
        <w:ind w:left="1440" w:hanging="360"/>
      </w:pPr>
      <w:rPr>
        <w:rFonts w:ascii="Arial" w:hAnsi="Arial" w:hint="default"/>
      </w:rPr>
    </w:lvl>
    <w:lvl w:ilvl="2" w:tplc="2564D264" w:tentative="1">
      <w:start w:val="1"/>
      <w:numFmt w:val="bullet"/>
      <w:lvlText w:val="•"/>
      <w:lvlJc w:val="left"/>
      <w:pPr>
        <w:tabs>
          <w:tab w:val="num" w:pos="2160"/>
        </w:tabs>
        <w:ind w:left="2160" w:hanging="360"/>
      </w:pPr>
      <w:rPr>
        <w:rFonts w:ascii="Arial" w:hAnsi="Arial" w:hint="default"/>
      </w:rPr>
    </w:lvl>
    <w:lvl w:ilvl="3" w:tplc="DF462458" w:tentative="1">
      <w:start w:val="1"/>
      <w:numFmt w:val="bullet"/>
      <w:lvlText w:val="•"/>
      <w:lvlJc w:val="left"/>
      <w:pPr>
        <w:tabs>
          <w:tab w:val="num" w:pos="2880"/>
        </w:tabs>
        <w:ind w:left="2880" w:hanging="360"/>
      </w:pPr>
      <w:rPr>
        <w:rFonts w:ascii="Arial" w:hAnsi="Arial" w:hint="default"/>
      </w:rPr>
    </w:lvl>
    <w:lvl w:ilvl="4" w:tplc="9E7EC706" w:tentative="1">
      <w:start w:val="1"/>
      <w:numFmt w:val="bullet"/>
      <w:lvlText w:val="•"/>
      <w:lvlJc w:val="left"/>
      <w:pPr>
        <w:tabs>
          <w:tab w:val="num" w:pos="3600"/>
        </w:tabs>
        <w:ind w:left="3600" w:hanging="360"/>
      </w:pPr>
      <w:rPr>
        <w:rFonts w:ascii="Arial" w:hAnsi="Arial" w:hint="default"/>
      </w:rPr>
    </w:lvl>
    <w:lvl w:ilvl="5" w:tplc="E41A4A84" w:tentative="1">
      <w:start w:val="1"/>
      <w:numFmt w:val="bullet"/>
      <w:lvlText w:val="•"/>
      <w:lvlJc w:val="left"/>
      <w:pPr>
        <w:tabs>
          <w:tab w:val="num" w:pos="4320"/>
        </w:tabs>
        <w:ind w:left="4320" w:hanging="360"/>
      </w:pPr>
      <w:rPr>
        <w:rFonts w:ascii="Arial" w:hAnsi="Arial" w:hint="default"/>
      </w:rPr>
    </w:lvl>
    <w:lvl w:ilvl="6" w:tplc="FA146094" w:tentative="1">
      <w:start w:val="1"/>
      <w:numFmt w:val="bullet"/>
      <w:lvlText w:val="•"/>
      <w:lvlJc w:val="left"/>
      <w:pPr>
        <w:tabs>
          <w:tab w:val="num" w:pos="5040"/>
        </w:tabs>
        <w:ind w:left="5040" w:hanging="360"/>
      </w:pPr>
      <w:rPr>
        <w:rFonts w:ascii="Arial" w:hAnsi="Arial" w:hint="default"/>
      </w:rPr>
    </w:lvl>
    <w:lvl w:ilvl="7" w:tplc="959C0524" w:tentative="1">
      <w:start w:val="1"/>
      <w:numFmt w:val="bullet"/>
      <w:lvlText w:val="•"/>
      <w:lvlJc w:val="left"/>
      <w:pPr>
        <w:tabs>
          <w:tab w:val="num" w:pos="5760"/>
        </w:tabs>
        <w:ind w:left="5760" w:hanging="360"/>
      </w:pPr>
      <w:rPr>
        <w:rFonts w:ascii="Arial" w:hAnsi="Arial" w:hint="default"/>
      </w:rPr>
    </w:lvl>
    <w:lvl w:ilvl="8" w:tplc="81ECA7D8"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6DEE088D"/>
    <w:multiLevelType w:val="hybridMultilevel"/>
    <w:tmpl w:val="893C288A"/>
    <w:lvl w:ilvl="0" w:tplc="BCC67F16">
      <w:start w:val="1"/>
      <w:numFmt w:val="bullet"/>
      <w:lvlText w:val="•"/>
      <w:lvlJc w:val="left"/>
      <w:pPr>
        <w:tabs>
          <w:tab w:val="num" w:pos="720"/>
        </w:tabs>
        <w:ind w:left="720" w:hanging="360"/>
      </w:pPr>
      <w:rPr>
        <w:rFonts w:ascii="Arial" w:hAnsi="Arial" w:hint="default"/>
      </w:rPr>
    </w:lvl>
    <w:lvl w:ilvl="1" w:tplc="F216F684" w:tentative="1">
      <w:start w:val="1"/>
      <w:numFmt w:val="bullet"/>
      <w:lvlText w:val="•"/>
      <w:lvlJc w:val="left"/>
      <w:pPr>
        <w:tabs>
          <w:tab w:val="num" w:pos="1440"/>
        </w:tabs>
        <w:ind w:left="1440" w:hanging="360"/>
      </w:pPr>
      <w:rPr>
        <w:rFonts w:ascii="Arial" w:hAnsi="Arial" w:hint="default"/>
      </w:rPr>
    </w:lvl>
    <w:lvl w:ilvl="2" w:tplc="ADC291F4" w:tentative="1">
      <w:start w:val="1"/>
      <w:numFmt w:val="bullet"/>
      <w:lvlText w:val="•"/>
      <w:lvlJc w:val="left"/>
      <w:pPr>
        <w:tabs>
          <w:tab w:val="num" w:pos="2160"/>
        </w:tabs>
        <w:ind w:left="2160" w:hanging="360"/>
      </w:pPr>
      <w:rPr>
        <w:rFonts w:ascii="Arial" w:hAnsi="Arial" w:hint="default"/>
      </w:rPr>
    </w:lvl>
    <w:lvl w:ilvl="3" w:tplc="A3C67DF6" w:tentative="1">
      <w:start w:val="1"/>
      <w:numFmt w:val="bullet"/>
      <w:lvlText w:val="•"/>
      <w:lvlJc w:val="left"/>
      <w:pPr>
        <w:tabs>
          <w:tab w:val="num" w:pos="2880"/>
        </w:tabs>
        <w:ind w:left="2880" w:hanging="360"/>
      </w:pPr>
      <w:rPr>
        <w:rFonts w:ascii="Arial" w:hAnsi="Arial" w:hint="default"/>
      </w:rPr>
    </w:lvl>
    <w:lvl w:ilvl="4" w:tplc="CCE02A18" w:tentative="1">
      <w:start w:val="1"/>
      <w:numFmt w:val="bullet"/>
      <w:lvlText w:val="•"/>
      <w:lvlJc w:val="left"/>
      <w:pPr>
        <w:tabs>
          <w:tab w:val="num" w:pos="3600"/>
        </w:tabs>
        <w:ind w:left="3600" w:hanging="360"/>
      </w:pPr>
      <w:rPr>
        <w:rFonts w:ascii="Arial" w:hAnsi="Arial" w:hint="default"/>
      </w:rPr>
    </w:lvl>
    <w:lvl w:ilvl="5" w:tplc="5A1E9C1C" w:tentative="1">
      <w:start w:val="1"/>
      <w:numFmt w:val="bullet"/>
      <w:lvlText w:val="•"/>
      <w:lvlJc w:val="left"/>
      <w:pPr>
        <w:tabs>
          <w:tab w:val="num" w:pos="4320"/>
        </w:tabs>
        <w:ind w:left="4320" w:hanging="360"/>
      </w:pPr>
      <w:rPr>
        <w:rFonts w:ascii="Arial" w:hAnsi="Arial" w:hint="default"/>
      </w:rPr>
    </w:lvl>
    <w:lvl w:ilvl="6" w:tplc="4E324350" w:tentative="1">
      <w:start w:val="1"/>
      <w:numFmt w:val="bullet"/>
      <w:lvlText w:val="•"/>
      <w:lvlJc w:val="left"/>
      <w:pPr>
        <w:tabs>
          <w:tab w:val="num" w:pos="5040"/>
        </w:tabs>
        <w:ind w:left="5040" w:hanging="360"/>
      </w:pPr>
      <w:rPr>
        <w:rFonts w:ascii="Arial" w:hAnsi="Arial" w:hint="default"/>
      </w:rPr>
    </w:lvl>
    <w:lvl w:ilvl="7" w:tplc="E4509664" w:tentative="1">
      <w:start w:val="1"/>
      <w:numFmt w:val="bullet"/>
      <w:lvlText w:val="•"/>
      <w:lvlJc w:val="left"/>
      <w:pPr>
        <w:tabs>
          <w:tab w:val="num" w:pos="5760"/>
        </w:tabs>
        <w:ind w:left="5760" w:hanging="360"/>
      </w:pPr>
      <w:rPr>
        <w:rFonts w:ascii="Arial" w:hAnsi="Arial" w:hint="default"/>
      </w:rPr>
    </w:lvl>
    <w:lvl w:ilvl="8" w:tplc="10C60090" w:tentative="1">
      <w:start w:val="1"/>
      <w:numFmt w:val="bullet"/>
      <w:lvlText w:val="•"/>
      <w:lvlJc w:val="left"/>
      <w:pPr>
        <w:tabs>
          <w:tab w:val="num" w:pos="6480"/>
        </w:tabs>
        <w:ind w:left="6480" w:hanging="360"/>
      </w:pPr>
      <w:rPr>
        <w:rFonts w:ascii="Arial" w:hAnsi="Arial" w:hint="default"/>
      </w:rPr>
    </w:lvl>
  </w:abstractNum>
  <w:abstractNum w:abstractNumId="54" w15:restartNumberingAfterBreak="0">
    <w:nsid w:val="6FB71CCB"/>
    <w:multiLevelType w:val="multilevel"/>
    <w:tmpl w:val="87ECE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2EF043F"/>
    <w:multiLevelType w:val="multilevel"/>
    <w:tmpl w:val="08EC8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30421E4"/>
    <w:multiLevelType w:val="multilevel"/>
    <w:tmpl w:val="DD66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8E12CF0"/>
    <w:multiLevelType w:val="multilevel"/>
    <w:tmpl w:val="5CE2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7856744">
    <w:abstractNumId w:val="50"/>
  </w:num>
  <w:num w:numId="2" w16cid:durableId="1876238158">
    <w:abstractNumId w:val="28"/>
  </w:num>
  <w:num w:numId="3" w16cid:durableId="1292900567">
    <w:abstractNumId w:val="52"/>
  </w:num>
  <w:num w:numId="4" w16cid:durableId="427821006">
    <w:abstractNumId w:val="0"/>
  </w:num>
  <w:num w:numId="5" w16cid:durableId="699162502">
    <w:abstractNumId w:val="40"/>
  </w:num>
  <w:num w:numId="6" w16cid:durableId="861092941">
    <w:abstractNumId w:val="16"/>
  </w:num>
  <w:num w:numId="7" w16cid:durableId="459959696">
    <w:abstractNumId w:val="24"/>
  </w:num>
  <w:num w:numId="8" w16cid:durableId="2098206787">
    <w:abstractNumId w:val="53"/>
  </w:num>
  <w:num w:numId="9" w16cid:durableId="372777759">
    <w:abstractNumId w:val="13"/>
  </w:num>
  <w:num w:numId="10" w16cid:durableId="2039350186">
    <w:abstractNumId w:val="27"/>
  </w:num>
  <w:num w:numId="11" w16cid:durableId="1081099615">
    <w:abstractNumId w:val="41"/>
  </w:num>
  <w:num w:numId="12" w16cid:durableId="1633444276">
    <w:abstractNumId w:val="9"/>
  </w:num>
  <w:num w:numId="13" w16cid:durableId="255985452">
    <w:abstractNumId w:val="23"/>
  </w:num>
  <w:num w:numId="14" w16cid:durableId="1526939138">
    <w:abstractNumId w:val="18"/>
  </w:num>
  <w:num w:numId="15" w16cid:durableId="943224183">
    <w:abstractNumId w:val="34"/>
  </w:num>
  <w:num w:numId="16" w16cid:durableId="2047754131">
    <w:abstractNumId w:val="45"/>
  </w:num>
  <w:num w:numId="17" w16cid:durableId="414673377">
    <w:abstractNumId w:val="22"/>
  </w:num>
  <w:num w:numId="18" w16cid:durableId="364866687">
    <w:abstractNumId w:val="49"/>
  </w:num>
  <w:num w:numId="19" w16cid:durableId="1027607379">
    <w:abstractNumId w:val="21"/>
  </w:num>
  <w:num w:numId="20" w16cid:durableId="1753579128">
    <w:abstractNumId w:val="14"/>
  </w:num>
  <w:num w:numId="21" w16cid:durableId="85468786">
    <w:abstractNumId w:val="37"/>
  </w:num>
  <w:num w:numId="22" w16cid:durableId="728457808">
    <w:abstractNumId w:val="57"/>
  </w:num>
  <w:num w:numId="23" w16cid:durableId="1486898814">
    <w:abstractNumId w:val="44"/>
  </w:num>
  <w:num w:numId="24" w16cid:durableId="118035387">
    <w:abstractNumId w:val="1"/>
  </w:num>
  <w:num w:numId="25" w16cid:durableId="947810492">
    <w:abstractNumId w:val="11"/>
  </w:num>
  <w:num w:numId="26" w16cid:durableId="1056472241">
    <w:abstractNumId w:val="25"/>
  </w:num>
  <w:num w:numId="27" w16cid:durableId="82265187">
    <w:abstractNumId w:val="54"/>
  </w:num>
  <w:num w:numId="28" w16cid:durableId="848718903">
    <w:abstractNumId w:val="35"/>
  </w:num>
  <w:num w:numId="29" w16cid:durableId="491258506">
    <w:abstractNumId w:val="33"/>
  </w:num>
  <w:num w:numId="30" w16cid:durableId="813720397">
    <w:abstractNumId w:val="10"/>
  </w:num>
  <w:num w:numId="31" w16cid:durableId="1972512895">
    <w:abstractNumId w:val="42"/>
  </w:num>
  <w:num w:numId="32" w16cid:durableId="1462073367">
    <w:abstractNumId w:val="31"/>
  </w:num>
  <w:num w:numId="33" w16cid:durableId="1349871973">
    <w:abstractNumId w:val="46"/>
  </w:num>
  <w:num w:numId="34" w16cid:durableId="569584437">
    <w:abstractNumId w:val="7"/>
  </w:num>
  <w:num w:numId="35" w16cid:durableId="147214769">
    <w:abstractNumId w:val="38"/>
  </w:num>
  <w:num w:numId="36" w16cid:durableId="999310853">
    <w:abstractNumId w:val="32"/>
  </w:num>
  <w:num w:numId="37" w16cid:durableId="1077675597">
    <w:abstractNumId w:val="8"/>
  </w:num>
  <w:num w:numId="38" w16cid:durableId="575169031">
    <w:abstractNumId w:val="47"/>
  </w:num>
  <w:num w:numId="39" w16cid:durableId="232669516">
    <w:abstractNumId w:val="12"/>
  </w:num>
  <w:num w:numId="40" w16cid:durableId="1980959907">
    <w:abstractNumId w:val="26"/>
  </w:num>
  <w:num w:numId="41" w16cid:durableId="936524341">
    <w:abstractNumId w:val="36"/>
  </w:num>
  <w:num w:numId="42" w16cid:durableId="870998677">
    <w:abstractNumId w:val="29"/>
  </w:num>
  <w:num w:numId="43" w16cid:durableId="1549995554">
    <w:abstractNumId w:val="55"/>
  </w:num>
  <w:num w:numId="44" w16cid:durableId="1195730574">
    <w:abstractNumId w:val="4"/>
  </w:num>
  <w:num w:numId="45" w16cid:durableId="1527060374">
    <w:abstractNumId w:val="20"/>
  </w:num>
  <w:num w:numId="46" w16cid:durableId="801196388">
    <w:abstractNumId w:val="2"/>
  </w:num>
  <w:num w:numId="47" w16cid:durableId="2084715196">
    <w:abstractNumId w:val="48"/>
  </w:num>
  <w:num w:numId="48" w16cid:durableId="1382637224">
    <w:abstractNumId w:val="56"/>
  </w:num>
  <w:num w:numId="49" w16cid:durableId="418794960">
    <w:abstractNumId w:val="6"/>
  </w:num>
  <w:num w:numId="50" w16cid:durableId="1381828164">
    <w:abstractNumId w:val="15"/>
  </w:num>
  <w:num w:numId="51" w16cid:durableId="1242639968">
    <w:abstractNumId w:val="19"/>
  </w:num>
  <w:num w:numId="52" w16cid:durableId="1528056364">
    <w:abstractNumId w:val="3"/>
  </w:num>
  <w:num w:numId="53" w16cid:durableId="1206258999">
    <w:abstractNumId w:val="30"/>
  </w:num>
  <w:num w:numId="54" w16cid:durableId="678198771">
    <w:abstractNumId w:val="5"/>
  </w:num>
  <w:num w:numId="55" w16cid:durableId="414282503">
    <w:abstractNumId w:val="51"/>
  </w:num>
  <w:num w:numId="56" w16cid:durableId="276572327">
    <w:abstractNumId w:val="17"/>
  </w:num>
  <w:num w:numId="57" w16cid:durableId="810251521">
    <w:abstractNumId w:val="39"/>
  </w:num>
  <w:num w:numId="58" w16cid:durableId="1963146578">
    <w:abstractNumId w:val="4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FB9"/>
    <w:rsid w:val="00001FB9"/>
    <w:rsid w:val="00004720"/>
    <w:rsid w:val="00005528"/>
    <w:rsid w:val="00013072"/>
    <w:rsid w:val="000331BE"/>
    <w:rsid w:val="000426FA"/>
    <w:rsid w:val="000570D1"/>
    <w:rsid w:val="0006095C"/>
    <w:rsid w:val="00083DE5"/>
    <w:rsid w:val="000879D6"/>
    <w:rsid w:val="00092F04"/>
    <w:rsid w:val="00092F2A"/>
    <w:rsid w:val="00094404"/>
    <w:rsid w:val="000A180C"/>
    <w:rsid w:val="000A3DE0"/>
    <w:rsid w:val="000C2EA6"/>
    <w:rsid w:val="000F10AB"/>
    <w:rsid w:val="000F4D7F"/>
    <w:rsid w:val="0011444A"/>
    <w:rsid w:val="00122086"/>
    <w:rsid w:val="001344FE"/>
    <w:rsid w:val="0013690E"/>
    <w:rsid w:val="00141FC5"/>
    <w:rsid w:val="00146604"/>
    <w:rsid w:val="00156F8E"/>
    <w:rsid w:val="0016160A"/>
    <w:rsid w:val="00161FD8"/>
    <w:rsid w:val="00167F98"/>
    <w:rsid w:val="0017240B"/>
    <w:rsid w:val="00176E8C"/>
    <w:rsid w:val="00180FB8"/>
    <w:rsid w:val="001841DC"/>
    <w:rsid w:val="001951A4"/>
    <w:rsid w:val="001A43DA"/>
    <w:rsid w:val="001C5602"/>
    <w:rsid w:val="001C5CE5"/>
    <w:rsid w:val="001D424B"/>
    <w:rsid w:val="001D62E1"/>
    <w:rsid w:val="001E1D77"/>
    <w:rsid w:val="001F0327"/>
    <w:rsid w:val="001F045C"/>
    <w:rsid w:val="001F2D50"/>
    <w:rsid w:val="00222B97"/>
    <w:rsid w:val="00225077"/>
    <w:rsid w:val="002334A6"/>
    <w:rsid w:val="002410E2"/>
    <w:rsid w:val="00257354"/>
    <w:rsid w:val="002754C8"/>
    <w:rsid w:val="00284261"/>
    <w:rsid w:val="002C1AF9"/>
    <w:rsid w:val="002D35C2"/>
    <w:rsid w:val="002F0C5D"/>
    <w:rsid w:val="002F12E6"/>
    <w:rsid w:val="002F3927"/>
    <w:rsid w:val="002F4D22"/>
    <w:rsid w:val="00314DE7"/>
    <w:rsid w:val="00330783"/>
    <w:rsid w:val="00330F27"/>
    <w:rsid w:val="00336064"/>
    <w:rsid w:val="003365A2"/>
    <w:rsid w:val="00341E9A"/>
    <w:rsid w:val="003549DC"/>
    <w:rsid w:val="00361923"/>
    <w:rsid w:val="0037164F"/>
    <w:rsid w:val="003764D6"/>
    <w:rsid w:val="003B1CCB"/>
    <w:rsid w:val="003B5EBE"/>
    <w:rsid w:val="003C6E55"/>
    <w:rsid w:val="003D7300"/>
    <w:rsid w:val="003E263E"/>
    <w:rsid w:val="003E2A2E"/>
    <w:rsid w:val="003E2DBF"/>
    <w:rsid w:val="003F04F4"/>
    <w:rsid w:val="003F76AB"/>
    <w:rsid w:val="0041181C"/>
    <w:rsid w:val="0041322C"/>
    <w:rsid w:val="0041632F"/>
    <w:rsid w:val="00423726"/>
    <w:rsid w:val="0044210A"/>
    <w:rsid w:val="00447B72"/>
    <w:rsid w:val="0047226F"/>
    <w:rsid w:val="00475C29"/>
    <w:rsid w:val="00480613"/>
    <w:rsid w:val="004831B1"/>
    <w:rsid w:val="00487CC1"/>
    <w:rsid w:val="00491784"/>
    <w:rsid w:val="004B6E3F"/>
    <w:rsid w:val="004C422F"/>
    <w:rsid w:val="004D2974"/>
    <w:rsid w:val="004E4A48"/>
    <w:rsid w:val="00507857"/>
    <w:rsid w:val="005079D1"/>
    <w:rsid w:val="00524B54"/>
    <w:rsid w:val="0054441E"/>
    <w:rsid w:val="00561878"/>
    <w:rsid w:val="0057112D"/>
    <w:rsid w:val="005857C1"/>
    <w:rsid w:val="00586AC3"/>
    <w:rsid w:val="005A4E18"/>
    <w:rsid w:val="005B22D3"/>
    <w:rsid w:val="005C26C4"/>
    <w:rsid w:val="005C2C28"/>
    <w:rsid w:val="005D7222"/>
    <w:rsid w:val="005D7586"/>
    <w:rsid w:val="00603172"/>
    <w:rsid w:val="00626732"/>
    <w:rsid w:val="0063548C"/>
    <w:rsid w:val="0063765B"/>
    <w:rsid w:val="006401D5"/>
    <w:rsid w:val="006452D4"/>
    <w:rsid w:val="00645433"/>
    <w:rsid w:val="00645F0D"/>
    <w:rsid w:val="00651D4A"/>
    <w:rsid w:val="006569A8"/>
    <w:rsid w:val="0066484A"/>
    <w:rsid w:val="00687D5B"/>
    <w:rsid w:val="00696538"/>
    <w:rsid w:val="006B28B1"/>
    <w:rsid w:val="006D0CB1"/>
    <w:rsid w:val="006F4411"/>
    <w:rsid w:val="0070304D"/>
    <w:rsid w:val="007222C2"/>
    <w:rsid w:val="00736578"/>
    <w:rsid w:val="00751011"/>
    <w:rsid w:val="007562CC"/>
    <w:rsid w:val="0076413F"/>
    <w:rsid w:val="007652EF"/>
    <w:rsid w:val="0076564D"/>
    <w:rsid w:val="007768DA"/>
    <w:rsid w:val="007B1D3D"/>
    <w:rsid w:val="007B3D5D"/>
    <w:rsid w:val="007C2E90"/>
    <w:rsid w:val="007C42BD"/>
    <w:rsid w:val="007C6819"/>
    <w:rsid w:val="007D2600"/>
    <w:rsid w:val="007D3B2F"/>
    <w:rsid w:val="007D41F0"/>
    <w:rsid w:val="007D5640"/>
    <w:rsid w:val="007E3D89"/>
    <w:rsid w:val="007E3E7D"/>
    <w:rsid w:val="007E4A07"/>
    <w:rsid w:val="007E516D"/>
    <w:rsid w:val="00803370"/>
    <w:rsid w:val="00806DF8"/>
    <w:rsid w:val="00817F77"/>
    <w:rsid w:val="0082058D"/>
    <w:rsid w:val="00830448"/>
    <w:rsid w:val="00834C08"/>
    <w:rsid w:val="008409B8"/>
    <w:rsid w:val="00840BCC"/>
    <w:rsid w:val="00840F6D"/>
    <w:rsid w:val="00857F35"/>
    <w:rsid w:val="00863CF6"/>
    <w:rsid w:val="00866D88"/>
    <w:rsid w:val="008702A0"/>
    <w:rsid w:val="00871729"/>
    <w:rsid w:val="00872FDA"/>
    <w:rsid w:val="0087652D"/>
    <w:rsid w:val="008845C5"/>
    <w:rsid w:val="00891D2B"/>
    <w:rsid w:val="00892099"/>
    <w:rsid w:val="008B6507"/>
    <w:rsid w:val="008C1F31"/>
    <w:rsid w:val="008C3877"/>
    <w:rsid w:val="008D3B5D"/>
    <w:rsid w:val="008E6CE2"/>
    <w:rsid w:val="008F7548"/>
    <w:rsid w:val="0090019D"/>
    <w:rsid w:val="00911C1D"/>
    <w:rsid w:val="009135D4"/>
    <w:rsid w:val="009148A7"/>
    <w:rsid w:val="00930102"/>
    <w:rsid w:val="00950BD8"/>
    <w:rsid w:val="00953E9C"/>
    <w:rsid w:val="00971885"/>
    <w:rsid w:val="00974977"/>
    <w:rsid w:val="00996108"/>
    <w:rsid w:val="00996632"/>
    <w:rsid w:val="009B7096"/>
    <w:rsid w:val="009C0D8B"/>
    <w:rsid w:val="009C3689"/>
    <w:rsid w:val="009C613F"/>
    <w:rsid w:val="009C7546"/>
    <w:rsid w:val="009D3E45"/>
    <w:rsid w:val="009D53F6"/>
    <w:rsid w:val="009D6572"/>
    <w:rsid w:val="009E5601"/>
    <w:rsid w:val="009F1A88"/>
    <w:rsid w:val="009F50FB"/>
    <w:rsid w:val="009F6B97"/>
    <w:rsid w:val="00A12014"/>
    <w:rsid w:val="00A13144"/>
    <w:rsid w:val="00A206A2"/>
    <w:rsid w:val="00A3330E"/>
    <w:rsid w:val="00A35D7E"/>
    <w:rsid w:val="00A4085B"/>
    <w:rsid w:val="00A524FC"/>
    <w:rsid w:val="00A54883"/>
    <w:rsid w:val="00A7353D"/>
    <w:rsid w:val="00A747E9"/>
    <w:rsid w:val="00A75AA9"/>
    <w:rsid w:val="00A83E45"/>
    <w:rsid w:val="00A94265"/>
    <w:rsid w:val="00AA7187"/>
    <w:rsid w:val="00AB341A"/>
    <w:rsid w:val="00AB6F17"/>
    <w:rsid w:val="00AD76FD"/>
    <w:rsid w:val="00AD7782"/>
    <w:rsid w:val="00AE18D2"/>
    <w:rsid w:val="00AE6C95"/>
    <w:rsid w:val="00AF3869"/>
    <w:rsid w:val="00B055B5"/>
    <w:rsid w:val="00B12916"/>
    <w:rsid w:val="00B13DED"/>
    <w:rsid w:val="00B1474D"/>
    <w:rsid w:val="00B23806"/>
    <w:rsid w:val="00B260E8"/>
    <w:rsid w:val="00B30FE1"/>
    <w:rsid w:val="00B41096"/>
    <w:rsid w:val="00B61447"/>
    <w:rsid w:val="00B7095A"/>
    <w:rsid w:val="00B77E48"/>
    <w:rsid w:val="00B8118F"/>
    <w:rsid w:val="00B825DC"/>
    <w:rsid w:val="00B8547E"/>
    <w:rsid w:val="00BA1301"/>
    <w:rsid w:val="00BD7F92"/>
    <w:rsid w:val="00BF4506"/>
    <w:rsid w:val="00BF4D53"/>
    <w:rsid w:val="00C11A1E"/>
    <w:rsid w:val="00C13720"/>
    <w:rsid w:val="00C1659D"/>
    <w:rsid w:val="00C35AC8"/>
    <w:rsid w:val="00C4228B"/>
    <w:rsid w:val="00C42BC1"/>
    <w:rsid w:val="00C44A18"/>
    <w:rsid w:val="00C529F2"/>
    <w:rsid w:val="00C86F7D"/>
    <w:rsid w:val="00C939FE"/>
    <w:rsid w:val="00C95602"/>
    <w:rsid w:val="00CA020D"/>
    <w:rsid w:val="00CB54DA"/>
    <w:rsid w:val="00CC04CB"/>
    <w:rsid w:val="00CC1EA0"/>
    <w:rsid w:val="00CC21CD"/>
    <w:rsid w:val="00CD1C76"/>
    <w:rsid w:val="00CD48FD"/>
    <w:rsid w:val="00CE1F6E"/>
    <w:rsid w:val="00D50013"/>
    <w:rsid w:val="00D5634A"/>
    <w:rsid w:val="00D623D3"/>
    <w:rsid w:val="00D95D3A"/>
    <w:rsid w:val="00DA69E3"/>
    <w:rsid w:val="00DB088F"/>
    <w:rsid w:val="00DF66E4"/>
    <w:rsid w:val="00DF7583"/>
    <w:rsid w:val="00E01663"/>
    <w:rsid w:val="00E06DB6"/>
    <w:rsid w:val="00E167E7"/>
    <w:rsid w:val="00E2313E"/>
    <w:rsid w:val="00E55A40"/>
    <w:rsid w:val="00E64CFE"/>
    <w:rsid w:val="00E6630D"/>
    <w:rsid w:val="00E855FD"/>
    <w:rsid w:val="00E86AAE"/>
    <w:rsid w:val="00E87B7E"/>
    <w:rsid w:val="00E95BCB"/>
    <w:rsid w:val="00EA0074"/>
    <w:rsid w:val="00EA13BF"/>
    <w:rsid w:val="00EB23C8"/>
    <w:rsid w:val="00EC378D"/>
    <w:rsid w:val="00ED00AC"/>
    <w:rsid w:val="00EF19BE"/>
    <w:rsid w:val="00F0254E"/>
    <w:rsid w:val="00F03065"/>
    <w:rsid w:val="00F07226"/>
    <w:rsid w:val="00F10DA8"/>
    <w:rsid w:val="00F17290"/>
    <w:rsid w:val="00F342D2"/>
    <w:rsid w:val="00F5021A"/>
    <w:rsid w:val="00F526CB"/>
    <w:rsid w:val="00F53C4F"/>
    <w:rsid w:val="00F60646"/>
    <w:rsid w:val="00F676F4"/>
    <w:rsid w:val="00F80617"/>
    <w:rsid w:val="00F86EE9"/>
    <w:rsid w:val="00F94A78"/>
    <w:rsid w:val="00FC4EAD"/>
    <w:rsid w:val="00FD23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4DB7EE"/>
  <w15:chartTrackingRefBased/>
  <w15:docId w15:val="{9D3EDD1F-5024-4889-846A-7ADE42C96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22D3"/>
    <w:pPr>
      <w:spacing w:after="120"/>
    </w:pPr>
    <w:rPr>
      <w:color w:val="3C3C3E" w:themeColor="text2"/>
      <w:sz w:val="22"/>
    </w:rPr>
  </w:style>
  <w:style w:type="paragraph" w:styleId="Heading1">
    <w:name w:val="heading 1"/>
    <w:basedOn w:val="Normal"/>
    <w:next w:val="Normal"/>
    <w:link w:val="Heading1Char"/>
    <w:uiPriority w:val="9"/>
    <w:qFormat/>
    <w:rsid w:val="00330783"/>
    <w:pPr>
      <w:keepNext/>
      <w:keepLines/>
      <w:spacing w:before="24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unhideWhenUsed/>
    <w:qFormat/>
    <w:rsid w:val="00E06DB6"/>
    <w:pPr>
      <w:keepNext/>
      <w:keepLines/>
      <w:spacing w:before="40"/>
      <w:outlineLvl w:val="1"/>
    </w:pPr>
    <w:rPr>
      <w:rFonts w:ascii="Poppins SemiBold" w:eastAsiaTheme="majorEastAsia" w:hAnsi="Poppins SemiBold" w:cstheme="majorBidi"/>
      <w:color w:val="000000" w:themeColor="text1"/>
      <w:sz w:val="26"/>
      <w:szCs w:val="26"/>
    </w:rPr>
  </w:style>
  <w:style w:type="paragraph" w:styleId="Heading3">
    <w:name w:val="heading 3"/>
    <w:basedOn w:val="Normal"/>
    <w:next w:val="Normal"/>
    <w:link w:val="Heading3Char"/>
    <w:uiPriority w:val="9"/>
    <w:unhideWhenUsed/>
    <w:qFormat/>
    <w:rsid w:val="00E06DB6"/>
    <w:pPr>
      <w:keepNext/>
      <w:keepLines/>
      <w:spacing w:before="40"/>
      <w:outlineLvl w:val="2"/>
    </w:pPr>
    <w:rPr>
      <w:rFonts w:asciiTheme="majorHAnsi" w:eastAsiaTheme="majorEastAsia" w:hAnsiTheme="majorHAnsi" w:cstheme="majorBidi"/>
      <w:color w:val="000000" w:themeColor="text1"/>
    </w:rPr>
  </w:style>
  <w:style w:type="paragraph" w:styleId="Heading4">
    <w:name w:val="heading 4"/>
    <w:basedOn w:val="Normal"/>
    <w:next w:val="Normal"/>
    <w:link w:val="Heading4Char"/>
    <w:uiPriority w:val="9"/>
    <w:unhideWhenUsed/>
    <w:qFormat/>
    <w:rsid w:val="00E06DB6"/>
    <w:pPr>
      <w:keepNext/>
      <w:keepLines/>
      <w:spacing w:before="40"/>
      <w:outlineLvl w:val="3"/>
    </w:pPr>
    <w:rPr>
      <w:rFonts w:asciiTheme="majorHAnsi" w:eastAsiaTheme="majorEastAsia" w:hAnsiTheme="majorHAnsi" w:cstheme="majorBid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21A"/>
    <w:pPr>
      <w:tabs>
        <w:tab w:val="center" w:pos="4513"/>
        <w:tab w:val="right" w:pos="9026"/>
      </w:tabs>
    </w:pPr>
  </w:style>
  <w:style w:type="character" w:customStyle="1" w:styleId="HeaderChar">
    <w:name w:val="Header Char"/>
    <w:basedOn w:val="DefaultParagraphFont"/>
    <w:link w:val="Header"/>
    <w:uiPriority w:val="99"/>
    <w:rsid w:val="00F5021A"/>
  </w:style>
  <w:style w:type="paragraph" w:styleId="Footer">
    <w:name w:val="footer"/>
    <w:basedOn w:val="Normal"/>
    <w:link w:val="FooterChar"/>
    <w:uiPriority w:val="99"/>
    <w:unhideWhenUsed/>
    <w:rsid w:val="00F5021A"/>
    <w:pPr>
      <w:tabs>
        <w:tab w:val="center" w:pos="4513"/>
        <w:tab w:val="right" w:pos="9026"/>
      </w:tabs>
    </w:pPr>
  </w:style>
  <w:style w:type="character" w:customStyle="1" w:styleId="FooterChar">
    <w:name w:val="Footer Char"/>
    <w:basedOn w:val="DefaultParagraphFont"/>
    <w:link w:val="Footer"/>
    <w:uiPriority w:val="99"/>
    <w:rsid w:val="00F5021A"/>
  </w:style>
  <w:style w:type="character" w:customStyle="1" w:styleId="Heading1Char">
    <w:name w:val="Heading 1 Char"/>
    <w:basedOn w:val="DefaultParagraphFont"/>
    <w:link w:val="Heading1"/>
    <w:uiPriority w:val="9"/>
    <w:rsid w:val="00330783"/>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rsid w:val="00E06DB6"/>
    <w:rPr>
      <w:rFonts w:ascii="Poppins SemiBold" w:eastAsiaTheme="majorEastAsia" w:hAnsi="Poppins SemiBold" w:cstheme="majorBidi"/>
      <w:color w:val="000000" w:themeColor="text1"/>
      <w:sz w:val="26"/>
      <w:szCs w:val="26"/>
    </w:rPr>
  </w:style>
  <w:style w:type="character" w:customStyle="1" w:styleId="Heading3Char">
    <w:name w:val="Heading 3 Char"/>
    <w:basedOn w:val="DefaultParagraphFont"/>
    <w:link w:val="Heading3"/>
    <w:uiPriority w:val="9"/>
    <w:rsid w:val="00E06DB6"/>
    <w:rPr>
      <w:rFonts w:asciiTheme="majorHAnsi" w:eastAsiaTheme="majorEastAsia" w:hAnsiTheme="majorHAnsi" w:cstheme="majorBidi"/>
      <w:color w:val="000000" w:themeColor="text1"/>
      <w:sz w:val="22"/>
    </w:rPr>
  </w:style>
  <w:style w:type="paragraph" w:styleId="Title">
    <w:name w:val="Title"/>
    <w:basedOn w:val="Normal"/>
    <w:next w:val="Normal"/>
    <w:link w:val="TitleChar"/>
    <w:uiPriority w:val="10"/>
    <w:qFormat/>
    <w:rsid w:val="00E06DB6"/>
    <w:pPr>
      <w:contextualSpacing/>
    </w:pPr>
    <w:rPr>
      <w:rFonts w:asciiTheme="majorHAnsi" w:eastAsiaTheme="majorEastAsia" w:hAnsiTheme="majorHAnsi" w:cstheme="majorBidi"/>
      <w:b/>
      <w:color w:val="000000" w:themeColor="text1"/>
      <w:spacing w:val="-10"/>
      <w:kern w:val="28"/>
      <w:sz w:val="56"/>
      <w:szCs w:val="56"/>
    </w:rPr>
  </w:style>
  <w:style w:type="character" w:customStyle="1" w:styleId="TitleChar">
    <w:name w:val="Title Char"/>
    <w:basedOn w:val="DefaultParagraphFont"/>
    <w:link w:val="Title"/>
    <w:uiPriority w:val="10"/>
    <w:rsid w:val="00E06DB6"/>
    <w:rPr>
      <w:rFonts w:asciiTheme="majorHAnsi" w:eastAsiaTheme="majorEastAsia" w:hAnsiTheme="majorHAnsi" w:cstheme="majorBidi"/>
      <w:b/>
      <w:color w:val="000000" w:themeColor="text1"/>
      <w:spacing w:val="-10"/>
      <w:kern w:val="28"/>
      <w:sz w:val="56"/>
      <w:szCs w:val="56"/>
    </w:rPr>
  </w:style>
  <w:style w:type="paragraph" w:styleId="NoSpacing">
    <w:name w:val="No Spacing"/>
    <w:uiPriority w:val="1"/>
    <w:qFormat/>
    <w:rsid w:val="00E06DB6"/>
    <w:rPr>
      <w:color w:val="3C3C3E" w:themeColor="text2"/>
      <w:sz w:val="22"/>
    </w:rPr>
  </w:style>
  <w:style w:type="paragraph" w:styleId="Subtitle">
    <w:name w:val="Subtitle"/>
    <w:basedOn w:val="Normal"/>
    <w:next w:val="Normal"/>
    <w:link w:val="SubtitleChar"/>
    <w:uiPriority w:val="11"/>
    <w:qFormat/>
    <w:rsid w:val="00E06DB6"/>
    <w:pPr>
      <w:numPr>
        <w:ilvl w:val="1"/>
      </w:numPr>
      <w:spacing w:after="160"/>
    </w:pPr>
    <w:rPr>
      <w:rFonts w:ascii="Poppins SemiBold" w:eastAsiaTheme="minorEastAsia" w:hAnsi="Poppins SemiBold" w:cs="Times New Roman (Body CS)"/>
      <w:b/>
      <w:caps/>
      <w:color w:val="EC008C" w:themeColor="accent2"/>
      <w:spacing w:val="15"/>
      <w:szCs w:val="22"/>
    </w:rPr>
  </w:style>
  <w:style w:type="character" w:customStyle="1" w:styleId="SubtitleChar">
    <w:name w:val="Subtitle Char"/>
    <w:basedOn w:val="DefaultParagraphFont"/>
    <w:link w:val="Subtitle"/>
    <w:uiPriority w:val="11"/>
    <w:rsid w:val="00E06DB6"/>
    <w:rPr>
      <w:rFonts w:ascii="Poppins SemiBold" w:eastAsiaTheme="minorEastAsia" w:hAnsi="Poppins SemiBold" w:cs="Times New Roman (Body CS)"/>
      <w:b/>
      <w:caps/>
      <w:color w:val="EC008C" w:themeColor="accent2"/>
      <w:spacing w:val="15"/>
      <w:sz w:val="22"/>
      <w:szCs w:val="22"/>
    </w:rPr>
  </w:style>
  <w:style w:type="character" w:styleId="SubtleEmphasis">
    <w:name w:val="Subtle Emphasis"/>
    <w:basedOn w:val="DefaultParagraphFont"/>
    <w:uiPriority w:val="19"/>
    <w:qFormat/>
    <w:rsid w:val="001C5602"/>
    <w:rPr>
      <w:rFonts w:ascii="Poppins" w:hAnsi="Poppins"/>
      <w:b w:val="0"/>
      <w:i/>
      <w:iCs/>
      <w:color w:val="404040" w:themeColor="text1" w:themeTint="BF"/>
    </w:rPr>
  </w:style>
  <w:style w:type="character" w:customStyle="1" w:styleId="Heading4Char">
    <w:name w:val="Heading 4 Char"/>
    <w:basedOn w:val="DefaultParagraphFont"/>
    <w:link w:val="Heading4"/>
    <w:uiPriority w:val="9"/>
    <w:rsid w:val="00E06DB6"/>
    <w:rPr>
      <w:rFonts w:asciiTheme="majorHAnsi" w:eastAsiaTheme="majorEastAsia" w:hAnsiTheme="majorHAnsi" w:cstheme="majorBidi"/>
      <w:iCs/>
      <w:color w:val="000000" w:themeColor="text1"/>
      <w:sz w:val="22"/>
    </w:rPr>
  </w:style>
  <w:style w:type="character" w:styleId="Emphasis">
    <w:name w:val="Emphasis"/>
    <w:basedOn w:val="DefaultParagraphFont"/>
    <w:uiPriority w:val="20"/>
    <w:qFormat/>
    <w:rsid w:val="001C5602"/>
    <w:rPr>
      <w:rFonts w:ascii="Poppins" w:hAnsi="Poppins"/>
      <w:i/>
      <w:iCs/>
    </w:rPr>
  </w:style>
  <w:style w:type="character" w:styleId="IntenseEmphasis">
    <w:name w:val="Intense Emphasis"/>
    <w:basedOn w:val="DefaultParagraphFont"/>
    <w:uiPriority w:val="21"/>
    <w:qFormat/>
    <w:rsid w:val="001C5602"/>
    <w:rPr>
      <w:rFonts w:ascii="Poppins" w:hAnsi="Poppins"/>
      <w:i/>
      <w:iCs/>
      <w:color w:val="DEDFD8" w:themeColor="accent1"/>
    </w:rPr>
  </w:style>
  <w:style w:type="character" w:styleId="Strong">
    <w:name w:val="Strong"/>
    <w:basedOn w:val="DefaultParagraphFont"/>
    <w:uiPriority w:val="22"/>
    <w:qFormat/>
    <w:rsid w:val="001C5602"/>
    <w:rPr>
      <w:rFonts w:ascii="Poppins" w:hAnsi="Poppins"/>
      <w:b/>
      <w:bCs/>
    </w:rPr>
  </w:style>
  <w:style w:type="character" w:styleId="SubtleReference">
    <w:name w:val="Subtle Reference"/>
    <w:basedOn w:val="DefaultParagraphFont"/>
    <w:uiPriority w:val="31"/>
    <w:qFormat/>
    <w:rsid w:val="001C5602"/>
    <w:rPr>
      <w:rFonts w:ascii="Poppins" w:hAnsi="Poppins"/>
      <w:smallCaps/>
      <w:color w:val="5A5A5A" w:themeColor="text1" w:themeTint="A5"/>
    </w:rPr>
  </w:style>
  <w:style w:type="character" w:styleId="IntenseReference">
    <w:name w:val="Intense Reference"/>
    <w:basedOn w:val="DefaultParagraphFont"/>
    <w:uiPriority w:val="32"/>
    <w:qFormat/>
    <w:rsid w:val="001C5602"/>
    <w:rPr>
      <w:rFonts w:ascii="Poppins" w:hAnsi="Poppins"/>
      <w:b/>
      <w:bCs/>
      <w:smallCaps/>
      <w:color w:val="DEDFD8" w:themeColor="accent1"/>
      <w:spacing w:val="5"/>
    </w:rPr>
  </w:style>
  <w:style w:type="character" w:styleId="BookTitle">
    <w:name w:val="Book Title"/>
    <w:basedOn w:val="DefaultParagraphFont"/>
    <w:uiPriority w:val="33"/>
    <w:qFormat/>
    <w:rsid w:val="001C5602"/>
    <w:rPr>
      <w:rFonts w:ascii="Poppins" w:hAnsi="Poppins"/>
      <w:b/>
      <w:bCs/>
      <w:i/>
      <w:iCs/>
      <w:spacing w:val="5"/>
    </w:rPr>
  </w:style>
  <w:style w:type="paragraph" w:styleId="ListParagraph">
    <w:name w:val="List Paragraph"/>
    <w:basedOn w:val="Normal"/>
    <w:uiPriority w:val="34"/>
    <w:qFormat/>
    <w:rsid w:val="001C5602"/>
    <w:pPr>
      <w:ind w:left="720"/>
      <w:contextualSpacing/>
    </w:pPr>
  </w:style>
  <w:style w:type="character" w:styleId="Hyperlink">
    <w:name w:val="Hyperlink"/>
    <w:basedOn w:val="DefaultParagraphFont"/>
    <w:uiPriority w:val="99"/>
    <w:unhideWhenUsed/>
    <w:rsid w:val="0070304D"/>
    <w:rPr>
      <w:color w:val="EC008C" w:themeColor="hyperlink"/>
      <w:u w:val="single"/>
    </w:rPr>
  </w:style>
  <w:style w:type="character" w:styleId="UnresolvedMention">
    <w:name w:val="Unresolved Mention"/>
    <w:basedOn w:val="DefaultParagraphFont"/>
    <w:uiPriority w:val="99"/>
    <w:semiHidden/>
    <w:unhideWhenUsed/>
    <w:rsid w:val="0070304D"/>
    <w:rPr>
      <w:color w:val="605E5C"/>
      <w:shd w:val="clear" w:color="auto" w:fill="E1DFDD"/>
    </w:rPr>
  </w:style>
  <w:style w:type="character" w:styleId="FollowedHyperlink">
    <w:name w:val="FollowedHyperlink"/>
    <w:basedOn w:val="DefaultParagraphFont"/>
    <w:uiPriority w:val="99"/>
    <w:semiHidden/>
    <w:unhideWhenUsed/>
    <w:rsid w:val="007768DA"/>
    <w:rPr>
      <w:color w:val="D7007F" w:themeColor="followedHyperlink"/>
      <w:u w:val="single"/>
    </w:rPr>
  </w:style>
  <w:style w:type="paragraph" w:styleId="NormalWeb">
    <w:name w:val="Normal (Web)"/>
    <w:basedOn w:val="Normal"/>
    <w:uiPriority w:val="99"/>
    <w:semiHidden/>
    <w:unhideWhenUsed/>
    <w:rsid w:val="004B6E3F"/>
    <w:rPr>
      <w:rFonts w:ascii="Times New Roman" w:hAnsi="Times New Roman" w:cs="Times New Roman"/>
      <w:sz w:val="24"/>
    </w:rPr>
  </w:style>
  <w:style w:type="paragraph" w:styleId="Revision">
    <w:name w:val="Revision"/>
    <w:hidden/>
    <w:uiPriority w:val="99"/>
    <w:semiHidden/>
    <w:rsid w:val="0006095C"/>
    <w:rPr>
      <w:color w:val="3C3C3E" w:themeColor="text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525517">
      <w:bodyDiv w:val="1"/>
      <w:marLeft w:val="0"/>
      <w:marRight w:val="0"/>
      <w:marTop w:val="0"/>
      <w:marBottom w:val="0"/>
      <w:divBdr>
        <w:top w:val="none" w:sz="0" w:space="0" w:color="auto"/>
        <w:left w:val="none" w:sz="0" w:space="0" w:color="auto"/>
        <w:bottom w:val="none" w:sz="0" w:space="0" w:color="auto"/>
        <w:right w:val="none" w:sz="0" w:space="0" w:color="auto"/>
      </w:divBdr>
    </w:div>
    <w:div w:id="136459655">
      <w:bodyDiv w:val="1"/>
      <w:marLeft w:val="0"/>
      <w:marRight w:val="0"/>
      <w:marTop w:val="0"/>
      <w:marBottom w:val="0"/>
      <w:divBdr>
        <w:top w:val="none" w:sz="0" w:space="0" w:color="auto"/>
        <w:left w:val="none" w:sz="0" w:space="0" w:color="auto"/>
        <w:bottom w:val="none" w:sz="0" w:space="0" w:color="auto"/>
        <w:right w:val="none" w:sz="0" w:space="0" w:color="auto"/>
      </w:divBdr>
    </w:div>
    <w:div w:id="227695867">
      <w:bodyDiv w:val="1"/>
      <w:marLeft w:val="0"/>
      <w:marRight w:val="0"/>
      <w:marTop w:val="0"/>
      <w:marBottom w:val="0"/>
      <w:divBdr>
        <w:top w:val="none" w:sz="0" w:space="0" w:color="auto"/>
        <w:left w:val="none" w:sz="0" w:space="0" w:color="auto"/>
        <w:bottom w:val="none" w:sz="0" w:space="0" w:color="auto"/>
        <w:right w:val="none" w:sz="0" w:space="0" w:color="auto"/>
      </w:divBdr>
      <w:divsChild>
        <w:div w:id="1343818837">
          <w:marLeft w:val="446"/>
          <w:marRight w:val="0"/>
          <w:marTop w:val="0"/>
          <w:marBottom w:val="0"/>
          <w:divBdr>
            <w:top w:val="none" w:sz="0" w:space="0" w:color="auto"/>
            <w:left w:val="none" w:sz="0" w:space="0" w:color="auto"/>
            <w:bottom w:val="none" w:sz="0" w:space="0" w:color="auto"/>
            <w:right w:val="none" w:sz="0" w:space="0" w:color="auto"/>
          </w:divBdr>
        </w:div>
        <w:div w:id="121389544">
          <w:marLeft w:val="446"/>
          <w:marRight w:val="0"/>
          <w:marTop w:val="0"/>
          <w:marBottom w:val="0"/>
          <w:divBdr>
            <w:top w:val="none" w:sz="0" w:space="0" w:color="auto"/>
            <w:left w:val="none" w:sz="0" w:space="0" w:color="auto"/>
            <w:bottom w:val="none" w:sz="0" w:space="0" w:color="auto"/>
            <w:right w:val="none" w:sz="0" w:space="0" w:color="auto"/>
          </w:divBdr>
        </w:div>
        <w:div w:id="2060083139">
          <w:marLeft w:val="446"/>
          <w:marRight w:val="0"/>
          <w:marTop w:val="0"/>
          <w:marBottom w:val="0"/>
          <w:divBdr>
            <w:top w:val="none" w:sz="0" w:space="0" w:color="auto"/>
            <w:left w:val="none" w:sz="0" w:space="0" w:color="auto"/>
            <w:bottom w:val="none" w:sz="0" w:space="0" w:color="auto"/>
            <w:right w:val="none" w:sz="0" w:space="0" w:color="auto"/>
          </w:divBdr>
        </w:div>
        <w:div w:id="436945712">
          <w:marLeft w:val="446"/>
          <w:marRight w:val="0"/>
          <w:marTop w:val="0"/>
          <w:marBottom w:val="0"/>
          <w:divBdr>
            <w:top w:val="none" w:sz="0" w:space="0" w:color="auto"/>
            <w:left w:val="none" w:sz="0" w:space="0" w:color="auto"/>
            <w:bottom w:val="none" w:sz="0" w:space="0" w:color="auto"/>
            <w:right w:val="none" w:sz="0" w:space="0" w:color="auto"/>
          </w:divBdr>
        </w:div>
        <w:div w:id="1240752967">
          <w:marLeft w:val="446"/>
          <w:marRight w:val="0"/>
          <w:marTop w:val="0"/>
          <w:marBottom w:val="0"/>
          <w:divBdr>
            <w:top w:val="none" w:sz="0" w:space="0" w:color="auto"/>
            <w:left w:val="none" w:sz="0" w:space="0" w:color="auto"/>
            <w:bottom w:val="none" w:sz="0" w:space="0" w:color="auto"/>
            <w:right w:val="none" w:sz="0" w:space="0" w:color="auto"/>
          </w:divBdr>
        </w:div>
        <w:div w:id="1187332935">
          <w:marLeft w:val="446"/>
          <w:marRight w:val="0"/>
          <w:marTop w:val="0"/>
          <w:marBottom w:val="0"/>
          <w:divBdr>
            <w:top w:val="none" w:sz="0" w:space="0" w:color="auto"/>
            <w:left w:val="none" w:sz="0" w:space="0" w:color="auto"/>
            <w:bottom w:val="none" w:sz="0" w:space="0" w:color="auto"/>
            <w:right w:val="none" w:sz="0" w:space="0" w:color="auto"/>
          </w:divBdr>
        </w:div>
        <w:div w:id="320351468">
          <w:marLeft w:val="446"/>
          <w:marRight w:val="0"/>
          <w:marTop w:val="0"/>
          <w:marBottom w:val="0"/>
          <w:divBdr>
            <w:top w:val="none" w:sz="0" w:space="0" w:color="auto"/>
            <w:left w:val="none" w:sz="0" w:space="0" w:color="auto"/>
            <w:bottom w:val="none" w:sz="0" w:space="0" w:color="auto"/>
            <w:right w:val="none" w:sz="0" w:space="0" w:color="auto"/>
          </w:divBdr>
        </w:div>
        <w:div w:id="1245382082">
          <w:marLeft w:val="446"/>
          <w:marRight w:val="0"/>
          <w:marTop w:val="0"/>
          <w:marBottom w:val="0"/>
          <w:divBdr>
            <w:top w:val="none" w:sz="0" w:space="0" w:color="auto"/>
            <w:left w:val="none" w:sz="0" w:space="0" w:color="auto"/>
            <w:bottom w:val="none" w:sz="0" w:space="0" w:color="auto"/>
            <w:right w:val="none" w:sz="0" w:space="0" w:color="auto"/>
          </w:divBdr>
        </w:div>
        <w:div w:id="744572991">
          <w:marLeft w:val="446"/>
          <w:marRight w:val="0"/>
          <w:marTop w:val="0"/>
          <w:marBottom w:val="0"/>
          <w:divBdr>
            <w:top w:val="none" w:sz="0" w:space="0" w:color="auto"/>
            <w:left w:val="none" w:sz="0" w:space="0" w:color="auto"/>
            <w:bottom w:val="none" w:sz="0" w:space="0" w:color="auto"/>
            <w:right w:val="none" w:sz="0" w:space="0" w:color="auto"/>
          </w:divBdr>
        </w:div>
        <w:div w:id="394011970">
          <w:marLeft w:val="446"/>
          <w:marRight w:val="0"/>
          <w:marTop w:val="0"/>
          <w:marBottom w:val="0"/>
          <w:divBdr>
            <w:top w:val="none" w:sz="0" w:space="0" w:color="auto"/>
            <w:left w:val="none" w:sz="0" w:space="0" w:color="auto"/>
            <w:bottom w:val="none" w:sz="0" w:space="0" w:color="auto"/>
            <w:right w:val="none" w:sz="0" w:space="0" w:color="auto"/>
          </w:divBdr>
        </w:div>
        <w:div w:id="644550017">
          <w:marLeft w:val="446"/>
          <w:marRight w:val="0"/>
          <w:marTop w:val="0"/>
          <w:marBottom w:val="0"/>
          <w:divBdr>
            <w:top w:val="none" w:sz="0" w:space="0" w:color="auto"/>
            <w:left w:val="none" w:sz="0" w:space="0" w:color="auto"/>
            <w:bottom w:val="none" w:sz="0" w:space="0" w:color="auto"/>
            <w:right w:val="none" w:sz="0" w:space="0" w:color="auto"/>
          </w:divBdr>
        </w:div>
        <w:div w:id="1084912532">
          <w:marLeft w:val="446"/>
          <w:marRight w:val="0"/>
          <w:marTop w:val="0"/>
          <w:marBottom w:val="0"/>
          <w:divBdr>
            <w:top w:val="none" w:sz="0" w:space="0" w:color="auto"/>
            <w:left w:val="none" w:sz="0" w:space="0" w:color="auto"/>
            <w:bottom w:val="none" w:sz="0" w:space="0" w:color="auto"/>
            <w:right w:val="none" w:sz="0" w:space="0" w:color="auto"/>
          </w:divBdr>
        </w:div>
        <w:div w:id="2063209657">
          <w:marLeft w:val="446"/>
          <w:marRight w:val="0"/>
          <w:marTop w:val="0"/>
          <w:marBottom w:val="0"/>
          <w:divBdr>
            <w:top w:val="none" w:sz="0" w:space="0" w:color="auto"/>
            <w:left w:val="none" w:sz="0" w:space="0" w:color="auto"/>
            <w:bottom w:val="none" w:sz="0" w:space="0" w:color="auto"/>
            <w:right w:val="none" w:sz="0" w:space="0" w:color="auto"/>
          </w:divBdr>
        </w:div>
      </w:divsChild>
    </w:div>
    <w:div w:id="323704658">
      <w:bodyDiv w:val="1"/>
      <w:marLeft w:val="0"/>
      <w:marRight w:val="0"/>
      <w:marTop w:val="0"/>
      <w:marBottom w:val="0"/>
      <w:divBdr>
        <w:top w:val="none" w:sz="0" w:space="0" w:color="auto"/>
        <w:left w:val="none" w:sz="0" w:space="0" w:color="auto"/>
        <w:bottom w:val="none" w:sz="0" w:space="0" w:color="auto"/>
        <w:right w:val="none" w:sz="0" w:space="0" w:color="auto"/>
      </w:divBdr>
      <w:divsChild>
        <w:div w:id="1751391936">
          <w:marLeft w:val="360"/>
          <w:marRight w:val="0"/>
          <w:marTop w:val="200"/>
          <w:marBottom w:val="0"/>
          <w:divBdr>
            <w:top w:val="none" w:sz="0" w:space="0" w:color="auto"/>
            <w:left w:val="none" w:sz="0" w:space="0" w:color="auto"/>
            <w:bottom w:val="none" w:sz="0" w:space="0" w:color="auto"/>
            <w:right w:val="none" w:sz="0" w:space="0" w:color="auto"/>
          </w:divBdr>
        </w:div>
        <w:div w:id="1550454216">
          <w:marLeft w:val="360"/>
          <w:marRight w:val="0"/>
          <w:marTop w:val="200"/>
          <w:marBottom w:val="0"/>
          <w:divBdr>
            <w:top w:val="none" w:sz="0" w:space="0" w:color="auto"/>
            <w:left w:val="none" w:sz="0" w:space="0" w:color="auto"/>
            <w:bottom w:val="none" w:sz="0" w:space="0" w:color="auto"/>
            <w:right w:val="none" w:sz="0" w:space="0" w:color="auto"/>
          </w:divBdr>
        </w:div>
        <w:div w:id="175506420">
          <w:marLeft w:val="360"/>
          <w:marRight w:val="0"/>
          <w:marTop w:val="200"/>
          <w:marBottom w:val="0"/>
          <w:divBdr>
            <w:top w:val="none" w:sz="0" w:space="0" w:color="auto"/>
            <w:left w:val="none" w:sz="0" w:space="0" w:color="auto"/>
            <w:bottom w:val="none" w:sz="0" w:space="0" w:color="auto"/>
            <w:right w:val="none" w:sz="0" w:space="0" w:color="auto"/>
          </w:divBdr>
        </w:div>
        <w:div w:id="2129229075">
          <w:marLeft w:val="360"/>
          <w:marRight w:val="0"/>
          <w:marTop w:val="200"/>
          <w:marBottom w:val="0"/>
          <w:divBdr>
            <w:top w:val="none" w:sz="0" w:space="0" w:color="auto"/>
            <w:left w:val="none" w:sz="0" w:space="0" w:color="auto"/>
            <w:bottom w:val="none" w:sz="0" w:space="0" w:color="auto"/>
            <w:right w:val="none" w:sz="0" w:space="0" w:color="auto"/>
          </w:divBdr>
        </w:div>
        <w:div w:id="1847359437">
          <w:marLeft w:val="360"/>
          <w:marRight w:val="0"/>
          <w:marTop w:val="200"/>
          <w:marBottom w:val="0"/>
          <w:divBdr>
            <w:top w:val="none" w:sz="0" w:space="0" w:color="auto"/>
            <w:left w:val="none" w:sz="0" w:space="0" w:color="auto"/>
            <w:bottom w:val="none" w:sz="0" w:space="0" w:color="auto"/>
            <w:right w:val="none" w:sz="0" w:space="0" w:color="auto"/>
          </w:divBdr>
        </w:div>
      </w:divsChild>
    </w:div>
    <w:div w:id="477721880">
      <w:bodyDiv w:val="1"/>
      <w:marLeft w:val="0"/>
      <w:marRight w:val="0"/>
      <w:marTop w:val="0"/>
      <w:marBottom w:val="0"/>
      <w:divBdr>
        <w:top w:val="none" w:sz="0" w:space="0" w:color="auto"/>
        <w:left w:val="none" w:sz="0" w:space="0" w:color="auto"/>
        <w:bottom w:val="none" w:sz="0" w:space="0" w:color="auto"/>
        <w:right w:val="none" w:sz="0" w:space="0" w:color="auto"/>
      </w:divBdr>
      <w:divsChild>
        <w:div w:id="1458374861">
          <w:marLeft w:val="446"/>
          <w:marRight w:val="0"/>
          <w:marTop w:val="0"/>
          <w:marBottom w:val="0"/>
          <w:divBdr>
            <w:top w:val="none" w:sz="0" w:space="0" w:color="auto"/>
            <w:left w:val="none" w:sz="0" w:space="0" w:color="auto"/>
            <w:bottom w:val="none" w:sz="0" w:space="0" w:color="auto"/>
            <w:right w:val="none" w:sz="0" w:space="0" w:color="auto"/>
          </w:divBdr>
        </w:div>
        <w:div w:id="287317054">
          <w:marLeft w:val="446"/>
          <w:marRight w:val="0"/>
          <w:marTop w:val="0"/>
          <w:marBottom w:val="0"/>
          <w:divBdr>
            <w:top w:val="none" w:sz="0" w:space="0" w:color="auto"/>
            <w:left w:val="none" w:sz="0" w:space="0" w:color="auto"/>
            <w:bottom w:val="none" w:sz="0" w:space="0" w:color="auto"/>
            <w:right w:val="none" w:sz="0" w:space="0" w:color="auto"/>
          </w:divBdr>
        </w:div>
        <w:div w:id="529220784">
          <w:marLeft w:val="446"/>
          <w:marRight w:val="0"/>
          <w:marTop w:val="0"/>
          <w:marBottom w:val="0"/>
          <w:divBdr>
            <w:top w:val="none" w:sz="0" w:space="0" w:color="auto"/>
            <w:left w:val="none" w:sz="0" w:space="0" w:color="auto"/>
            <w:bottom w:val="none" w:sz="0" w:space="0" w:color="auto"/>
            <w:right w:val="none" w:sz="0" w:space="0" w:color="auto"/>
          </w:divBdr>
        </w:div>
        <w:div w:id="486171372">
          <w:marLeft w:val="446"/>
          <w:marRight w:val="0"/>
          <w:marTop w:val="0"/>
          <w:marBottom w:val="0"/>
          <w:divBdr>
            <w:top w:val="none" w:sz="0" w:space="0" w:color="auto"/>
            <w:left w:val="none" w:sz="0" w:space="0" w:color="auto"/>
            <w:bottom w:val="none" w:sz="0" w:space="0" w:color="auto"/>
            <w:right w:val="none" w:sz="0" w:space="0" w:color="auto"/>
          </w:divBdr>
        </w:div>
        <w:div w:id="512260356">
          <w:marLeft w:val="446"/>
          <w:marRight w:val="0"/>
          <w:marTop w:val="0"/>
          <w:marBottom w:val="0"/>
          <w:divBdr>
            <w:top w:val="none" w:sz="0" w:space="0" w:color="auto"/>
            <w:left w:val="none" w:sz="0" w:space="0" w:color="auto"/>
            <w:bottom w:val="none" w:sz="0" w:space="0" w:color="auto"/>
            <w:right w:val="none" w:sz="0" w:space="0" w:color="auto"/>
          </w:divBdr>
        </w:div>
        <w:div w:id="1538348033">
          <w:marLeft w:val="446"/>
          <w:marRight w:val="0"/>
          <w:marTop w:val="0"/>
          <w:marBottom w:val="0"/>
          <w:divBdr>
            <w:top w:val="none" w:sz="0" w:space="0" w:color="auto"/>
            <w:left w:val="none" w:sz="0" w:space="0" w:color="auto"/>
            <w:bottom w:val="none" w:sz="0" w:space="0" w:color="auto"/>
            <w:right w:val="none" w:sz="0" w:space="0" w:color="auto"/>
          </w:divBdr>
        </w:div>
      </w:divsChild>
    </w:div>
    <w:div w:id="545261322">
      <w:bodyDiv w:val="1"/>
      <w:marLeft w:val="0"/>
      <w:marRight w:val="0"/>
      <w:marTop w:val="0"/>
      <w:marBottom w:val="0"/>
      <w:divBdr>
        <w:top w:val="none" w:sz="0" w:space="0" w:color="auto"/>
        <w:left w:val="none" w:sz="0" w:space="0" w:color="auto"/>
        <w:bottom w:val="none" w:sz="0" w:space="0" w:color="auto"/>
        <w:right w:val="none" w:sz="0" w:space="0" w:color="auto"/>
      </w:divBdr>
    </w:div>
    <w:div w:id="863246806">
      <w:bodyDiv w:val="1"/>
      <w:marLeft w:val="0"/>
      <w:marRight w:val="0"/>
      <w:marTop w:val="0"/>
      <w:marBottom w:val="0"/>
      <w:divBdr>
        <w:top w:val="none" w:sz="0" w:space="0" w:color="auto"/>
        <w:left w:val="none" w:sz="0" w:space="0" w:color="auto"/>
        <w:bottom w:val="none" w:sz="0" w:space="0" w:color="auto"/>
        <w:right w:val="none" w:sz="0" w:space="0" w:color="auto"/>
      </w:divBdr>
    </w:div>
    <w:div w:id="964769935">
      <w:bodyDiv w:val="1"/>
      <w:marLeft w:val="0"/>
      <w:marRight w:val="0"/>
      <w:marTop w:val="0"/>
      <w:marBottom w:val="0"/>
      <w:divBdr>
        <w:top w:val="none" w:sz="0" w:space="0" w:color="auto"/>
        <w:left w:val="none" w:sz="0" w:space="0" w:color="auto"/>
        <w:bottom w:val="none" w:sz="0" w:space="0" w:color="auto"/>
        <w:right w:val="none" w:sz="0" w:space="0" w:color="auto"/>
      </w:divBdr>
    </w:div>
    <w:div w:id="1793742644">
      <w:bodyDiv w:val="1"/>
      <w:marLeft w:val="0"/>
      <w:marRight w:val="0"/>
      <w:marTop w:val="0"/>
      <w:marBottom w:val="0"/>
      <w:divBdr>
        <w:top w:val="none" w:sz="0" w:space="0" w:color="auto"/>
        <w:left w:val="none" w:sz="0" w:space="0" w:color="auto"/>
        <w:bottom w:val="none" w:sz="0" w:space="0" w:color="auto"/>
        <w:right w:val="none" w:sz="0" w:space="0" w:color="auto"/>
      </w:divBdr>
      <w:divsChild>
        <w:div w:id="445738939">
          <w:marLeft w:val="0"/>
          <w:marRight w:val="0"/>
          <w:marTop w:val="0"/>
          <w:marBottom w:val="0"/>
          <w:divBdr>
            <w:top w:val="none" w:sz="0" w:space="0" w:color="auto"/>
            <w:left w:val="none" w:sz="0" w:space="0" w:color="auto"/>
            <w:bottom w:val="none" w:sz="0" w:space="0" w:color="auto"/>
            <w:right w:val="none" w:sz="0" w:space="0" w:color="auto"/>
          </w:divBdr>
        </w:div>
        <w:div w:id="1782650461">
          <w:marLeft w:val="0"/>
          <w:marRight w:val="0"/>
          <w:marTop w:val="0"/>
          <w:marBottom w:val="0"/>
          <w:divBdr>
            <w:top w:val="none" w:sz="0" w:space="0" w:color="auto"/>
            <w:left w:val="none" w:sz="0" w:space="0" w:color="auto"/>
            <w:bottom w:val="none" w:sz="0" w:space="0" w:color="auto"/>
            <w:right w:val="none" w:sz="0" w:space="0" w:color="auto"/>
          </w:divBdr>
        </w:div>
      </w:divsChild>
    </w:div>
    <w:div w:id="1803768201">
      <w:bodyDiv w:val="1"/>
      <w:marLeft w:val="0"/>
      <w:marRight w:val="0"/>
      <w:marTop w:val="0"/>
      <w:marBottom w:val="0"/>
      <w:divBdr>
        <w:top w:val="none" w:sz="0" w:space="0" w:color="auto"/>
        <w:left w:val="none" w:sz="0" w:space="0" w:color="auto"/>
        <w:bottom w:val="none" w:sz="0" w:space="0" w:color="auto"/>
        <w:right w:val="none" w:sz="0" w:space="0" w:color="auto"/>
      </w:divBdr>
    </w:div>
    <w:div w:id="2007438670">
      <w:bodyDiv w:val="1"/>
      <w:marLeft w:val="0"/>
      <w:marRight w:val="0"/>
      <w:marTop w:val="0"/>
      <w:marBottom w:val="0"/>
      <w:divBdr>
        <w:top w:val="none" w:sz="0" w:space="0" w:color="auto"/>
        <w:left w:val="none" w:sz="0" w:space="0" w:color="auto"/>
        <w:bottom w:val="none" w:sz="0" w:space="0" w:color="auto"/>
        <w:right w:val="none" w:sz="0" w:space="0" w:color="auto"/>
      </w:divBdr>
      <w:divsChild>
        <w:div w:id="1583949740">
          <w:marLeft w:val="0"/>
          <w:marRight w:val="0"/>
          <w:marTop w:val="0"/>
          <w:marBottom w:val="0"/>
          <w:divBdr>
            <w:top w:val="none" w:sz="0" w:space="0" w:color="auto"/>
            <w:left w:val="none" w:sz="0" w:space="0" w:color="auto"/>
            <w:bottom w:val="none" w:sz="0" w:space="0" w:color="auto"/>
            <w:right w:val="none" w:sz="0" w:space="0" w:color="auto"/>
          </w:divBdr>
        </w:div>
        <w:div w:id="1981956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pysubmissions@rba.gov.au"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Mint Payments 2023">
      <a:dk1>
        <a:srgbClr val="000000"/>
      </a:dk1>
      <a:lt1>
        <a:srgbClr val="FFFFFF"/>
      </a:lt1>
      <a:dk2>
        <a:srgbClr val="3C3C3E"/>
      </a:dk2>
      <a:lt2>
        <a:srgbClr val="F8F8F8"/>
      </a:lt2>
      <a:accent1>
        <a:srgbClr val="DEDFD8"/>
      </a:accent1>
      <a:accent2>
        <a:srgbClr val="EC008C"/>
      </a:accent2>
      <a:accent3>
        <a:srgbClr val="3C3C3E"/>
      </a:accent3>
      <a:accent4>
        <a:srgbClr val="D1E9D3"/>
      </a:accent4>
      <a:accent5>
        <a:srgbClr val="000000"/>
      </a:accent5>
      <a:accent6>
        <a:srgbClr val="F8F8F8"/>
      </a:accent6>
      <a:hlink>
        <a:srgbClr val="EC008C"/>
      </a:hlink>
      <a:folHlink>
        <a:srgbClr val="D7007F"/>
      </a:folHlink>
    </a:clrScheme>
    <a:fontScheme name="Poppins">
      <a:majorFont>
        <a:latin typeface="Poppins SemiBold"/>
        <a:ea typeface=""/>
        <a:cs typeface=""/>
      </a:majorFont>
      <a:minorFont>
        <a:latin typeface="Poppi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7b29834-ad1e-406d-ae1c-5f4c0ef6752f">
      <Terms xmlns="http://schemas.microsoft.com/office/infopath/2007/PartnerControls"/>
    </lcf76f155ced4ddcb4097134ff3c332f>
    <TaxCatchAll xmlns="a5e82266-de21-435c-ada2-4c405593538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483DBAAF95C047B42CDA71C91D4857" ma:contentTypeVersion="17" ma:contentTypeDescription="Create a new document." ma:contentTypeScope="" ma:versionID="43b7d2a2da0635e76c8ba54515a03a24">
  <xsd:schema xmlns:xsd="http://www.w3.org/2001/XMLSchema" xmlns:xs="http://www.w3.org/2001/XMLSchema" xmlns:p="http://schemas.microsoft.com/office/2006/metadata/properties" xmlns:ns2="a5e82266-de21-435c-ada2-4c4055935385" xmlns:ns3="27b29834-ad1e-406d-ae1c-5f4c0ef6752f" targetNamespace="http://schemas.microsoft.com/office/2006/metadata/properties" ma:root="true" ma:fieldsID="aa92fa9c57a4f50d9beada283c566116" ns2:_="" ns3:_="">
    <xsd:import namespace="a5e82266-de21-435c-ada2-4c4055935385"/>
    <xsd:import namespace="27b29834-ad1e-406d-ae1c-5f4c0ef6752f"/>
    <xsd:element name="properties">
      <xsd:complexType>
        <xsd:sequence>
          <xsd:element name="documentManagement">
            <xsd:complexType>
              <xsd:all>
                <xsd:element ref="ns2:SharedWithUsers" minOccurs="0"/>
                <xsd:element ref="ns2:SharedWithDetails" minOccurs="0"/>
                <xsd:element ref="ns3:lcf76f155ced4ddcb4097134ff3c332f" minOccurs="0"/>
                <xsd:element ref="ns2:TaxCatchAll" minOccurs="0"/>
                <xsd:element ref="ns3:MediaServiceMetadata" minOccurs="0"/>
                <xsd:element ref="ns3:MediaServiceFastMetadata"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AutoKeyPoints" minOccurs="0"/>
                <xsd:element ref="ns3:MediaServiceKeyPoints" minOccurs="0"/>
                <xsd:element ref="ns3:MediaServiceLocation"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e82266-de21-435c-ada2-4c405593538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dbd78c15-ea46-4e1b-a8da-6ec8647959cc}" ma:internalName="TaxCatchAll" ma:showField="CatchAllData" ma:web="a5e82266-de21-435c-ada2-4c405593538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b29834-ad1e-406d-ae1c-5f4c0ef6752f" elementFormDefault="qualified">
    <xsd:import namespace="http://schemas.microsoft.com/office/2006/documentManagement/types"/>
    <xsd:import namespace="http://schemas.microsoft.com/office/infopath/2007/PartnerControls"/>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e61f21e-9252-4aba-8f1c-7de5866c9799"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BE95A2-C572-4796-AFE4-329D6F6BAFA8}">
  <ds:schemaRefs>
    <ds:schemaRef ds:uri="http://schemas.microsoft.com/office/2006/metadata/properties"/>
    <ds:schemaRef ds:uri="http://schemas.microsoft.com/office/infopath/2007/PartnerControls"/>
    <ds:schemaRef ds:uri="27b29834-ad1e-406d-ae1c-5f4c0ef6752f"/>
    <ds:schemaRef ds:uri="a5e82266-de21-435c-ada2-4c4055935385"/>
  </ds:schemaRefs>
</ds:datastoreItem>
</file>

<file path=customXml/itemProps2.xml><?xml version="1.0" encoding="utf-8"?>
<ds:datastoreItem xmlns:ds="http://schemas.openxmlformats.org/officeDocument/2006/customXml" ds:itemID="{40659E6D-5FD6-45B8-98F6-858D6F788771}">
  <ds:schemaRefs>
    <ds:schemaRef ds:uri="http://schemas.microsoft.com/sharepoint/v3/contenttype/forms"/>
  </ds:schemaRefs>
</ds:datastoreItem>
</file>

<file path=customXml/itemProps3.xml><?xml version="1.0" encoding="utf-8"?>
<ds:datastoreItem xmlns:ds="http://schemas.openxmlformats.org/officeDocument/2006/customXml" ds:itemID="{33C22976-392E-463B-A1C8-41E4A62DA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e82266-de21-435c-ada2-4c4055935385"/>
    <ds:schemaRef ds:uri="27b29834-ad1e-406d-ae1c-5f4c0ef675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13</Pages>
  <Words>4147</Words>
  <Characters>24763</Characters>
  <Application>Microsoft Office Word</Application>
  <DocSecurity>0</DocSecurity>
  <Lines>515</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Swan</dc:creator>
  <cp:keywords/>
  <dc:description/>
  <cp:lastModifiedBy>WONG, Sally</cp:lastModifiedBy>
  <cp:revision>4</cp:revision>
  <dcterms:created xsi:type="dcterms:W3CDTF">2025-08-26T07:20:00Z</dcterms:created>
  <dcterms:modified xsi:type="dcterms:W3CDTF">2025-09-04T01:04:00Z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0x0101008B483DBAAF95C047B42CDA71C91D4857</vt:lpwstr>
  </property>
  <property fmtid="{D5CDD505-2E9C-101B-9397-08002B2CF9AE}" pid="3" name="MediaServiceImageTags">
    <vt:lpwstr/>
  </property>
  <property fmtid="{D5CDD505-2E9C-101B-9397-08002B2CF9AE}" pid="4" name="GrammarlyDocumentId">
    <vt:lpwstr>69865ac91cff913ef972cb5a953f20bd5bb98d66a509a137ff439767cb192785</vt:lpwstr>
  </property>
</Properties>
</file>