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C10A5" w14:textId="77777777" w:rsidR="0080341F" w:rsidRPr="0080341F" w:rsidRDefault="0080341F" w:rsidP="0080341F">
      <w:r w:rsidRPr="0080341F">
        <w:t>I appreciate the opportunity to provide feedback on the RBA’s review of retail payments regulation and merchant surcharging.</w:t>
      </w:r>
    </w:p>
    <w:p w14:paraId="3F874788" w14:textId="77777777" w:rsidR="0080341F" w:rsidRPr="0080341F" w:rsidRDefault="0080341F" w:rsidP="0080341F">
      <w:r w:rsidRPr="0080341F">
        <w:pict w14:anchorId="683051FC">
          <v:rect id="_x0000_i1049" style="width:468pt;height:1.2pt" o:hralign="center" o:hrstd="t" o:hr="t" fillcolor="#a0a0a0" stroked="f"/>
        </w:pict>
      </w:r>
    </w:p>
    <w:p w14:paraId="43D01216" w14:textId="77777777" w:rsidR="0080341F" w:rsidRPr="0080341F" w:rsidRDefault="0080341F" w:rsidP="0080341F">
      <w:pPr>
        <w:rPr>
          <w:b/>
          <w:bCs/>
        </w:rPr>
      </w:pPr>
      <w:r w:rsidRPr="0080341F">
        <w:rPr>
          <w:b/>
          <w:bCs/>
        </w:rPr>
        <w:t>1. Review and Cap of Underlying Processing Costs</w:t>
      </w:r>
    </w:p>
    <w:p w14:paraId="20529C21" w14:textId="77777777" w:rsidR="0080341F" w:rsidRPr="0080341F" w:rsidRDefault="0080341F" w:rsidP="0080341F">
      <w:r w:rsidRPr="0080341F">
        <w:t>The current structure of merchant service fees (MSFs) disproportionately benefits banks and card schemes, with a significant share of these costs funding credit card rewards programs rather than reflecting true processing costs. The result is a regressive system where higher-income consumers, who typically use premium rewards cards, benefit at the expense of lower-income consumers, who use basic cards that attract minimal scheme fees. Yet merchants are generally charged an averaged fee across all card types, which they then recover via surcharges. In effect, those least able to afford it are subsidising those who are better off.</w:t>
      </w:r>
    </w:p>
    <w:p w14:paraId="1C3C5211" w14:textId="77777777" w:rsidR="0080341F" w:rsidRPr="0080341F" w:rsidRDefault="0080341F" w:rsidP="0080341F">
      <w:r w:rsidRPr="0080341F">
        <w:rPr>
          <w:b/>
          <w:bCs/>
        </w:rPr>
        <w:t>Recommendation:</w:t>
      </w:r>
      <w:r w:rsidRPr="0080341F">
        <w:t xml:space="preserve"> The RBA should review and significantly cap, or ideally eliminate, the excessive components of processing fees to ensure charges are tied to genuine costs of acceptance, not rewards programs.</w:t>
      </w:r>
    </w:p>
    <w:p w14:paraId="512512DE" w14:textId="77777777" w:rsidR="0080341F" w:rsidRPr="0080341F" w:rsidRDefault="0080341F" w:rsidP="0080341F">
      <w:r w:rsidRPr="0080341F">
        <w:pict w14:anchorId="20C63133">
          <v:rect id="_x0000_i1050" style="width:468pt;height:1.2pt" o:hralign="center" o:hrstd="t" o:hr="t" fillcolor="#a0a0a0" stroked="f"/>
        </w:pict>
      </w:r>
    </w:p>
    <w:p w14:paraId="1651AD70" w14:textId="77777777" w:rsidR="0080341F" w:rsidRPr="0080341F" w:rsidRDefault="0080341F" w:rsidP="0080341F">
      <w:pPr>
        <w:rPr>
          <w:b/>
          <w:bCs/>
        </w:rPr>
      </w:pPr>
      <w:r w:rsidRPr="0080341F">
        <w:rPr>
          <w:b/>
          <w:bCs/>
        </w:rPr>
        <w:t>2. Misaligned Incentives in Surcharging</w:t>
      </w:r>
    </w:p>
    <w:p w14:paraId="56774C8C" w14:textId="77777777" w:rsidR="0080341F" w:rsidRPr="0080341F" w:rsidRDefault="0080341F" w:rsidP="0080341F">
      <w:r w:rsidRPr="0080341F">
        <w:t>Current rules allow merchants to pass on the full MSF to consumers, but consumers have no ability to negotiate fees with their bank. This arrangement removes pressure on merchants to negotiate lower fees with their acquirers. The result is evident in steadily rising surcharge levels in recent years, the RBA should investigate the average total cost of acceptance being charged by all providers which will prove this point.</w:t>
      </w:r>
    </w:p>
    <w:p w14:paraId="39C06CCE" w14:textId="77777777" w:rsidR="0080341F" w:rsidRPr="0080341F" w:rsidRDefault="0080341F" w:rsidP="0080341F">
      <w:r w:rsidRPr="0080341F">
        <w:t>Further, the complexity of setting surcharge amounts creates an additional administrative burden for merchants. Under current rules, merchants must calculate surcharges based on the average cost by card type (e.g. Mastercard Debit, Mastercard Credit, Visa Debit, Visa Credit, EFTPOS) and by merchant facility (i.e. location-specific rather than across the group). This complexity incentivises merchants to adopt flat-fee models promoted by merchant providers, including the major banks. These flat-fee models set a single rate across all payment types, which is higher on average than the cost of acceptance under the traditional model.</w:t>
      </w:r>
    </w:p>
    <w:p w14:paraId="261ADB6D" w14:textId="77777777" w:rsidR="0080341F" w:rsidRPr="0080341F" w:rsidRDefault="0080341F" w:rsidP="0080341F">
      <w:r w:rsidRPr="0080341F">
        <w:t>While this reduces compliance risk and simplifies administration for merchants, it results in a higher dollar cost for consumers, with the merchant providers retaining the benefit. The irony is that a framework designed to prevent consumers from overpaying surcharge fees, and to stop merchants from profiting, has instead delivered the opposite outcome: consumers now pay more, while providers profit.</w:t>
      </w:r>
    </w:p>
    <w:p w14:paraId="6F60AE1A" w14:textId="77777777" w:rsidR="0080341F" w:rsidRPr="0080341F" w:rsidRDefault="0080341F" w:rsidP="0080341F">
      <w:r w:rsidRPr="0080341F">
        <w:rPr>
          <w:b/>
          <w:bCs/>
        </w:rPr>
        <w:t>Recommendation:</w:t>
      </w:r>
      <w:r w:rsidRPr="0080341F">
        <w:t xml:space="preserve"> The framework should be amended to ensure that merchants retain incentives to seek lower cost providers, rather than simply passing through fees in full or defaulting to flat-fee models. One option is to cap surcharge levels below the MSF, forcing acquirers and merchants alike to find efficiency gains while reducing complexity for merchants.</w:t>
      </w:r>
    </w:p>
    <w:p w14:paraId="6B03FC8D" w14:textId="77777777" w:rsidR="0080341F" w:rsidRPr="0080341F" w:rsidRDefault="0080341F" w:rsidP="0080341F">
      <w:r w:rsidRPr="0080341F">
        <w:pict w14:anchorId="6E5A46A5">
          <v:rect id="_x0000_i1051" style="width:468pt;height:1.2pt" o:hralign="center" o:hrstd="t" o:hr="t" fillcolor="#a0a0a0" stroked="f"/>
        </w:pict>
      </w:r>
    </w:p>
    <w:p w14:paraId="12FC96A6" w14:textId="77777777" w:rsidR="0080341F" w:rsidRPr="0080341F" w:rsidRDefault="0080341F" w:rsidP="0080341F">
      <w:pPr>
        <w:rPr>
          <w:b/>
          <w:bCs/>
        </w:rPr>
      </w:pPr>
      <w:r w:rsidRPr="0080341F">
        <w:rPr>
          <w:b/>
          <w:bCs/>
        </w:rPr>
        <w:t>3. Bundling and Misuse of Merchant Service Fees</w:t>
      </w:r>
    </w:p>
    <w:p w14:paraId="7F2C27A8" w14:textId="77777777" w:rsidR="0080341F" w:rsidRPr="0080341F" w:rsidRDefault="0080341F" w:rsidP="0080341F">
      <w:r w:rsidRPr="0080341F">
        <w:t xml:space="preserve">Providers like </w:t>
      </w:r>
      <w:proofErr w:type="spellStart"/>
      <w:r w:rsidRPr="0080341F">
        <w:t>Oolio</w:t>
      </w:r>
      <w:proofErr w:type="spellEnd"/>
      <w:r w:rsidRPr="0080341F">
        <w:t xml:space="preserve"> Payments and similar solutions market “zero merchant fees” or “no month-to-month card payment fees” as major selling points. </w:t>
      </w:r>
      <w:proofErr w:type="gramStart"/>
      <w:r w:rsidRPr="0080341F">
        <w:t>In reality, they</w:t>
      </w:r>
      <w:proofErr w:type="gramEnd"/>
      <w:r w:rsidRPr="0080341F">
        <w:t xml:space="preserve"> bundle software and </w:t>
      </w:r>
      <w:r w:rsidRPr="0080341F">
        <w:lastRenderedPageBreak/>
        <w:t xml:space="preserve">hardware costs into a blended surcharge (often around 1.5%–1.6%) that is passed on to consumers. One of many examples of this is in the hospitality space where </w:t>
      </w:r>
      <w:proofErr w:type="spellStart"/>
      <w:r w:rsidRPr="0080341F">
        <w:t>Oolio</w:t>
      </w:r>
      <w:proofErr w:type="spellEnd"/>
      <w:r w:rsidRPr="0080341F">
        <w:t xml:space="preserve"> Payments and </w:t>
      </w:r>
      <w:proofErr w:type="spellStart"/>
      <w:r w:rsidRPr="0080341F">
        <w:t>myPos</w:t>
      </w:r>
      <w:proofErr w:type="spellEnd"/>
      <w:r w:rsidRPr="0080341F">
        <w:t xml:space="preserve"> provides the </w:t>
      </w:r>
      <w:proofErr w:type="spellStart"/>
      <w:r w:rsidRPr="0080341F">
        <w:t>myPOS</w:t>
      </w:r>
      <w:proofErr w:type="spellEnd"/>
      <w:r w:rsidRPr="0080341F">
        <w:t xml:space="preserve"> software and hardware to the merchant for free and they recoup this cost via a higher MSF charge of 1.6%. This is a win for the merchant and a loss for the consumer who is now not only directly paying for the cost of acceptance but also paying for the Point of Sales and merchant terminals.</w:t>
      </w:r>
    </w:p>
    <w:p w14:paraId="5BFA5190" w14:textId="77777777" w:rsidR="0080341F" w:rsidRPr="0080341F" w:rsidRDefault="0080341F" w:rsidP="0080341F">
      <w:r w:rsidRPr="0080341F">
        <w:t xml:space="preserve">This contrasts sharply with standard bank facilities where the average cost of acceptance is closer to 0.75% across all card types for these larger operators who have bargaining power with the banks. Merchants have now stopped pushing merchant service </w:t>
      </w:r>
      <w:proofErr w:type="spellStart"/>
      <w:r w:rsidRPr="0080341F">
        <w:t>fess</w:t>
      </w:r>
      <w:proofErr w:type="spellEnd"/>
      <w:r w:rsidRPr="0080341F">
        <w:t xml:space="preserve"> and are ambivalent when they are increased as they are directly passed onto the consumer.</w:t>
      </w:r>
    </w:p>
    <w:p w14:paraId="2D17F321" w14:textId="77777777" w:rsidR="0080341F" w:rsidRPr="0080341F" w:rsidRDefault="0080341F" w:rsidP="0080341F">
      <w:r w:rsidRPr="0080341F">
        <w:rPr>
          <w:b/>
          <w:bCs/>
        </w:rPr>
        <w:t>Why this matters</w:t>
      </w:r>
      <w:r w:rsidRPr="0080341F">
        <w:t>:</w:t>
      </w:r>
    </w:p>
    <w:p w14:paraId="0AD70F76" w14:textId="77777777" w:rsidR="0080341F" w:rsidRPr="0080341F" w:rsidRDefault="0080341F" w:rsidP="0080341F">
      <w:pPr>
        <w:numPr>
          <w:ilvl w:val="0"/>
          <w:numId w:val="1"/>
        </w:numPr>
      </w:pPr>
      <w:r w:rsidRPr="0080341F">
        <w:t>It obscures the true cost of payment processing and blurs the line between hardware/software provisioning and genuine transaction fees.</w:t>
      </w:r>
    </w:p>
    <w:p w14:paraId="7778C681" w14:textId="77777777" w:rsidR="0080341F" w:rsidRPr="0080341F" w:rsidRDefault="0080341F" w:rsidP="0080341F">
      <w:pPr>
        <w:numPr>
          <w:ilvl w:val="0"/>
          <w:numId w:val="1"/>
        </w:numPr>
      </w:pPr>
      <w:r w:rsidRPr="0080341F">
        <w:t>It reduces competitive pressure and transparency meaning that merchants and consumers may struggle to compare actual costs across providers.</w:t>
      </w:r>
    </w:p>
    <w:p w14:paraId="6F643C3F" w14:textId="77777777" w:rsidR="0080341F" w:rsidRPr="0080341F" w:rsidRDefault="0080341F" w:rsidP="0080341F">
      <w:pPr>
        <w:numPr>
          <w:ilvl w:val="0"/>
          <w:numId w:val="1"/>
        </w:numPr>
      </w:pPr>
      <w:r w:rsidRPr="0080341F">
        <w:t>It creates regressive outcomes for consumers, who ultimately bear higher surcharges to cover unrelated costs.</w:t>
      </w:r>
    </w:p>
    <w:p w14:paraId="7368209D" w14:textId="77777777" w:rsidR="0080341F" w:rsidRPr="0080341F" w:rsidRDefault="0080341F" w:rsidP="0080341F">
      <w:r w:rsidRPr="0080341F">
        <w:rPr>
          <w:b/>
          <w:bCs/>
        </w:rPr>
        <w:t>Recommendations:</w:t>
      </w:r>
    </w:p>
    <w:p w14:paraId="7CB81E3E" w14:textId="77777777" w:rsidR="0080341F" w:rsidRPr="0080341F" w:rsidRDefault="0080341F" w:rsidP="0080341F">
      <w:pPr>
        <w:numPr>
          <w:ilvl w:val="0"/>
          <w:numId w:val="2"/>
        </w:numPr>
      </w:pPr>
      <w:r w:rsidRPr="0080341F">
        <w:rPr>
          <w:b/>
          <w:bCs/>
        </w:rPr>
        <w:t>Review commercial agreements</w:t>
      </w:r>
      <w:r w:rsidRPr="0080341F">
        <w:t xml:space="preserve">: The RBA should undertake a detailed review of the commercial agreements that providers </w:t>
      </w:r>
      <w:proofErr w:type="spellStart"/>
      <w:proofErr w:type="gramStart"/>
      <w:r w:rsidRPr="0080341F">
        <w:t>non bank</w:t>
      </w:r>
      <w:proofErr w:type="spellEnd"/>
      <w:proofErr w:type="gramEnd"/>
      <w:r w:rsidRPr="0080341F">
        <w:t xml:space="preserve"> providers such as </w:t>
      </w:r>
      <w:proofErr w:type="spellStart"/>
      <w:r w:rsidRPr="0080341F">
        <w:t>Oolio</w:t>
      </w:r>
      <w:proofErr w:type="spellEnd"/>
      <w:r w:rsidRPr="0080341F">
        <w:t xml:space="preserve"> have with merchants.</w:t>
      </w:r>
    </w:p>
    <w:p w14:paraId="3E6D306D" w14:textId="77777777" w:rsidR="0080341F" w:rsidRPr="0080341F" w:rsidRDefault="0080341F" w:rsidP="0080341F">
      <w:pPr>
        <w:numPr>
          <w:ilvl w:val="0"/>
          <w:numId w:val="2"/>
        </w:numPr>
      </w:pPr>
      <w:r w:rsidRPr="0080341F">
        <w:rPr>
          <w:b/>
          <w:bCs/>
        </w:rPr>
        <w:t>Prohibit bundling of non-payment services into MSFs</w:t>
      </w:r>
      <w:r w:rsidRPr="0080341F">
        <w:t>: Require clear, itemised disclosure of costs, differentiating between true payment processing fees and other bundled services (e.g. hardware, software, support).</w:t>
      </w:r>
    </w:p>
    <w:p w14:paraId="7DE7A1D5" w14:textId="77777777" w:rsidR="0080341F" w:rsidRPr="0080341F" w:rsidRDefault="0080341F" w:rsidP="0080341F">
      <w:pPr>
        <w:numPr>
          <w:ilvl w:val="0"/>
          <w:numId w:val="2"/>
        </w:numPr>
      </w:pPr>
      <w:r w:rsidRPr="0080341F">
        <w:rPr>
          <w:b/>
          <w:bCs/>
        </w:rPr>
        <w:t>Transparency and comparability</w:t>
      </w:r>
      <w:r w:rsidRPr="0080341F">
        <w:t>: Mandate that merchants receive transparent breakdowns of costs so they can make informed choices and negotiate better terms, preserving genuine competition in the market.</w:t>
      </w:r>
    </w:p>
    <w:p w14:paraId="3A385939" w14:textId="77777777" w:rsidR="0080341F" w:rsidRPr="0080341F" w:rsidRDefault="0080341F" w:rsidP="0080341F">
      <w:r w:rsidRPr="0080341F">
        <w:pict w14:anchorId="18550EF8">
          <v:rect id="_x0000_i1052" style="width:6in;height:1.2pt" o:hralign="center" o:hrstd="t" o:hr="t" fillcolor="#a0a0a0" stroked="f"/>
        </w:pict>
      </w:r>
    </w:p>
    <w:p w14:paraId="1EC3A877" w14:textId="77777777" w:rsidR="0080341F" w:rsidRPr="0080341F" w:rsidRDefault="0080341F" w:rsidP="0080341F">
      <w:pPr>
        <w:rPr>
          <w:b/>
          <w:bCs/>
        </w:rPr>
      </w:pPr>
      <w:r w:rsidRPr="0080341F">
        <w:rPr>
          <w:b/>
          <w:bCs/>
        </w:rPr>
        <w:t>Conclusion</w:t>
      </w:r>
    </w:p>
    <w:p w14:paraId="53229F04" w14:textId="77777777" w:rsidR="0080341F" w:rsidRPr="0080341F" w:rsidRDefault="0080341F" w:rsidP="0080341F">
      <w:r w:rsidRPr="0080341F">
        <w:t>The current regime unfairly shifts costs onto consumers, entrenches regressive cross-subsidies, and encourages business models that inflate costs under the guise of merchant service fees. Reform should focus on:</w:t>
      </w:r>
    </w:p>
    <w:p w14:paraId="723B48B9" w14:textId="77777777" w:rsidR="0080341F" w:rsidRPr="0080341F" w:rsidRDefault="0080341F" w:rsidP="0080341F">
      <w:pPr>
        <w:numPr>
          <w:ilvl w:val="0"/>
          <w:numId w:val="3"/>
        </w:numPr>
      </w:pPr>
      <w:r w:rsidRPr="0080341F">
        <w:t>Tying MSFs strictly to the real cost of payment processing.</w:t>
      </w:r>
    </w:p>
    <w:p w14:paraId="6761CD1A" w14:textId="77777777" w:rsidR="0080341F" w:rsidRPr="0080341F" w:rsidRDefault="0080341F" w:rsidP="0080341F">
      <w:pPr>
        <w:numPr>
          <w:ilvl w:val="0"/>
          <w:numId w:val="3"/>
        </w:numPr>
      </w:pPr>
      <w:r w:rsidRPr="0080341F">
        <w:t>Capping or eliminating excessive fee components that fund rewards schemes.</w:t>
      </w:r>
    </w:p>
    <w:p w14:paraId="2E064DDD" w14:textId="77777777" w:rsidR="0080341F" w:rsidRPr="0080341F" w:rsidRDefault="0080341F" w:rsidP="0080341F">
      <w:pPr>
        <w:numPr>
          <w:ilvl w:val="0"/>
          <w:numId w:val="3"/>
        </w:numPr>
      </w:pPr>
      <w:r w:rsidRPr="0080341F">
        <w:t>Restoring competitive pressure by limiting pass-through surcharges.</w:t>
      </w:r>
    </w:p>
    <w:p w14:paraId="42E5F4F2" w14:textId="77777777" w:rsidR="0080341F" w:rsidRPr="0080341F" w:rsidRDefault="0080341F" w:rsidP="0080341F">
      <w:pPr>
        <w:numPr>
          <w:ilvl w:val="0"/>
          <w:numId w:val="3"/>
        </w:numPr>
      </w:pPr>
      <w:r w:rsidRPr="0080341F">
        <w:t xml:space="preserve">Prohibiting bundling of non-payment services into </w:t>
      </w:r>
      <w:proofErr w:type="gramStart"/>
      <w:r w:rsidRPr="0080341F">
        <w:t>MSFs, and</w:t>
      </w:r>
      <w:proofErr w:type="gramEnd"/>
      <w:r w:rsidRPr="0080341F">
        <w:t xml:space="preserve"> reviewing the commercial agreements that underpin such practices.</w:t>
      </w:r>
    </w:p>
    <w:p w14:paraId="0AF2C3B4" w14:textId="77777777" w:rsidR="0080341F" w:rsidRPr="0080341F" w:rsidRDefault="0080341F" w:rsidP="0080341F">
      <w:r w:rsidRPr="0080341F">
        <w:lastRenderedPageBreak/>
        <w:t>These changes will protect consumers, reduce cross-subsidies, and ensure the payments system operates more transparently and efficiently.</w:t>
      </w:r>
    </w:p>
    <w:p w14:paraId="1E4A976D" w14:textId="77777777" w:rsidR="0080341F" w:rsidRPr="0080341F" w:rsidRDefault="0080341F" w:rsidP="0080341F"/>
    <w:p w14:paraId="2E9FEB91" w14:textId="77777777" w:rsidR="0080341F" w:rsidRPr="0080341F" w:rsidRDefault="0080341F" w:rsidP="0080341F">
      <w:proofErr w:type="gramStart"/>
      <w:r w:rsidRPr="0080341F">
        <w:t>Unfortunately</w:t>
      </w:r>
      <w:proofErr w:type="gramEnd"/>
      <w:r w:rsidRPr="0080341F">
        <w:t xml:space="preserve"> this submission is being made anonymously due to the nature of the industry and the significant personal repercussions if my name was attached to this.</w:t>
      </w:r>
    </w:p>
    <w:p w14:paraId="443BC15D"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A03112"/>
    <w:multiLevelType w:val="multilevel"/>
    <w:tmpl w:val="74705E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C9523F"/>
    <w:multiLevelType w:val="multilevel"/>
    <w:tmpl w:val="0FEAF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4F3C69"/>
    <w:multiLevelType w:val="multilevel"/>
    <w:tmpl w:val="9D7C0A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762847669">
    <w:abstractNumId w:val="2"/>
    <w:lvlOverride w:ilvl="0"/>
    <w:lvlOverride w:ilvl="1"/>
    <w:lvlOverride w:ilvl="2"/>
    <w:lvlOverride w:ilvl="3"/>
    <w:lvlOverride w:ilvl="4"/>
    <w:lvlOverride w:ilvl="5"/>
    <w:lvlOverride w:ilvl="6"/>
    <w:lvlOverride w:ilvl="7"/>
    <w:lvlOverride w:ilvl="8"/>
  </w:num>
  <w:num w:numId="2" w16cid:durableId="644552031">
    <w:abstractNumId w:val="1"/>
    <w:lvlOverride w:ilvl="0"/>
    <w:lvlOverride w:ilvl="1"/>
    <w:lvlOverride w:ilvl="2"/>
    <w:lvlOverride w:ilvl="3"/>
    <w:lvlOverride w:ilvl="4"/>
    <w:lvlOverride w:ilvl="5"/>
    <w:lvlOverride w:ilvl="6"/>
    <w:lvlOverride w:ilvl="7"/>
    <w:lvlOverride w:ilvl="8"/>
  </w:num>
  <w:num w:numId="3" w16cid:durableId="1936858223">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41F"/>
    <w:rsid w:val="00097D57"/>
    <w:rsid w:val="005D00EC"/>
    <w:rsid w:val="0080341F"/>
    <w:rsid w:val="008238EF"/>
    <w:rsid w:val="008C1EFE"/>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92AA5C"/>
  <w15:chartTrackingRefBased/>
  <w15:docId w15:val="{CEEB7705-1FD8-4B4E-AD19-B093BBCF9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34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34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34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34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34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34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34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34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34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34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34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34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34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34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34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34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34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341F"/>
    <w:rPr>
      <w:rFonts w:eastAsiaTheme="majorEastAsia" w:cstheme="majorBidi"/>
      <w:color w:val="272727" w:themeColor="text1" w:themeTint="D8"/>
    </w:rPr>
  </w:style>
  <w:style w:type="paragraph" w:styleId="Title">
    <w:name w:val="Title"/>
    <w:basedOn w:val="Normal"/>
    <w:next w:val="Normal"/>
    <w:link w:val="TitleChar"/>
    <w:uiPriority w:val="10"/>
    <w:qFormat/>
    <w:rsid w:val="008034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34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34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34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341F"/>
    <w:pPr>
      <w:spacing w:before="160"/>
      <w:jc w:val="center"/>
    </w:pPr>
    <w:rPr>
      <w:i/>
      <w:iCs/>
      <w:color w:val="404040" w:themeColor="text1" w:themeTint="BF"/>
    </w:rPr>
  </w:style>
  <w:style w:type="character" w:customStyle="1" w:styleId="QuoteChar">
    <w:name w:val="Quote Char"/>
    <w:basedOn w:val="DefaultParagraphFont"/>
    <w:link w:val="Quote"/>
    <w:uiPriority w:val="29"/>
    <w:rsid w:val="0080341F"/>
    <w:rPr>
      <w:i/>
      <w:iCs/>
      <w:color w:val="404040" w:themeColor="text1" w:themeTint="BF"/>
    </w:rPr>
  </w:style>
  <w:style w:type="paragraph" w:styleId="ListParagraph">
    <w:name w:val="List Paragraph"/>
    <w:basedOn w:val="Normal"/>
    <w:uiPriority w:val="34"/>
    <w:qFormat/>
    <w:rsid w:val="0080341F"/>
    <w:pPr>
      <w:ind w:left="720"/>
      <w:contextualSpacing/>
    </w:pPr>
  </w:style>
  <w:style w:type="character" w:styleId="IntenseEmphasis">
    <w:name w:val="Intense Emphasis"/>
    <w:basedOn w:val="DefaultParagraphFont"/>
    <w:uiPriority w:val="21"/>
    <w:qFormat/>
    <w:rsid w:val="0080341F"/>
    <w:rPr>
      <w:i/>
      <w:iCs/>
      <w:color w:val="0F4761" w:themeColor="accent1" w:themeShade="BF"/>
    </w:rPr>
  </w:style>
  <w:style w:type="paragraph" w:styleId="IntenseQuote">
    <w:name w:val="Intense Quote"/>
    <w:basedOn w:val="Normal"/>
    <w:next w:val="Normal"/>
    <w:link w:val="IntenseQuoteChar"/>
    <w:uiPriority w:val="30"/>
    <w:qFormat/>
    <w:rsid w:val="008034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341F"/>
    <w:rPr>
      <w:i/>
      <w:iCs/>
      <w:color w:val="0F4761" w:themeColor="accent1" w:themeShade="BF"/>
    </w:rPr>
  </w:style>
  <w:style w:type="character" w:styleId="IntenseReference">
    <w:name w:val="Intense Reference"/>
    <w:basedOn w:val="DefaultParagraphFont"/>
    <w:uiPriority w:val="32"/>
    <w:qFormat/>
    <w:rsid w:val="0080341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231916">
      <w:bodyDiv w:val="1"/>
      <w:marLeft w:val="0"/>
      <w:marRight w:val="0"/>
      <w:marTop w:val="0"/>
      <w:marBottom w:val="0"/>
      <w:divBdr>
        <w:top w:val="none" w:sz="0" w:space="0" w:color="auto"/>
        <w:left w:val="none" w:sz="0" w:space="0" w:color="auto"/>
        <w:bottom w:val="none" w:sz="0" w:space="0" w:color="auto"/>
        <w:right w:val="none" w:sz="0" w:space="0" w:color="auto"/>
      </w:divBdr>
    </w:div>
    <w:div w:id="379525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870</Words>
  <Characters>4963</Characters>
  <Application>Microsoft Office Word</Application>
  <DocSecurity>0</DocSecurity>
  <Lines>41</Lines>
  <Paragraphs>11</Paragraphs>
  <ScaleCrop>false</ScaleCrop>
  <Company/>
  <LinksUpToDate>false</LinksUpToDate>
  <CharactersWithSpaces>5822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2025-08-27T00:04:00Z</dcterms:created>
  <dcterms:modified xsi:type="dcterms:W3CDTF">2025-08-27T00:04:00Z</dcterms:modified>
</cp:coreProperties>
</file>