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6109" w:rsidRDefault="00645C72">
      <w:pPr>
        <w:rPr>
          <w:u w:val="single"/>
        </w:rPr>
      </w:pPr>
      <w:r>
        <w:rPr>
          <w:u w:val="single"/>
        </w:rPr>
        <w:t>SUBMISSION- REVIEW OF MERCHANT CARD PAYMENT COSTS AND SURCHARGING – CONSULTATION PAPER</w:t>
      </w:r>
    </w:p>
    <w:p w14:paraId="00000002" w14:textId="77777777" w:rsidR="00D56109" w:rsidRDefault="00D56109">
      <w:pPr>
        <w:rPr>
          <w:u w:val="single"/>
        </w:rPr>
      </w:pPr>
    </w:p>
    <w:p w14:paraId="00000003" w14:textId="77777777" w:rsidR="00D56109" w:rsidRDefault="00645C72">
      <w:r>
        <w:t xml:space="preserve">With regards to the above subject matter, I as a consumer fully support the complete ban on all surcharges with regards to all payments via debit, credit cards (Visa and MasterCard) and EFTPOS. This should apply to both online and in-store payments for all merchants conducting their business and selling their merchandise and services Australia wide. Upon lifting the prohibition on ‘no-surcharge’ rules under the RBA’s standard, the RBA should proceed promptly to recommend that the Government </w:t>
      </w:r>
    </w:p>
    <w:p w14:paraId="00000004" w14:textId="77777777" w:rsidR="00D56109" w:rsidRDefault="00645C72">
      <w:r>
        <w:t>legislate a ban on the surcharging of cards of the designated card systems. This is to prevent unscrupulous merchants from continuing to impose surcharges on consumers and to ensure a level playing field for all.</w:t>
      </w:r>
    </w:p>
    <w:p w14:paraId="00000005" w14:textId="77777777" w:rsidR="00D56109" w:rsidRDefault="00D56109"/>
    <w:p w14:paraId="00000006" w14:textId="77777777" w:rsidR="00D56109" w:rsidRDefault="00645C72">
      <w:r>
        <w:t>As electronic payments become the predominant and preferred payment method by merchants and the dwindling of ATMs in Australia, card surcharges impose additional expenses on consumers and unfairly pushes cost of living and inflation even further for paying for everyday goods and services.</w:t>
      </w:r>
    </w:p>
    <w:p w14:paraId="00000007" w14:textId="77777777" w:rsidR="00D56109" w:rsidRDefault="00D56109"/>
    <w:p w14:paraId="00000008" w14:textId="77777777" w:rsidR="00D56109" w:rsidRDefault="00645C72">
      <w:r>
        <w:t xml:space="preserve">I fully support lowering wholesale card payment costs, by lowering caps on </w:t>
      </w:r>
    </w:p>
    <w:p w14:paraId="00000009" w14:textId="77777777" w:rsidR="00D56109" w:rsidRDefault="00645C72">
      <w:r>
        <w:t>domestic interchange fees and capping the interchange on foreign-card transactions.</w:t>
      </w:r>
    </w:p>
    <w:p w14:paraId="0000000A" w14:textId="77777777" w:rsidR="00D56109" w:rsidRDefault="00D56109"/>
    <w:p w14:paraId="0000000B" w14:textId="77777777" w:rsidR="00D56109" w:rsidRDefault="00645C72">
      <w:r>
        <w:t>I completely support increasing the transparency of card payment costs to help payment service providers (PSPs) and</w:t>
      </w:r>
    </w:p>
    <w:p w14:paraId="0000000C" w14:textId="77777777" w:rsidR="00D56109" w:rsidRDefault="00645C72">
      <w:r>
        <w:t>merchants compare fees across the market and shop around for better-value payment deals.</w:t>
      </w:r>
    </w:p>
    <w:p w14:paraId="0000000D" w14:textId="77777777" w:rsidR="00D56109" w:rsidRDefault="00D56109"/>
    <w:p w14:paraId="0000000E" w14:textId="77777777" w:rsidR="00D56109" w:rsidRDefault="00645C72">
      <w:r>
        <w:t>Please refer below for the feedback on the respective consultation questions.</w:t>
      </w:r>
    </w:p>
    <w:p w14:paraId="0000000F" w14:textId="77777777" w:rsidR="00D56109" w:rsidRDefault="00D56109"/>
    <w:p w14:paraId="00000010" w14:textId="77777777" w:rsidR="00D56109" w:rsidRDefault="00645C72">
      <w:r>
        <w:t>Q1. Yes. It benefits all levels of stakeholders.</w:t>
      </w:r>
    </w:p>
    <w:p w14:paraId="00000011" w14:textId="77777777" w:rsidR="00D56109" w:rsidRDefault="00D56109"/>
    <w:p w14:paraId="00000012" w14:textId="77777777" w:rsidR="00D56109" w:rsidRDefault="00645C72">
      <w:r>
        <w:t>Q2. Simplifying it to just one benchmark for all domestic, international debit and credit cards.</w:t>
      </w:r>
    </w:p>
    <w:p w14:paraId="00000013" w14:textId="77777777" w:rsidR="00D56109" w:rsidRDefault="00D56109"/>
    <w:p w14:paraId="00000014" w14:textId="77777777" w:rsidR="00D56109" w:rsidRDefault="00645C72">
      <w:r>
        <w:t>Q3. Same benchmark for all issuers.</w:t>
      </w:r>
    </w:p>
    <w:p w14:paraId="00000015" w14:textId="77777777" w:rsidR="00D56109" w:rsidRDefault="00D56109"/>
    <w:p w14:paraId="00000016" w14:textId="77777777" w:rsidR="00D56109" w:rsidRDefault="00645C72">
      <w:r>
        <w:t>Q4. It is a starting point. Government legislation might be needed.</w:t>
      </w:r>
    </w:p>
    <w:p w14:paraId="00000017" w14:textId="77777777" w:rsidR="00D56109" w:rsidRDefault="00D56109"/>
    <w:p w14:paraId="00000018" w14:textId="77777777" w:rsidR="00D56109" w:rsidRDefault="00645C72">
      <w:r>
        <w:t>Q5. Yes.</w:t>
      </w:r>
    </w:p>
    <w:p w14:paraId="00000019" w14:textId="77777777" w:rsidR="00D56109" w:rsidRDefault="00D56109"/>
    <w:p w14:paraId="0000001A" w14:textId="77777777" w:rsidR="00D56109" w:rsidRDefault="00645C72">
      <w:r>
        <w:t>Q6. Yes.</w:t>
      </w:r>
    </w:p>
    <w:p w14:paraId="0000001B" w14:textId="77777777" w:rsidR="00D56109" w:rsidRDefault="00D56109"/>
    <w:p w14:paraId="0000001C" w14:textId="77777777" w:rsidR="00D56109" w:rsidRDefault="00645C72">
      <w:r>
        <w:t>Q7. Yes.</w:t>
      </w:r>
    </w:p>
    <w:p w14:paraId="0000001D" w14:textId="77777777" w:rsidR="00D56109" w:rsidRDefault="00D56109"/>
    <w:p w14:paraId="0000001E" w14:textId="77777777" w:rsidR="00D56109" w:rsidRDefault="00645C72">
      <w:r>
        <w:t>Q8. Support further regulation.</w:t>
      </w:r>
    </w:p>
    <w:p w14:paraId="0000001F" w14:textId="77777777" w:rsidR="00D56109" w:rsidRDefault="00D56109"/>
    <w:p w14:paraId="00000020" w14:textId="77777777" w:rsidR="00D56109" w:rsidRDefault="00645C72">
      <w:r>
        <w:t>Q9. Yes. 1 year timeline to implement and comply.</w:t>
      </w:r>
    </w:p>
    <w:p w14:paraId="00000021" w14:textId="77777777" w:rsidR="00D56109" w:rsidRDefault="00D56109"/>
    <w:p w14:paraId="00000022" w14:textId="77777777" w:rsidR="00D56109" w:rsidRDefault="00645C72">
      <w:r>
        <w:t>Q10. Yes. Support simplification. No exemptions.</w:t>
      </w:r>
    </w:p>
    <w:p w14:paraId="00000023" w14:textId="77777777" w:rsidR="00D56109" w:rsidRDefault="00D56109"/>
    <w:p w14:paraId="00000024" w14:textId="77777777" w:rsidR="00D56109" w:rsidRDefault="00645C72">
      <w:r>
        <w:lastRenderedPageBreak/>
        <w:t>Q11. Support full implementation of LCR.</w:t>
      </w:r>
    </w:p>
    <w:p w14:paraId="00000025" w14:textId="77777777" w:rsidR="00D56109" w:rsidRDefault="00D56109"/>
    <w:p w14:paraId="00000026" w14:textId="77777777" w:rsidR="00D56109" w:rsidRDefault="00645C72">
      <w:r>
        <w:t xml:space="preserve">Q12. Full implementation of the preferred package. Recommend to the government to legislate the total ban on surcharging for all debit, credit, EFTPOS and prepaid Visa and Mastercard. Simplifying all the different benchmarks into one benchmark. No exemptions. Applies to all merchants and payment providers. Evidence is more than sufficient. </w:t>
      </w:r>
    </w:p>
    <w:p w14:paraId="00000027" w14:textId="77777777" w:rsidR="00D56109" w:rsidRDefault="00D56109"/>
    <w:p w14:paraId="00000028" w14:textId="77777777" w:rsidR="00D56109" w:rsidRDefault="00645C72">
      <w:r>
        <w:t>Q13. Policies 1, 8 and 9 implementation timeline brought forward to 1 January 2026. All the other policies fully implemented by 1 July 2026.</w:t>
      </w:r>
    </w:p>
    <w:p w14:paraId="00000029" w14:textId="77777777" w:rsidR="00D56109" w:rsidRDefault="00D56109"/>
    <w:p w14:paraId="0000002A" w14:textId="77777777" w:rsidR="00D56109" w:rsidRDefault="00645C72">
      <w:r>
        <w:t>Q14. Yes. As simplified as possible to cover all parties without exemptions.</w:t>
      </w:r>
    </w:p>
    <w:p w14:paraId="0000002B" w14:textId="77777777" w:rsidR="00D56109" w:rsidRDefault="00D56109"/>
    <w:p w14:paraId="0000002C" w14:textId="77777777" w:rsidR="00D56109" w:rsidRDefault="00D56109"/>
    <w:p w14:paraId="0000002D" w14:textId="77777777" w:rsidR="00D56109" w:rsidRDefault="00D56109"/>
    <w:p w14:paraId="0000002E" w14:textId="77777777" w:rsidR="00D56109" w:rsidRDefault="00D56109"/>
    <w:sectPr w:rsidR="00D5610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109"/>
    <w:rsid w:val="005211BB"/>
    <w:rsid w:val="00645C72"/>
    <w:rsid w:val="00D561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C2D7A0-AD3A-4E37-8714-D7A367EE6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423</Words>
  <Characters>2140</Characters>
  <Application>Microsoft Office Word</Application>
  <DocSecurity>4</DocSecurity>
  <Lines>47</Lines>
  <Paragraphs>20</Paragraphs>
  <ScaleCrop>false</ScaleCrop>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 Sally</dc:creator>
  <cp:lastModifiedBy>WONG, Sally</cp:lastModifiedBy>
  <cp:revision>2</cp:revision>
  <dcterms:created xsi:type="dcterms:W3CDTF">2025-07-17T00:53:00Z</dcterms:created>
  <dcterms:modified xsi:type="dcterms:W3CDTF">2025-07-17T00:53:00Z</dcterms:modified>
</cp:coreProperties>
</file>