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Footertable"/>
        <w:tblpPr w:leftFromText="180" w:rightFromText="180" w:vertAnchor="text" w:tblpY="1"/>
        <w:tblOverlap w:val="never"/>
        <w:tblW w:w="0" w:type="auto"/>
        <w:tblLook w:val="04A0" w:firstRow="1" w:lastRow="0" w:firstColumn="1" w:lastColumn="0" w:noHBand="0" w:noVBand="1"/>
      </w:tblPr>
      <w:tblGrid>
        <w:gridCol w:w="4526"/>
        <w:gridCol w:w="3117"/>
      </w:tblGrid>
      <w:tr w:rsidR="00EF297E" w14:paraId="5F90096A" w14:textId="77777777" w:rsidTr="004F35B9">
        <w:tc>
          <w:tcPr>
            <w:tcW w:w="4526" w:type="dxa"/>
          </w:tcPr>
          <w:p w14:paraId="428F1307" w14:textId="77777777" w:rsidR="00EF297E" w:rsidRDefault="00000000" w:rsidP="00EF297E">
            <w:pPr>
              <w:pStyle w:val="Headerfirstpage"/>
              <w:spacing w:before="0"/>
            </w:pPr>
            <w:sdt>
              <w:sdtPr>
                <w:id w:val="1234206073"/>
                <w:lock w:val="sdtContentLocked"/>
                <w:picture/>
              </w:sdtPr>
              <w:sdtContent>
                <w:r w:rsidR="00EF297E" w:rsidRPr="00EF297E">
                  <w:rPr>
                    <w:noProof/>
                  </w:rPr>
                  <w:drawing>
                    <wp:inline distT="0" distB="0" distL="0" distR="0" wp14:anchorId="7AD9CBA4" wp14:editId="1066405A">
                      <wp:extent cx="2673706" cy="762604"/>
                      <wp:effectExtent l="0" t="0" r="0" b="0"/>
                      <wp:docPr id="1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a:extLst>
                                  <a:ext uri="{C183D7F6-B498-43B3-948B-1728B52AA6E4}">
                                    <adec:decorative xmlns:adec="http://schemas.microsoft.com/office/drawing/2017/decorative" val="1"/>
                                  </a:ext>
                                </a:extLst>
                              </pic:cNvPr>
                              <pic:cNvPicPr>
                                <a:picLocks noChangeAspect="1" noChangeArrowheads="1"/>
                              </pic:cNvPicPr>
                            </pic:nvPicPr>
                            <pic:blipFill>
                              <a:blip r:embed="rId11"/>
                              <a:stretch>
                                <a:fillRect/>
                              </a:stretch>
                            </pic:blipFill>
                            <pic:spPr bwMode="auto">
                              <a:xfrm>
                                <a:off x="0" y="0"/>
                                <a:ext cx="2748075" cy="783816"/>
                              </a:xfrm>
                              <a:prstGeom prst="rect">
                                <a:avLst/>
                              </a:prstGeom>
                              <a:noFill/>
                              <a:ln>
                                <a:noFill/>
                              </a:ln>
                            </pic:spPr>
                          </pic:pic>
                        </a:graphicData>
                      </a:graphic>
                    </wp:inline>
                  </w:drawing>
                </w:r>
              </w:sdtContent>
            </w:sdt>
          </w:p>
        </w:tc>
        <w:tc>
          <w:tcPr>
            <w:tcW w:w="3117" w:type="dxa"/>
          </w:tcPr>
          <w:p w14:paraId="464BA89A" w14:textId="1C3DCD19" w:rsidR="00EF297E" w:rsidRDefault="00EF297E" w:rsidP="00FF4DDB">
            <w:pPr>
              <w:pStyle w:val="LetterCBAaddress"/>
              <w:jc w:val="right"/>
            </w:pPr>
          </w:p>
        </w:tc>
      </w:tr>
    </w:tbl>
    <w:p w14:paraId="3903816F" w14:textId="77777777" w:rsidR="00DA75B4" w:rsidRDefault="00DA75B4" w:rsidP="00DA75B4"/>
    <w:p w14:paraId="5E566FCF" w14:textId="77777777" w:rsidR="00DA75B4" w:rsidRDefault="00DA75B4" w:rsidP="00DA75B4"/>
    <w:p w14:paraId="54312155" w14:textId="77777777" w:rsidR="00DA75B4" w:rsidRDefault="00DA75B4" w:rsidP="00DA75B4"/>
    <w:p w14:paraId="230881EC" w14:textId="77777777" w:rsidR="00DA75B4" w:rsidRDefault="00DA75B4" w:rsidP="00DA75B4"/>
    <w:p w14:paraId="1ABDAFD2" w14:textId="77777777" w:rsidR="00DA75B4" w:rsidRDefault="00DA75B4" w:rsidP="00DA75B4"/>
    <w:p w14:paraId="60CF1F59" w14:textId="77777777" w:rsidR="004A6448" w:rsidRDefault="004A6448" w:rsidP="004A6448"/>
    <w:p w14:paraId="360AC667" w14:textId="666A9CB5" w:rsidR="00B2199B" w:rsidRPr="00F21F05" w:rsidRDefault="00FA42EC" w:rsidP="00F0018B">
      <w:pPr>
        <w:pStyle w:val="Header1"/>
        <w:numPr>
          <w:ilvl w:val="0"/>
          <w:numId w:val="0"/>
        </w:numPr>
        <w:jc w:val="left"/>
        <w:rPr>
          <w:color w:val="FF0000"/>
        </w:rPr>
      </w:pPr>
      <w:r w:rsidRPr="00FA42EC">
        <w:t>INTRODUCTION</w:t>
      </w:r>
    </w:p>
    <w:p w14:paraId="566A2593" w14:textId="4E36DF0D" w:rsidR="00B2199B" w:rsidRPr="00C631C4" w:rsidRDefault="00B2199B" w:rsidP="00B2199B">
      <w:pPr>
        <w:rPr>
          <w:rFonts w:cstheme="minorHAnsi"/>
          <w:sz w:val="21"/>
          <w:szCs w:val="21"/>
        </w:rPr>
      </w:pPr>
      <w:r w:rsidRPr="00C631C4">
        <w:rPr>
          <w:rFonts w:cstheme="minorHAnsi"/>
          <w:sz w:val="21"/>
          <w:szCs w:val="21"/>
        </w:rPr>
        <w:t xml:space="preserve">The Commonwealth Bank of Australia (CBA) welcomes the opportunity to respond to the Reserve Bank of Australia (RBA)’s </w:t>
      </w:r>
      <w:r w:rsidR="00974848">
        <w:rPr>
          <w:rFonts w:cstheme="minorHAnsi"/>
          <w:sz w:val="21"/>
          <w:szCs w:val="21"/>
        </w:rPr>
        <w:t>C</w:t>
      </w:r>
      <w:r w:rsidRPr="00C631C4">
        <w:rPr>
          <w:rFonts w:cstheme="minorHAnsi"/>
          <w:sz w:val="21"/>
          <w:szCs w:val="21"/>
        </w:rPr>
        <w:t xml:space="preserve">onsultation </w:t>
      </w:r>
      <w:r w:rsidR="00974848">
        <w:rPr>
          <w:rFonts w:cstheme="minorHAnsi"/>
          <w:sz w:val="21"/>
          <w:szCs w:val="21"/>
        </w:rPr>
        <w:t>P</w:t>
      </w:r>
      <w:r w:rsidRPr="00C631C4">
        <w:rPr>
          <w:rFonts w:cstheme="minorHAnsi"/>
          <w:sz w:val="21"/>
          <w:szCs w:val="21"/>
        </w:rPr>
        <w:t xml:space="preserve">aper: </w:t>
      </w:r>
      <w:r w:rsidRPr="00C631C4">
        <w:rPr>
          <w:rFonts w:cstheme="minorHAnsi"/>
          <w:i/>
          <w:iCs/>
          <w:sz w:val="21"/>
          <w:szCs w:val="21"/>
        </w:rPr>
        <w:t>Review into Merchant Card Payment Costs and Surcharging</w:t>
      </w:r>
      <w:r w:rsidRPr="00C631C4">
        <w:rPr>
          <w:rFonts w:cstheme="minorHAnsi"/>
          <w:sz w:val="21"/>
          <w:szCs w:val="21"/>
        </w:rPr>
        <w:t xml:space="preserve">. These are important issues to deliver safe, sustainable, reliable and efficient payment services. </w:t>
      </w:r>
    </w:p>
    <w:p w14:paraId="41304F2B" w14:textId="2F24BC16" w:rsidR="00B2199B" w:rsidRPr="00C631C4" w:rsidRDefault="00B2199B" w:rsidP="00B2199B">
      <w:pPr>
        <w:spacing w:line="22" w:lineRule="atLeast"/>
        <w:rPr>
          <w:rFonts w:cstheme="minorHAnsi"/>
          <w:sz w:val="21"/>
          <w:szCs w:val="21"/>
        </w:rPr>
      </w:pPr>
      <w:r w:rsidRPr="00C631C4">
        <w:rPr>
          <w:rFonts w:cstheme="minorHAnsi"/>
          <w:sz w:val="21"/>
          <w:szCs w:val="21"/>
        </w:rPr>
        <w:t>A well-functioning</w:t>
      </w:r>
      <w:r w:rsidR="001F02F5">
        <w:rPr>
          <w:rFonts w:cstheme="minorHAnsi"/>
          <w:sz w:val="21"/>
          <w:szCs w:val="21"/>
        </w:rPr>
        <w:t>, sovereign</w:t>
      </w:r>
      <w:r w:rsidRPr="00C631C4">
        <w:rPr>
          <w:rFonts w:cstheme="minorHAnsi"/>
          <w:sz w:val="21"/>
          <w:szCs w:val="21"/>
        </w:rPr>
        <w:t xml:space="preserve"> payments system underpins a well-functioning society and the financial wellbeing of its people. It is deeply entwined with a nation’s economy – individuals and businesses benefit from safe and efficient payments infrastructure. </w:t>
      </w:r>
    </w:p>
    <w:p w14:paraId="755A0B7F" w14:textId="77777777" w:rsidR="00B2199B" w:rsidRPr="00C631C4" w:rsidRDefault="00B2199B" w:rsidP="00B2199B">
      <w:pPr>
        <w:spacing w:line="22" w:lineRule="atLeast"/>
        <w:rPr>
          <w:rFonts w:cstheme="minorHAnsi"/>
          <w:sz w:val="21"/>
          <w:szCs w:val="21"/>
        </w:rPr>
      </w:pPr>
      <w:r w:rsidRPr="00C631C4">
        <w:rPr>
          <w:rFonts w:cstheme="minorHAnsi"/>
          <w:sz w:val="21"/>
          <w:szCs w:val="21"/>
        </w:rPr>
        <w:t xml:space="preserve">Australia has an enviable record of payments innovation and regulation. We have among the highest adoption of tap-to-pay and digital wallet technology, the lowest interchange rates, and strongest consumer protections. We are one of a handful of countries with both a domestic cards scheme and real time account payment system. Our payments system is among the safest, most efficient and innovative in the world. </w:t>
      </w:r>
    </w:p>
    <w:p w14:paraId="1A77F00A" w14:textId="77777777" w:rsidR="00B2199B" w:rsidRPr="00C631C4" w:rsidRDefault="00B2199B" w:rsidP="00B2199B">
      <w:pPr>
        <w:rPr>
          <w:rFonts w:cstheme="minorHAnsi"/>
          <w:sz w:val="21"/>
          <w:szCs w:val="21"/>
        </w:rPr>
      </w:pPr>
      <w:r w:rsidRPr="00C631C4">
        <w:rPr>
          <w:rFonts w:cstheme="minorHAnsi"/>
          <w:sz w:val="21"/>
          <w:szCs w:val="21"/>
        </w:rPr>
        <w:t>The systemic importance of the payments system rightly attracts a high level of regulation, to ensure confidence and trust in the system. It aims to promote safe, sustainable, reliable and efficient payment services, for the benefit of the community. Striking this balance will always be important, and shifts in emphasis</w:t>
      </w:r>
      <w:r>
        <w:rPr>
          <w:rFonts w:cstheme="minorHAnsi"/>
          <w:sz w:val="21"/>
          <w:szCs w:val="21"/>
        </w:rPr>
        <w:t xml:space="preserve"> are</w:t>
      </w:r>
      <w:r w:rsidRPr="00C631C4">
        <w:rPr>
          <w:rFonts w:cstheme="minorHAnsi"/>
          <w:sz w:val="21"/>
          <w:szCs w:val="21"/>
        </w:rPr>
        <w:t xml:space="preserve"> required to respond to changes in the external context. </w:t>
      </w:r>
    </w:p>
    <w:p w14:paraId="76C9C26A" w14:textId="565D9DEA" w:rsidR="008333D2" w:rsidRDefault="00F56C3A" w:rsidP="1BEE59C2">
      <w:pPr>
        <w:rPr>
          <w:rFonts w:ascii="CBA Beacon Sans" w:hAnsi="CBA Beacon Sans"/>
          <w:sz w:val="21"/>
        </w:rPr>
      </w:pPr>
      <w:r w:rsidRPr="00F27444">
        <w:rPr>
          <w:sz w:val="21"/>
          <w:szCs w:val="21"/>
        </w:rPr>
        <w:t xml:space="preserve">The recent amendments of </w:t>
      </w:r>
      <w:r w:rsidRPr="00F27444">
        <w:rPr>
          <w:rFonts w:ascii="CBA Beacon Sans" w:hAnsi="CBA Beacon Sans"/>
          <w:sz w:val="21"/>
          <w:szCs w:val="21"/>
        </w:rPr>
        <w:t>the Payment System Regulation Act (PSRA) are timely</w:t>
      </w:r>
      <w:r w:rsidR="00696417" w:rsidRPr="00F27444">
        <w:rPr>
          <w:rFonts w:ascii="CBA Beacon Sans" w:hAnsi="CBA Beacon Sans"/>
          <w:sz w:val="21"/>
          <w:szCs w:val="21"/>
        </w:rPr>
        <w:t>. It is</w:t>
      </w:r>
      <w:r w:rsidR="0037408D" w:rsidRPr="00F27444">
        <w:rPr>
          <w:rFonts w:ascii="CBA Beacon Sans" w:hAnsi="CBA Beacon Sans"/>
          <w:sz w:val="21"/>
          <w:szCs w:val="21"/>
        </w:rPr>
        <w:t xml:space="preserve"> </w:t>
      </w:r>
      <w:r w:rsidR="555DB88D" w:rsidRPr="00F27444">
        <w:rPr>
          <w:rFonts w:ascii="CBA Beacon Sans" w:hAnsi="CBA Beacon Sans"/>
          <w:sz w:val="21"/>
          <w:szCs w:val="21"/>
        </w:rPr>
        <w:t xml:space="preserve">critical </w:t>
      </w:r>
      <w:r w:rsidR="008D403D" w:rsidRPr="00F27444">
        <w:rPr>
          <w:rFonts w:ascii="CBA Beacon Sans" w:hAnsi="CBA Beacon Sans"/>
          <w:sz w:val="21"/>
          <w:szCs w:val="21"/>
        </w:rPr>
        <w:t>that payments</w:t>
      </w:r>
      <w:r w:rsidR="00696417" w:rsidRPr="00F27444">
        <w:rPr>
          <w:rFonts w:ascii="CBA Beacon Sans" w:hAnsi="CBA Beacon Sans"/>
          <w:sz w:val="21"/>
          <w:szCs w:val="21"/>
        </w:rPr>
        <w:t xml:space="preserve"> </w:t>
      </w:r>
      <w:r w:rsidR="005D0F06">
        <w:rPr>
          <w:rFonts w:ascii="CBA Beacon Sans" w:hAnsi="CBA Beacon Sans"/>
          <w:sz w:val="21"/>
          <w:szCs w:val="21"/>
        </w:rPr>
        <w:t>are</w:t>
      </w:r>
      <w:r w:rsidR="43C5385D" w:rsidRPr="00F27444">
        <w:rPr>
          <w:rFonts w:ascii="CBA Beacon Sans" w:hAnsi="CBA Beacon Sans"/>
          <w:sz w:val="21"/>
          <w:szCs w:val="21"/>
        </w:rPr>
        <w:t xml:space="preserve"> </w:t>
      </w:r>
      <w:r w:rsidR="555DB88D" w:rsidRPr="00F27444">
        <w:rPr>
          <w:rFonts w:ascii="CBA Beacon Sans" w:hAnsi="CBA Beacon Sans"/>
          <w:sz w:val="21"/>
          <w:szCs w:val="21"/>
        </w:rPr>
        <w:t xml:space="preserve">regulated </w:t>
      </w:r>
      <w:r w:rsidR="1A390636" w:rsidRPr="00F27444">
        <w:rPr>
          <w:rFonts w:ascii="CBA Beacon Sans" w:hAnsi="CBA Beacon Sans"/>
          <w:sz w:val="21"/>
          <w:szCs w:val="21"/>
        </w:rPr>
        <w:t>comprehensively</w:t>
      </w:r>
      <w:r w:rsidR="3DC2D429" w:rsidRPr="00F27444">
        <w:rPr>
          <w:rFonts w:ascii="CBA Beacon Sans" w:hAnsi="CBA Beacon Sans"/>
          <w:sz w:val="21"/>
          <w:szCs w:val="21"/>
        </w:rPr>
        <w:t xml:space="preserve">. There are </w:t>
      </w:r>
      <w:r w:rsidR="008D403D" w:rsidRPr="00F27444">
        <w:rPr>
          <w:rFonts w:ascii="CBA Beacon Sans" w:hAnsi="CBA Beacon Sans"/>
          <w:sz w:val="21"/>
          <w:szCs w:val="21"/>
        </w:rPr>
        <w:t>several</w:t>
      </w:r>
      <w:r w:rsidR="3DC2D429" w:rsidRPr="00F27444">
        <w:rPr>
          <w:rFonts w:ascii="CBA Beacon Sans" w:hAnsi="CBA Beacon Sans"/>
          <w:sz w:val="21"/>
          <w:szCs w:val="21"/>
        </w:rPr>
        <w:t xml:space="preserve"> important </w:t>
      </w:r>
      <w:r w:rsidR="009E0B73" w:rsidRPr="00F27444">
        <w:rPr>
          <w:rFonts w:ascii="CBA Beacon Sans" w:hAnsi="CBA Beacon Sans"/>
          <w:sz w:val="21"/>
          <w:szCs w:val="21"/>
        </w:rPr>
        <w:t xml:space="preserve">existing and emerging issues that </w:t>
      </w:r>
      <w:r w:rsidR="009572E9" w:rsidRPr="00F27444">
        <w:rPr>
          <w:rFonts w:ascii="CBA Beacon Sans" w:hAnsi="CBA Beacon Sans"/>
          <w:sz w:val="21"/>
          <w:szCs w:val="21"/>
        </w:rPr>
        <w:t xml:space="preserve">impact the efficiency, sovereignty, and sustainability of our </w:t>
      </w:r>
      <w:r w:rsidR="555DB88D" w:rsidRPr="00F27444">
        <w:rPr>
          <w:rFonts w:ascii="CBA Beacon Sans" w:hAnsi="CBA Beacon Sans"/>
          <w:sz w:val="21"/>
          <w:szCs w:val="21"/>
        </w:rPr>
        <w:t>paym</w:t>
      </w:r>
      <w:r w:rsidR="0F13CDE3" w:rsidRPr="00F27444">
        <w:rPr>
          <w:rFonts w:ascii="CBA Beacon Sans" w:hAnsi="CBA Beacon Sans"/>
          <w:sz w:val="21"/>
          <w:szCs w:val="21"/>
        </w:rPr>
        <w:t>ents system</w:t>
      </w:r>
      <w:r w:rsidR="007A6441" w:rsidRPr="00F27444">
        <w:rPr>
          <w:rFonts w:ascii="CBA Beacon Sans" w:hAnsi="CBA Beacon Sans"/>
          <w:sz w:val="21"/>
          <w:szCs w:val="21"/>
        </w:rPr>
        <w:t xml:space="preserve"> th</w:t>
      </w:r>
      <w:r w:rsidR="00122449" w:rsidRPr="00F27444">
        <w:rPr>
          <w:rFonts w:ascii="CBA Beacon Sans" w:hAnsi="CBA Beacon Sans"/>
          <w:sz w:val="21"/>
          <w:szCs w:val="21"/>
        </w:rPr>
        <w:t>at</w:t>
      </w:r>
      <w:r w:rsidR="009E154B" w:rsidRPr="00F27444">
        <w:rPr>
          <w:rFonts w:ascii="CBA Beacon Sans" w:hAnsi="CBA Beacon Sans"/>
          <w:sz w:val="21"/>
          <w:szCs w:val="21"/>
        </w:rPr>
        <w:t xml:space="preserve"> </w:t>
      </w:r>
      <w:r w:rsidR="00E4575D" w:rsidRPr="00F27444">
        <w:rPr>
          <w:rFonts w:ascii="CBA Beacon Sans" w:hAnsi="CBA Beacon Sans"/>
          <w:sz w:val="21"/>
          <w:szCs w:val="21"/>
        </w:rPr>
        <w:t xml:space="preserve">are better addressed with </w:t>
      </w:r>
      <w:r w:rsidR="00A27481" w:rsidRPr="00F27444">
        <w:rPr>
          <w:rFonts w:ascii="CBA Beacon Sans" w:hAnsi="CBA Beacon Sans"/>
          <w:sz w:val="21"/>
          <w:szCs w:val="21"/>
        </w:rPr>
        <w:t xml:space="preserve">the RBA’s </w:t>
      </w:r>
      <w:r w:rsidR="00E4575D" w:rsidRPr="00F27444">
        <w:rPr>
          <w:rFonts w:ascii="CBA Beacon Sans" w:hAnsi="CBA Beacon Sans"/>
          <w:sz w:val="21"/>
          <w:szCs w:val="21"/>
        </w:rPr>
        <w:t xml:space="preserve">expanded powers than </w:t>
      </w:r>
      <w:r w:rsidR="003C6BA3" w:rsidRPr="00F27444">
        <w:rPr>
          <w:rFonts w:ascii="CBA Beacon Sans" w:hAnsi="CBA Beacon Sans"/>
          <w:sz w:val="21"/>
          <w:szCs w:val="21"/>
        </w:rPr>
        <w:t>under the historical regulatory approach</w:t>
      </w:r>
      <w:r w:rsidR="0F13CDE3" w:rsidRPr="00F27444">
        <w:rPr>
          <w:rFonts w:ascii="CBA Beacon Sans" w:hAnsi="CBA Beacon Sans"/>
          <w:sz w:val="21"/>
          <w:szCs w:val="21"/>
        </w:rPr>
        <w:t>.</w:t>
      </w:r>
      <w:r w:rsidRPr="1BEE59C2">
        <w:rPr>
          <w:rFonts w:ascii="CBA Beacon Sans" w:hAnsi="CBA Beacon Sans"/>
          <w:sz w:val="21"/>
          <w:szCs w:val="21"/>
        </w:rPr>
        <w:t xml:space="preserve"> </w:t>
      </w:r>
    </w:p>
    <w:p w14:paraId="06406E80" w14:textId="671A4B5B" w:rsidR="00B2199B" w:rsidRPr="00C631C4" w:rsidRDefault="00B2199B" w:rsidP="00B2199B">
      <w:pPr>
        <w:rPr>
          <w:rFonts w:cstheme="minorHAnsi"/>
          <w:sz w:val="21"/>
          <w:szCs w:val="21"/>
        </w:rPr>
      </w:pPr>
      <w:r w:rsidRPr="00C631C4">
        <w:rPr>
          <w:rFonts w:cstheme="minorHAnsi"/>
          <w:sz w:val="21"/>
          <w:szCs w:val="21"/>
        </w:rPr>
        <w:t xml:space="preserve">We agree with the Reserve Bank that surcharging for both debit and credit payments should be banned. As the </w:t>
      </w:r>
      <w:r w:rsidR="00815F67">
        <w:rPr>
          <w:rFonts w:cstheme="minorHAnsi"/>
          <w:sz w:val="21"/>
          <w:szCs w:val="21"/>
        </w:rPr>
        <w:t>C</w:t>
      </w:r>
      <w:r w:rsidRPr="00C631C4">
        <w:rPr>
          <w:rFonts w:cstheme="minorHAnsi"/>
          <w:sz w:val="21"/>
          <w:szCs w:val="21"/>
        </w:rPr>
        <w:t xml:space="preserve">onsultation </w:t>
      </w:r>
      <w:r w:rsidR="00815F67">
        <w:rPr>
          <w:rFonts w:cstheme="minorHAnsi"/>
          <w:sz w:val="21"/>
          <w:szCs w:val="21"/>
        </w:rPr>
        <w:t>P</w:t>
      </w:r>
      <w:r w:rsidRPr="00C631C4">
        <w:rPr>
          <w:rFonts w:cstheme="minorHAnsi"/>
          <w:sz w:val="21"/>
          <w:szCs w:val="21"/>
        </w:rPr>
        <w:t xml:space="preserve">aper notes, the price signal to consumers has become less effective for </w:t>
      </w:r>
      <w:proofErr w:type="gramStart"/>
      <w:r w:rsidRPr="00C631C4">
        <w:rPr>
          <w:rFonts w:cstheme="minorHAnsi"/>
          <w:sz w:val="21"/>
          <w:szCs w:val="21"/>
        </w:rPr>
        <w:t>a number of</w:t>
      </w:r>
      <w:proofErr w:type="gramEnd"/>
      <w:r w:rsidRPr="00C631C4">
        <w:rPr>
          <w:rFonts w:cstheme="minorHAnsi"/>
          <w:sz w:val="21"/>
          <w:szCs w:val="21"/>
        </w:rPr>
        <w:t xml:space="preserve"> reasons, it is challenging for the ACCC to enforce compliance, and some PSPs have gone beyond the spirit of the regulations. </w:t>
      </w:r>
    </w:p>
    <w:p w14:paraId="4A655DFD" w14:textId="77777777" w:rsidR="00C72C26" w:rsidRDefault="00B2199B" w:rsidP="00B2199B">
      <w:pPr>
        <w:rPr>
          <w:rFonts w:cstheme="minorHAnsi"/>
          <w:sz w:val="21"/>
          <w:szCs w:val="21"/>
        </w:rPr>
      </w:pPr>
      <w:r w:rsidRPr="00C631C4">
        <w:rPr>
          <w:rFonts w:cstheme="minorHAnsi"/>
          <w:sz w:val="21"/>
          <w:szCs w:val="21"/>
        </w:rPr>
        <w:t xml:space="preserve">We also support the Reserve Bank’s intent to lower costs for small businesses. Small businesses play a very important role in economic dynamism and job </w:t>
      </w:r>
      <w:proofErr w:type="gramStart"/>
      <w:r w:rsidRPr="00C631C4">
        <w:rPr>
          <w:rFonts w:cstheme="minorHAnsi"/>
          <w:sz w:val="21"/>
          <w:szCs w:val="21"/>
        </w:rPr>
        <w:t>creation</w:t>
      </w:r>
      <w:r w:rsidR="0041417B">
        <w:rPr>
          <w:rFonts w:cstheme="minorHAnsi"/>
          <w:sz w:val="21"/>
          <w:szCs w:val="21"/>
        </w:rPr>
        <w:t>,</w:t>
      </w:r>
      <w:r w:rsidRPr="00C631C4">
        <w:rPr>
          <w:rFonts w:cstheme="minorHAnsi"/>
          <w:sz w:val="21"/>
          <w:szCs w:val="21"/>
        </w:rPr>
        <w:t xml:space="preserve"> and</w:t>
      </w:r>
      <w:proofErr w:type="gramEnd"/>
      <w:r w:rsidRPr="00C631C4">
        <w:rPr>
          <w:rFonts w:cstheme="minorHAnsi"/>
          <w:sz w:val="21"/>
          <w:szCs w:val="21"/>
        </w:rPr>
        <w:t xml:space="preserve"> are responsive to changes in incentives. We believe that there may be an alternative model to the </w:t>
      </w:r>
      <w:r>
        <w:rPr>
          <w:rFonts w:cstheme="minorHAnsi"/>
          <w:sz w:val="21"/>
          <w:szCs w:val="21"/>
        </w:rPr>
        <w:t>proposals</w:t>
      </w:r>
      <w:r w:rsidRPr="00C631C4">
        <w:rPr>
          <w:rFonts w:cstheme="minorHAnsi"/>
          <w:sz w:val="21"/>
          <w:szCs w:val="21"/>
        </w:rPr>
        <w:t xml:space="preserve"> described in the </w:t>
      </w:r>
      <w:r>
        <w:rPr>
          <w:rFonts w:cstheme="minorHAnsi"/>
          <w:sz w:val="21"/>
          <w:szCs w:val="21"/>
        </w:rPr>
        <w:t>C</w:t>
      </w:r>
      <w:r w:rsidRPr="00C631C4">
        <w:rPr>
          <w:rFonts w:cstheme="minorHAnsi"/>
          <w:sz w:val="21"/>
          <w:szCs w:val="21"/>
        </w:rPr>
        <w:t xml:space="preserve">onsultation </w:t>
      </w:r>
      <w:r>
        <w:rPr>
          <w:rFonts w:cstheme="minorHAnsi"/>
          <w:sz w:val="21"/>
          <w:szCs w:val="21"/>
        </w:rPr>
        <w:t>P</w:t>
      </w:r>
      <w:r w:rsidRPr="00C631C4">
        <w:rPr>
          <w:rFonts w:cstheme="minorHAnsi"/>
          <w:sz w:val="21"/>
          <w:szCs w:val="21"/>
        </w:rPr>
        <w:t xml:space="preserve">aper which would better support small businesses. </w:t>
      </w:r>
    </w:p>
    <w:p w14:paraId="5F9AB3E4" w14:textId="16FD3126" w:rsidR="00AE2A05" w:rsidRDefault="005E16FB" w:rsidP="001A7CA3">
      <w:pPr>
        <w:spacing w:after="160"/>
        <w:rPr>
          <w:rFonts w:cstheme="minorHAnsi"/>
          <w:sz w:val="21"/>
          <w:szCs w:val="21"/>
        </w:rPr>
      </w:pPr>
      <w:r>
        <w:rPr>
          <w:rFonts w:cstheme="minorHAnsi"/>
          <w:sz w:val="21"/>
          <w:szCs w:val="21"/>
        </w:rPr>
        <w:t xml:space="preserve">We have built </w:t>
      </w:r>
      <w:r w:rsidR="00EA46A0">
        <w:rPr>
          <w:rFonts w:cstheme="minorHAnsi"/>
          <w:sz w:val="21"/>
          <w:szCs w:val="21"/>
        </w:rPr>
        <w:t>an</w:t>
      </w:r>
      <w:r>
        <w:rPr>
          <w:rFonts w:cstheme="minorHAnsi"/>
          <w:sz w:val="21"/>
          <w:szCs w:val="21"/>
        </w:rPr>
        <w:t xml:space="preserve"> </w:t>
      </w:r>
      <w:r w:rsidRPr="005E16FB">
        <w:rPr>
          <w:rFonts w:cstheme="minorHAnsi"/>
          <w:sz w:val="21"/>
          <w:szCs w:val="21"/>
        </w:rPr>
        <w:t xml:space="preserve">alternative </w:t>
      </w:r>
      <w:r w:rsidR="00740A9A">
        <w:rPr>
          <w:rFonts w:cstheme="minorHAnsi"/>
          <w:sz w:val="21"/>
          <w:szCs w:val="21"/>
        </w:rPr>
        <w:t xml:space="preserve">approach </w:t>
      </w:r>
      <w:r>
        <w:rPr>
          <w:rFonts w:cstheme="minorHAnsi"/>
          <w:sz w:val="21"/>
          <w:szCs w:val="21"/>
        </w:rPr>
        <w:t>around three principles</w:t>
      </w:r>
      <w:r w:rsidRPr="005E16FB">
        <w:rPr>
          <w:rFonts w:cstheme="minorHAnsi"/>
          <w:sz w:val="21"/>
          <w:szCs w:val="21"/>
        </w:rPr>
        <w:t xml:space="preserve">: i) </w:t>
      </w:r>
      <w:r>
        <w:rPr>
          <w:rFonts w:cstheme="minorHAnsi"/>
          <w:sz w:val="21"/>
          <w:szCs w:val="21"/>
        </w:rPr>
        <w:t xml:space="preserve">continuing to deliver </w:t>
      </w:r>
      <w:r w:rsidRPr="005E16FB">
        <w:rPr>
          <w:rFonts w:cstheme="minorHAnsi"/>
          <w:sz w:val="21"/>
          <w:szCs w:val="21"/>
        </w:rPr>
        <w:t xml:space="preserve">interchange cost outcomes </w:t>
      </w:r>
      <w:r w:rsidR="006B0C8C">
        <w:rPr>
          <w:rFonts w:cstheme="minorHAnsi"/>
          <w:sz w:val="21"/>
          <w:szCs w:val="21"/>
        </w:rPr>
        <w:t>that are</w:t>
      </w:r>
      <w:r w:rsidRPr="005E16FB">
        <w:rPr>
          <w:rFonts w:cstheme="minorHAnsi"/>
          <w:sz w:val="21"/>
          <w:szCs w:val="21"/>
        </w:rPr>
        <w:t xml:space="preserve"> </w:t>
      </w:r>
      <w:r w:rsidR="006B0C8C">
        <w:rPr>
          <w:rFonts w:cstheme="minorHAnsi"/>
          <w:sz w:val="21"/>
          <w:szCs w:val="21"/>
        </w:rPr>
        <w:t>among</w:t>
      </w:r>
      <w:r w:rsidRPr="005E16FB">
        <w:rPr>
          <w:rFonts w:cstheme="minorHAnsi"/>
          <w:sz w:val="21"/>
          <w:szCs w:val="21"/>
        </w:rPr>
        <w:t xml:space="preserve"> the lowest markets globally, namely the EU and UK</w:t>
      </w:r>
      <w:r>
        <w:rPr>
          <w:rFonts w:cstheme="minorHAnsi"/>
          <w:sz w:val="21"/>
          <w:szCs w:val="21"/>
        </w:rPr>
        <w:t xml:space="preserve">; ii) </w:t>
      </w:r>
      <w:r w:rsidR="001A7CA3">
        <w:rPr>
          <w:rFonts w:cstheme="minorHAnsi"/>
          <w:sz w:val="21"/>
          <w:szCs w:val="21"/>
        </w:rPr>
        <w:t>d</w:t>
      </w:r>
      <w:r>
        <w:rPr>
          <w:rFonts w:cstheme="minorHAnsi"/>
          <w:sz w:val="21"/>
          <w:szCs w:val="21"/>
        </w:rPr>
        <w:t>eliver</w:t>
      </w:r>
      <w:r w:rsidR="001A7CA3">
        <w:rPr>
          <w:rFonts w:cstheme="minorHAnsi"/>
          <w:sz w:val="21"/>
          <w:szCs w:val="21"/>
        </w:rPr>
        <w:t>ing</w:t>
      </w:r>
      <w:r>
        <w:rPr>
          <w:rFonts w:cstheme="minorHAnsi"/>
          <w:sz w:val="21"/>
          <w:szCs w:val="21"/>
        </w:rPr>
        <w:t xml:space="preserve"> relief to small businesses</w:t>
      </w:r>
      <w:r w:rsidR="001A7CA3">
        <w:rPr>
          <w:rFonts w:cstheme="minorHAnsi"/>
          <w:sz w:val="21"/>
          <w:szCs w:val="21"/>
        </w:rPr>
        <w:t>; and iii) b</w:t>
      </w:r>
      <w:r>
        <w:rPr>
          <w:rFonts w:cstheme="minorHAnsi"/>
          <w:sz w:val="21"/>
          <w:szCs w:val="21"/>
        </w:rPr>
        <w:t>etter distribut</w:t>
      </w:r>
      <w:r w:rsidR="001A7CA3">
        <w:rPr>
          <w:rFonts w:cstheme="minorHAnsi"/>
          <w:sz w:val="21"/>
          <w:szCs w:val="21"/>
        </w:rPr>
        <w:t>ing</w:t>
      </w:r>
      <w:r>
        <w:rPr>
          <w:rFonts w:cstheme="minorHAnsi"/>
          <w:sz w:val="21"/>
          <w:szCs w:val="21"/>
        </w:rPr>
        <w:t xml:space="preserve"> the economic impacts of market intervention across the value chain</w:t>
      </w:r>
      <w:r w:rsidR="001A7CA3">
        <w:rPr>
          <w:rFonts w:cstheme="minorHAnsi"/>
          <w:sz w:val="21"/>
          <w:szCs w:val="21"/>
        </w:rPr>
        <w:t xml:space="preserve">. </w:t>
      </w:r>
    </w:p>
    <w:p w14:paraId="26856562" w14:textId="49FDA3FB" w:rsidR="00C11E1B" w:rsidRDefault="00D163FE" w:rsidP="00D163FE">
      <w:pPr>
        <w:rPr>
          <w:rFonts w:cstheme="minorHAnsi"/>
          <w:sz w:val="21"/>
          <w:szCs w:val="21"/>
        </w:rPr>
      </w:pPr>
      <w:r>
        <w:rPr>
          <w:rFonts w:cstheme="minorHAnsi"/>
          <w:sz w:val="21"/>
          <w:szCs w:val="21"/>
        </w:rPr>
        <w:t xml:space="preserve">We do not </w:t>
      </w:r>
      <w:r w:rsidR="00C11E1B" w:rsidRPr="00176E20">
        <w:rPr>
          <w:rFonts w:cstheme="minorHAnsi"/>
          <w:sz w:val="21"/>
          <w:szCs w:val="21"/>
        </w:rPr>
        <w:t xml:space="preserve">believe </w:t>
      </w:r>
      <w:r w:rsidR="008B789C">
        <w:rPr>
          <w:rFonts w:cstheme="minorHAnsi"/>
          <w:sz w:val="21"/>
          <w:szCs w:val="21"/>
        </w:rPr>
        <w:t>the Cost Study’s</w:t>
      </w:r>
      <w:r w:rsidR="00C11E1B" w:rsidRPr="00176E20">
        <w:rPr>
          <w:rFonts w:cstheme="minorHAnsi"/>
          <w:sz w:val="21"/>
          <w:szCs w:val="21"/>
        </w:rPr>
        <w:t xml:space="preserve"> assumed net benefits to consumers and merchants will materialise. </w:t>
      </w:r>
      <w:r w:rsidR="00C71B16">
        <w:rPr>
          <w:rFonts w:cstheme="minorHAnsi"/>
          <w:sz w:val="21"/>
          <w:szCs w:val="21"/>
        </w:rPr>
        <w:t>Further</w:t>
      </w:r>
      <w:r w:rsidR="008B789C">
        <w:rPr>
          <w:rFonts w:cstheme="minorHAnsi"/>
          <w:sz w:val="21"/>
          <w:szCs w:val="21"/>
        </w:rPr>
        <w:t>, we believe there</w:t>
      </w:r>
      <w:r w:rsidR="00C11E1B" w:rsidRPr="00176E20">
        <w:rPr>
          <w:rFonts w:cstheme="minorHAnsi"/>
          <w:sz w:val="21"/>
          <w:szCs w:val="21"/>
        </w:rPr>
        <w:t xml:space="preserve"> will be a material and surely unintended value transfer away from Australian businesses and payments infrastructure providers to offshore service providers</w:t>
      </w:r>
      <w:r w:rsidR="00C11E1B" w:rsidRPr="00176E20" w:rsidDel="00A47366">
        <w:rPr>
          <w:rFonts w:cstheme="minorHAnsi"/>
          <w:sz w:val="21"/>
          <w:szCs w:val="21"/>
        </w:rPr>
        <w:t xml:space="preserve">. </w:t>
      </w:r>
      <w:r w:rsidR="00463069">
        <w:rPr>
          <w:rFonts w:cstheme="minorHAnsi"/>
          <w:sz w:val="21"/>
          <w:szCs w:val="21"/>
        </w:rPr>
        <w:t xml:space="preserve">We have sought to address these </w:t>
      </w:r>
      <w:r w:rsidR="00DF5C71">
        <w:rPr>
          <w:rFonts w:cstheme="minorHAnsi"/>
          <w:sz w:val="21"/>
          <w:szCs w:val="21"/>
        </w:rPr>
        <w:t xml:space="preserve">implications through </w:t>
      </w:r>
      <w:r w:rsidR="00EA46A0">
        <w:rPr>
          <w:rFonts w:cstheme="minorHAnsi"/>
          <w:sz w:val="21"/>
          <w:szCs w:val="21"/>
        </w:rPr>
        <w:t>this</w:t>
      </w:r>
      <w:r w:rsidR="00DF5C71">
        <w:rPr>
          <w:rFonts w:cstheme="minorHAnsi"/>
          <w:sz w:val="21"/>
          <w:szCs w:val="21"/>
        </w:rPr>
        <w:t xml:space="preserve"> </w:t>
      </w:r>
      <w:r w:rsidR="004B47D9">
        <w:rPr>
          <w:rFonts w:cstheme="minorHAnsi"/>
          <w:sz w:val="21"/>
          <w:szCs w:val="21"/>
        </w:rPr>
        <w:t xml:space="preserve">alternative model. </w:t>
      </w:r>
    </w:p>
    <w:p w14:paraId="023F972F" w14:textId="02E64019" w:rsidR="00255238" w:rsidRDefault="00255238" w:rsidP="00255238">
      <w:pPr>
        <w:rPr>
          <w:rFonts w:cstheme="minorHAnsi"/>
          <w:sz w:val="21"/>
          <w:szCs w:val="21"/>
        </w:rPr>
      </w:pPr>
      <w:r w:rsidRPr="00255238">
        <w:rPr>
          <w:rFonts w:cstheme="minorHAnsi"/>
          <w:sz w:val="21"/>
          <w:szCs w:val="21"/>
        </w:rPr>
        <w:t>Our concerns are heightened given the geopolitical context. Given increased tension globally in the region, we believe we need greater resilience</w:t>
      </w:r>
      <w:r>
        <w:rPr>
          <w:rFonts w:cstheme="minorHAnsi"/>
          <w:sz w:val="21"/>
          <w:szCs w:val="21"/>
        </w:rPr>
        <w:t xml:space="preserve"> across the economy and in payments</w:t>
      </w:r>
      <w:r w:rsidRPr="00255238">
        <w:rPr>
          <w:rFonts w:cstheme="minorHAnsi"/>
          <w:sz w:val="21"/>
          <w:szCs w:val="21"/>
        </w:rPr>
        <w:t xml:space="preserve">. </w:t>
      </w:r>
      <w:r>
        <w:rPr>
          <w:rFonts w:cstheme="minorHAnsi"/>
          <w:sz w:val="21"/>
          <w:szCs w:val="21"/>
        </w:rPr>
        <w:t xml:space="preserve">Almost </w:t>
      </w:r>
      <w:proofErr w:type="gramStart"/>
      <w:r>
        <w:rPr>
          <w:rFonts w:cstheme="minorHAnsi"/>
          <w:sz w:val="21"/>
          <w:szCs w:val="21"/>
        </w:rPr>
        <w:t>all of</w:t>
      </w:r>
      <w:proofErr w:type="gramEnd"/>
      <w:r>
        <w:rPr>
          <w:rFonts w:cstheme="minorHAnsi"/>
          <w:sz w:val="21"/>
          <w:szCs w:val="21"/>
        </w:rPr>
        <w:t xml:space="preserve"> the economic impacts </w:t>
      </w:r>
      <w:r w:rsidR="005E2AB9">
        <w:rPr>
          <w:rFonts w:cstheme="minorHAnsi"/>
          <w:sz w:val="21"/>
          <w:szCs w:val="21"/>
        </w:rPr>
        <w:t xml:space="preserve">of the proposed interventions </w:t>
      </w:r>
      <w:r>
        <w:rPr>
          <w:rFonts w:cstheme="minorHAnsi"/>
          <w:sz w:val="21"/>
          <w:szCs w:val="21"/>
        </w:rPr>
        <w:t xml:space="preserve">will be borne by the domestic card issuers. These are the entities that fund the domestic infrastructure, risk, regulatory and operational costs of the system. It will be these entities that will need to support the national agenda in the event of a crisis. </w:t>
      </w:r>
      <w:r w:rsidRPr="00255238">
        <w:rPr>
          <w:rFonts w:cstheme="minorHAnsi"/>
          <w:sz w:val="21"/>
          <w:szCs w:val="21"/>
        </w:rPr>
        <w:t>At a time when other countries are strengthening their domestic institutions, we seem to be unintentionally weakening ours.</w:t>
      </w:r>
    </w:p>
    <w:p w14:paraId="7ED41BF6" w14:textId="745637C9" w:rsidR="00B40B4F" w:rsidRPr="00C631C4" w:rsidRDefault="00B2199B" w:rsidP="00B2199B">
      <w:pPr>
        <w:rPr>
          <w:rFonts w:cstheme="minorHAnsi"/>
          <w:sz w:val="21"/>
          <w:szCs w:val="21"/>
        </w:rPr>
      </w:pPr>
      <w:r w:rsidRPr="00C631C4">
        <w:rPr>
          <w:rFonts w:cstheme="minorHAnsi"/>
          <w:sz w:val="21"/>
          <w:szCs w:val="21"/>
        </w:rPr>
        <w:lastRenderedPageBreak/>
        <w:t xml:space="preserve">This paper </w:t>
      </w:r>
      <w:r w:rsidR="004B47D9">
        <w:rPr>
          <w:rFonts w:cstheme="minorHAnsi"/>
          <w:sz w:val="21"/>
          <w:szCs w:val="21"/>
        </w:rPr>
        <w:t>contains five sections</w:t>
      </w:r>
      <w:r w:rsidR="004B47D9" w:rsidRPr="008B70EB">
        <w:rPr>
          <w:rFonts w:cstheme="minorHAnsi"/>
          <w:sz w:val="21"/>
          <w:szCs w:val="21"/>
        </w:rPr>
        <w:t>:</w:t>
      </w:r>
    </w:p>
    <w:p w14:paraId="3840AA0B" w14:textId="2025E978" w:rsidR="00B2199B" w:rsidRPr="00C631C4" w:rsidRDefault="00B2199B" w:rsidP="00B2199B">
      <w:pPr>
        <w:pStyle w:val="ListParagraph"/>
        <w:numPr>
          <w:ilvl w:val="0"/>
          <w:numId w:val="24"/>
        </w:numPr>
        <w:contextualSpacing w:val="0"/>
        <w:rPr>
          <w:rFonts w:cstheme="minorHAnsi"/>
          <w:sz w:val="21"/>
          <w:szCs w:val="21"/>
        </w:rPr>
      </w:pPr>
      <w:r w:rsidRPr="007948F7">
        <w:rPr>
          <w:rFonts w:cstheme="minorHAnsi"/>
          <w:b/>
          <w:bCs/>
          <w:sz w:val="21"/>
          <w:szCs w:val="21"/>
        </w:rPr>
        <w:t>International market comparison</w:t>
      </w:r>
      <w:r>
        <w:rPr>
          <w:rFonts w:cstheme="minorHAnsi"/>
          <w:sz w:val="21"/>
          <w:szCs w:val="21"/>
        </w:rPr>
        <w:t xml:space="preserve"> – we do not believe that comparisons with international markets are accurate.</w:t>
      </w:r>
      <w:r w:rsidR="000803BC">
        <w:rPr>
          <w:rFonts w:cstheme="minorHAnsi"/>
          <w:sz w:val="21"/>
          <w:szCs w:val="21"/>
        </w:rPr>
        <w:t xml:space="preserve"> </w:t>
      </w:r>
      <w:r>
        <w:rPr>
          <w:rFonts w:cstheme="minorHAnsi"/>
          <w:sz w:val="21"/>
          <w:szCs w:val="21"/>
        </w:rPr>
        <w:t xml:space="preserve">The proposed changes will result in a materially lower interchange in Australia than in the UK and EU. </w:t>
      </w:r>
    </w:p>
    <w:p w14:paraId="23C83C84" w14:textId="0FC90F2C" w:rsidR="00B2199B" w:rsidRPr="00C631C4" w:rsidRDefault="00B2199B" w:rsidP="00B2199B">
      <w:pPr>
        <w:pStyle w:val="ListParagraph"/>
        <w:numPr>
          <w:ilvl w:val="0"/>
          <w:numId w:val="24"/>
        </w:numPr>
        <w:contextualSpacing w:val="0"/>
        <w:rPr>
          <w:rFonts w:cstheme="minorHAnsi"/>
          <w:sz w:val="21"/>
          <w:szCs w:val="21"/>
        </w:rPr>
      </w:pPr>
      <w:r w:rsidRPr="007948F7">
        <w:rPr>
          <w:rFonts w:cstheme="minorHAnsi"/>
          <w:b/>
          <w:bCs/>
          <w:sz w:val="21"/>
          <w:szCs w:val="21"/>
        </w:rPr>
        <w:t>Cost Study inclusions</w:t>
      </w:r>
      <w:r>
        <w:rPr>
          <w:rFonts w:cstheme="minorHAnsi"/>
          <w:sz w:val="21"/>
          <w:szCs w:val="21"/>
        </w:rPr>
        <w:t xml:space="preserve"> – there have been material changes to the methodology versus prior cost studies. As a result, while the </w:t>
      </w:r>
      <w:r w:rsidRPr="00C631C4">
        <w:rPr>
          <w:rFonts w:cstheme="minorHAnsi"/>
          <w:sz w:val="21"/>
          <w:szCs w:val="21"/>
        </w:rPr>
        <w:t xml:space="preserve">Cost Study </w:t>
      </w:r>
      <w:r>
        <w:rPr>
          <w:rFonts w:cstheme="minorHAnsi"/>
          <w:sz w:val="21"/>
          <w:szCs w:val="21"/>
        </w:rPr>
        <w:t xml:space="preserve">shows that </w:t>
      </w:r>
      <w:r w:rsidRPr="00C631C4">
        <w:rPr>
          <w:rFonts w:cstheme="minorHAnsi"/>
          <w:sz w:val="21"/>
          <w:szCs w:val="21"/>
        </w:rPr>
        <w:t xml:space="preserve">eligible costs have decreased by </w:t>
      </w:r>
      <w:r>
        <w:rPr>
          <w:rFonts w:cstheme="minorHAnsi"/>
          <w:sz w:val="21"/>
          <w:szCs w:val="21"/>
        </w:rPr>
        <w:t>~</w:t>
      </w:r>
      <w:r w:rsidRPr="00C631C4">
        <w:rPr>
          <w:rFonts w:cstheme="minorHAnsi"/>
          <w:sz w:val="21"/>
          <w:szCs w:val="21"/>
        </w:rPr>
        <w:t>40%+ between 2013 and 2024</w:t>
      </w:r>
      <w:r>
        <w:rPr>
          <w:rFonts w:cstheme="minorHAnsi"/>
          <w:sz w:val="21"/>
          <w:szCs w:val="21"/>
        </w:rPr>
        <w:t>, these</w:t>
      </w:r>
      <w:r w:rsidRPr="00C631C4">
        <w:rPr>
          <w:rFonts w:cstheme="minorHAnsi"/>
          <w:sz w:val="21"/>
          <w:szCs w:val="21"/>
        </w:rPr>
        <w:t xml:space="preserve"> are difficult to reconcile with our experience</w:t>
      </w:r>
      <w:r>
        <w:rPr>
          <w:rFonts w:cstheme="minorHAnsi"/>
          <w:sz w:val="21"/>
          <w:szCs w:val="21"/>
        </w:rPr>
        <w:t xml:space="preserve"> and </w:t>
      </w:r>
      <w:r w:rsidR="008639C0">
        <w:rPr>
          <w:rFonts w:cstheme="minorHAnsi"/>
          <w:sz w:val="21"/>
          <w:szCs w:val="21"/>
        </w:rPr>
        <w:t xml:space="preserve">likely </w:t>
      </w:r>
      <w:r>
        <w:rPr>
          <w:rFonts w:cstheme="minorHAnsi"/>
          <w:sz w:val="21"/>
          <w:szCs w:val="21"/>
        </w:rPr>
        <w:t>reflect changes in methodology rather than changes in underlying economics</w:t>
      </w:r>
      <w:r w:rsidRPr="00C631C4">
        <w:rPr>
          <w:rFonts w:cstheme="minorHAnsi"/>
          <w:sz w:val="21"/>
          <w:szCs w:val="21"/>
        </w:rPr>
        <w:t>.</w:t>
      </w:r>
    </w:p>
    <w:p w14:paraId="0AC08B36" w14:textId="03D6AD44" w:rsidR="00A76181" w:rsidRPr="000224A1" w:rsidRDefault="00B2199B" w:rsidP="00213A75">
      <w:pPr>
        <w:pStyle w:val="ListParagraph"/>
        <w:numPr>
          <w:ilvl w:val="0"/>
          <w:numId w:val="24"/>
        </w:numPr>
        <w:contextualSpacing w:val="0"/>
        <w:rPr>
          <w:rFonts w:cstheme="minorHAnsi"/>
          <w:b/>
          <w:sz w:val="21"/>
          <w:szCs w:val="21"/>
        </w:rPr>
      </w:pPr>
      <w:r w:rsidRPr="007948F7">
        <w:rPr>
          <w:rFonts w:cstheme="minorHAnsi"/>
          <w:b/>
          <w:bCs/>
          <w:sz w:val="21"/>
          <w:szCs w:val="21"/>
        </w:rPr>
        <w:t>Cost Study process</w:t>
      </w:r>
      <w:r w:rsidRPr="000224A1">
        <w:rPr>
          <w:rFonts w:cstheme="minorHAnsi"/>
          <w:b/>
          <w:sz w:val="21"/>
          <w:szCs w:val="21"/>
        </w:rPr>
        <w:t xml:space="preserve"> </w:t>
      </w:r>
      <w:r>
        <w:rPr>
          <w:rFonts w:cstheme="minorHAnsi"/>
          <w:sz w:val="21"/>
          <w:szCs w:val="21"/>
        </w:rPr>
        <w:t xml:space="preserve">– compared to prior consultations, this process has been heavily compressed. We believe that more time is required to work through some of the points raised and </w:t>
      </w:r>
      <w:r w:rsidR="00027F4D">
        <w:rPr>
          <w:rFonts w:cstheme="minorHAnsi"/>
          <w:sz w:val="21"/>
          <w:szCs w:val="21"/>
        </w:rPr>
        <w:t xml:space="preserve">appreciate </w:t>
      </w:r>
      <w:r w:rsidRPr="00515CD7">
        <w:rPr>
          <w:rFonts w:cstheme="minorHAnsi"/>
          <w:sz w:val="21"/>
          <w:szCs w:val="21"/>
        </w:rPr>
        <w:t>the RBA</w:t>
      </w:r>
      <w:r w:rsidR="001F2307">
        <w:rPr>
          <w:rFonts w:cstheme="minorHAnsi"/>
          <w:sz w:val="21"/>
          <w:szCs w:val="21"/>
        </w:rPr>
        <w:t>’s decision</w:t>
      </w:r>
      <w:r w:rsidRPr="00515CD7">
        <w:rPr>
          <w:rFonts w:cstheme="minorHAnsi"/>
          <w:sz w:val="21"/>
          <w:szCs w:val="21"/>
        </w:rPr>
        <w:t xml:space="preserve"> to review additional data, and work through key points</w:t>
      </w:r>
      <w:r>
        <w:rPr>
          <w:rFonts w:cstheme="minorHAnsi"/>
          <w:sz w:val="21"/>
          <w:szCs w:val="21"/>
        </w:rPr>
        <w:t>.</w:t>
      </w:r>
    </w:p>
    <w:p w14:paraId="4E4A12D0" w14:textId="22A7B907" w:rsidR="00A76181" w:rsidRPr="000224A1" w:rsidRDefault="008D5BE7" w:rsidP="6BB4EC77">
      <w:pPr>
        <w:pStyle w:val="ListParagraph"/>
        <w:numPr>
          <w:ilvl w:val="0"/>
          <w:numId w:val="24"/>
        </w:numPr>
        <w:contextualSpacing w:val="0"/>
        <w:rPr>
          <w:rFonts w:cstheme="minorHAnsi"/>
          <w:b/>
          <w:sz w:val="21"/>
          <w:szCs w:val="21"/>
        </w:rPr>
      </w:pPr>
      <w:r w:rsidRPr="6BB4EC77">
        <w:rPr>
          <w:b/>
          <w:bCs/>
          <w:sz w:val="21"/>
          <w:szCs w:val="21"/>
        </w:rPr>
        <w:t>Economic Model and Assumed Benefits</w:t>
      </w:r>
      <w:r w:rsidR="1BD9BEFD" w:rsidRPr="6BB4EC77">
        <w:rPr>
          <w:b/>
          <w:bCs/>
          <w:sz w:val="21"/>
          <w:szCs w:val="21"/>
        </w:rPr>
        <w:t xml:space="preserve"> </w:t>
      </w:r>
      <w:r w:rsidR="1BD9BEFD" w:rsidRPr="000224A1">
        <w:rPr>
          <w:rFonts w:cstheme="minorHAnsi"/>
          <w:sz w:val="21"/>
          <w:szCs w:val="21"/>
        </w:rPr>
        <w:t xml:space="preserve">– </w:t>
      </w:r>
      <w:r w:rsidR="00F1181D">
        <w:rPr>
          <w:sz w:val="21"/>
          <w:szCs w:val="21"/>
        </w:rPr>
        <w:t xml:space="preserve">we have </w:t>
      </w:r>
      <w:r w:rsidR="00F1181D" w:rsidRPr="4E279791">
        <w:rPr>
          <w:sz w:val="21"/>
          <w:szCs w:val="21"/>
        </w:rPr>
        <w:t>engaged Mandala Partners</w:t>
      </w:r>
      <w:r w:rsidR="00F1181D">
        <w:rPr>
          <w:sz w:val="21"/>
          <w:szCs w:val="21"/>
        </w:rPr>
        <w:t xml:space="preserve"> to model the second order implications of the proposed interchange reforms, focused on how benefits and costs will be distributed based on international experience. We do not believe the assumed net benefits will materialise for small businesses or consumers. We have also modelled </w:t>
      </w:r>
      <w:r w:rsidR="00F1181D" w:rsidRPr="6BB4EC77">
        <w:rPr>
          <w:sz w:val="21"/>
          <w:szCs w:val="21"/>
        </w:rPr>
        <w:t xml:space="preserve">the impact </w:t>
      </w:r>
      <w:r w:rsidR="00F1181D">
        <w:rPr>
          <w:sz w:val="21"/>
          <w:szCs w:val="21"/>
        </w:rPr>
        <w:t>on</w:t>
      </w:r>
      <w:r w:rsidR="00F1181D" w:rsidRPr="6BB4EC77">
        <w:rPr>
          <w:sz w:val="21"/>
          <w:szCs w:val="21"/>
        </w:rPr>
        <w:t xml:space="preserve"> three-party schemes, digital wallets</w:t>
      </w:r>
      <w:r w:rsidR="00F1181D" w:rsidRPr="0046220A">
        <w:rPr>
          <w:sz w:val="21"/>
          <w:szCs w:val="21"/>
        </w:rPr>
        <w:t>, and scheme fees</w:t>
      </w:r>
      <w:r w:rsidR="00A16035">
        <w:rPr>
          <w:sz w:val="21"/>
          <w:szCs w:val="21"/>
        </w:rPr>
        <w:t xml:space="preserve">. </w:t>
      </w:r>
    </w:p>
    <w:p w14:paraId="6D4200A1" w14:textId="343B6BA6" w:rsidR="001A6251" w:rsidRDefault="001A6251" w:rsidP="00B2199B">
      <w:pPr>
        <w:pStyle w:val="ListParagraph"/>
        <w:numPr>
          <w:ilvl w:val="0"/>
          <w:numId w:val="24"/>
        </w:numPr>
        <w:contextualSpacing w:val="0"/>
        <w:rPr>
          <w:rFonts w:cstheme="minorHAnsi"/>
          <w:b/>
          <w:bCs/>
          <w:sz w:val="21"/>
          <w:szCs w:val="21"/>
        </w:rPr>
      </w:pPr>
      <w:r>
        <w:rPr>
          <w:rFonts w:cstheme="minorHAnsi"/>
          <w:b/>
          <w:bCs/>
          <w:sz w:val="21"/>
          <w:szCs w:val="21"/>
        </w:rPr>
        <w:t>Alternative Proposal</w:t>
      </w:r>
      <w:r w:rsidR="00801DFC">
        <w:rPr>
          <w:rFonts w:cstheme="minorHAnsi"/>
          <w:b/>
          <w:bCs/>
          <w:sz w:val="21"/>
          <w:szCs w:val="21"/>
        </w:rPr>
        <w:t xml:space="preserve"> </w:t>
      </w:r>
      <w:r w:rsidR="00BC5457" w:rsidRPr="000224A1">
        <w:rPr>
          <w:rFonts w:cstheme="minorHAnsi"/>
          <w:sz w:val="21"/>
          <w:szCs w:val="21"/>
        </w:rPr>
        <w:t xml:space="preserve">– </w:t>
      </w:r>
      <w:r w:rsidR="00505B5C" w:rsidRPr="000224A1">
        <w:rPr>
          <w:rFonts w:cstheme="minorHAnsi"/>
          <w:sz w:val="21"/>
          <w:szCs w:val="21"/>
        </w:rPr>
        <w:t xml:space="preserve">we have </w:t>
      </w:r>
      <w:r w:rsidR="00F95A49" w:rsidRPr="000224A1">
        <w:rPr>
          <w:rFonts w:cstheme="minorHAnsi"/>
          <w:sz w:val="21"/>
          <w:szCs w:val="21"/>
        </w:rPr>
        <w:t xml:space="preserve">developed an alternative proposal, which continues to deliver interchange cost outcomes </w:t>
      </w:r>
      <w:r w:rsidR="00D515C9">
        <w:rPr>
          <w:rFonts w:cstheme="minorHAnsi"/>
          <w:sz w:val="21"/>
          <w:szCs w:val="21"/>
        </w:rPr>
        <w:t>among</w:t>
      </w:r>
      <w:r w:rsidR="00F95A49" w:rsidRPr="000224A1">
        <w:rPr>
          <w:rFonts w:cstheme="minorHAnsi"/>
          <w:sz w:val="21"/>
          <w:szCs w:val="21"/>
        </w:rPr>
        <w:t xml:space="preserve"> the lowest markets globally, delivers relief to small businesses; and better distributes the economic impacts of market intervention across the value chain. We believe it will </w:t>
      </w:r>
      <w:r w:rsidR="009752E9" w:rsidRPr="000224A1">
        <w:rPr>
          <w:rFonts w:cstheme="minorHAnsi"/>
          <w:sz w:val="21"/>
          <w:szCs w:val="21"/>
        </w:rPr>
        <w:t xml:space="preserve">better </w:t>
      </w:r>
      <w:r w:rsidR="00F95A49" w:rsidRPr="000224A1">
        <w:rPr>
          <w:rFonts w:cstheme="minorHAnsi"/>
          <w:sz w:val="21"/>
          <w:szCs w:val="21"/>
        </w:rPr>
        <w:t xml:space="preserve">meet the </w:t>
      </w:r>
      <w:r w:rsidR="009752E9" w:rsidRPr="000224A1">
        <w:rPr>
          <w:rFonts w:cstheme="minorHAnsi"/>
          <w:sz w:val="21"/>
          <w:szCs w:val="21"/>
        </w:rPr>
        <w:t>RBA’s objectives and the national interest.</w:t>
      </w:r>
      <w:r w:rsidR="00886F8B" w:rsidRPr="000224A1">
        <w:rPr>
          <w:rFonts w:cstheme="minorHAnsi"/>
          <w:sz w:val="21"/>
          <w:szCs w:val="21"/>
        </w:rPr>
        <w:t xml:space="preserve"> </w:t>
      </w:r>
    </w:p>
    <w:p w14:paraId="0882F765" w14:textId="77777777" w:rsidR="000C047A" w:rsidRPr="00C631C4" w:rsidRDefault="000C047A" w:rsidP="00B2199B">
      <w:pPr>
        <w:rPr>
          <w:rFonts w:cstheme="minorHAnsi"/>
          <w:sz w:val="21"/>
          <w:szCs w:val="21"/>
        </w:rPr>
      </w:pPr>
    </w:p>
    <w:p w14:paraId="43B2DB0C" w14:textId="77777777" w:rsidR="00F646B7" w:rsidRDefault="00F646B7">
      <w:pPr>
        <w:spacing w:after="160"/>
        <w:rPr>
          <w:rFonts w:cstheme="minorHAnsi"/>
          <w:b/>
          <w:bCs/>
          <w:sz w:val="21"/>
          <w:szCs w:val="21"/>
        </w:rPr>
      </w:pPr>
      <w:r>
        <w:br w:type="page"/>
      </w:r>
    </w:p>
    <w:p w14:paraId="48736D49" w14:textId="0DE6CF60" w:rsidR="00B2199B" w:rsidRPr="00C46095" w:rsidRDefault="00B2199B" w:rsidP="00F646B7">
      <w:pPr>
        <w:pStyle w:val="Header1"/>
        <w:rPr>
          <w:b w:val="0"/>
          <w:bCs w:val="0"/>
          <w:color w:val="000000"/>
        </w:rPr>
      </w:pPr>
      <w:r w:rsidRPr="00C46095">
        <w:lastRenderedPageBreak/>
        <w:t>INTERNATIONAL MARKET COMPARISON</w:t>
      </w:r>
    </w:p>
    <w:p w14:paraId="0F3461A3" w14:textId="77777777" w:rsidR="00B2199B" w:rsidRDefault="00B2199B" w:rsidP="00B2199B">
      <w:pPr>
        <w:rPr>
          <w:rFonts w:cstheme="minorHAnsi"/>
          <w:sz w:val="21"/>
          <w:szCs w:val="21"/>
        </w:rPr>
      </w:pPr>
      <w:r>
        <w:rPr>
          <w:rFonts w:cstheme="minorHAnsi"/>
          <w:sz w:val="21"/>
          <w:szCs w:val="21"/>
        </w:rPr>
        <w:t xml:space="preserve">We do not believe that comparisons with international markets are accurate. </w:t>
      </w:r>
      <w:r w:rsidRPr="00C631C4">
        <w:rPr>
          <w:rFonts w:cstheme="minorHAnsi"/>
          <w:sz w:val="21"/>
          <w:szCs w:val="21"/>
        </w:rPr>
        <w:t>The Consultation Paper states that “</w:t>
      </w:r>
      <w:r>
        <w:rPr>
          <w:rFonts w:cstheme="minorHAnsi"/>
          <w:i/>
          <w:iCs/>
          <w:sz w:val="21"/>
          <w:szCs w:val="21"/>
        </w:rPr>
        <w:t>[current interchange]</w:t>
      </w:r>
      <w:r w:rsidRPr="00C631C4">
        <w:rPr>
          <w:rFonts w:cstheme="minorHAnsi"/>
          <w:i/>
          <w:iCs/>
          <w:sz w:val="21"/>
          <w:szCs w:val="21"/>
        </w:rPr>
        <w:t xml:space="preserve"> fees are higher in Australia than in some other jurisdictions, notably Europe and the United Kingdom (which have caps of 0.3 per cent)</w:t>
      </w:r>
      <w:r w:rsidRPr="00C631C4">
        <w:rPr>
          <w:rFonts w:cstheme="minorHAnsi"/>
          <w:sz w:val="21"/>
          <w:szCs w:val="21"/>
        </w:rPr>
        <w:t>”</w:t>
      </w:r>
      <w:r w:rsidRPr="00C631C4">
        <w:rPr>
          <w:rStyle w:val="FootnoteReference"/>
          <w:rFonts w:cstheme="minorHAnsi"/>
          <w:sz w:val="21"/>
          <w:szCs w:val="21"/>
        </w:rPr>
        <w:footnoteReference w:id="1"/>
      </w:r>
      <w:r>
        <w:rPr>
          <w:rFonts w:cstheme="minorHAnsi"/>
          <w:sz w:val="21"/>
          <w:szCs w:val="21"/>
        </w:rPr>
        <w:t>.</w:t>
      </w:r>
    </w:p>
    <w:p w14:paraId="67927511" w14:textId="5BD434F1" w:rsidR="00B2199B" w:rsidRDefault="00B2199B" w:rsidP="00B2199B">
      <w:pPr>
        <w:rPr>
          <w:rFonts w:cstheme="minorHAnsi"/>
          <w:sz w:val="21"/>
          <w:szCs w:val="21"/>
        </w:rPr>
      </w:pPr>
      <w:r>
        <w:rPr>
          <w:rFonts w:cstheme="minorHAnsi"/>
          <w:sz w:val="21"/>
          <w:szCs w:val="21"/>
        </w:rPr>
        <w:t>B</w:t>
      </w:r>
      <w:r w:rsidRPr="00C631C4">
        <w:rPr>
          <w:rFonts w:cstheme="minorHAnsi"/>
          <w:sz w:val="21"/>
          <w:szCs w:val="21"/>
        </w:rPr>
        <w:t>ased on our analysis</w:t>
      </w:r>
      <w:r w:rsidR="0026045D">
        <w:rPr>
          <w:rFonts w:cstheme="minorHAnsi"/>
          <w:sz w:val="21"/>
          <w:szCs w:val="21"/>
        </w:rPr>
        <w:t>,</w:t>
      </w:r>
      <w:r w:rsidRPr="00C631C4">
        <w:rPr>
          <w:rFonts w:cstheme="minorHAnsi"/>
          <w:sz w:val="21"/>
          <w:szCs w:val="21"/>
        </w:rPr>
        <w:t xml:space="preserve"> Australia’s average total interchange across debit and credit is currently </w:t>
      </w:r>
      <w:r>
        <w:rPr>
          <w:rFonts w:cstheme="minorHAnsi"/>
          <w:sz w:val="21"/>
          <w:szCs w:val="21"/>
        </w:rPr>
        <w:t>~</w:t>
      </w:r>
      <w:r w:rsidR="00DC5821">
        <w:rPr>
          <w:rFonts w:cstheme="minorHAnsi"/>
          <w:sz w:val="21"/>
          <w:szCs w:val="21"/>
        </w:rPr>
        <w:t>2</w:t>
      </w:r>
      <w:r>
        <w:rPr>
          <w:rFonts w:cstheme="minorHAnsi"/>
          <w:sz w:val="21"/>
          <w:szCs w:val="21"/>
        </w:rPr>
        <w:t>0% below</w:t>
      </w:r>
      <w:r w:rsidRPr="00C631C4">
        <w:rPr>
          <w:rFonts w:cstheme="minorHAnsi"/>
          <w:sz w:val="21"/>
          <w:szCs w:val="21"/>
        </w:rPr>
        <w:t xml:space="preserve"> Europe</w:t>
      </w:r>
      <w:r>
        <w:rPr>
          <w:rFonts w:cstheme="minorHAnsi"/>
          <w:sz w:val="21"/>
          <w:szCs w:val="21"/>
        </w:rPr>
        <w:t xml:space="preserve">. </w:t>
      </w:r>
      <w:r w:rsidRPr="00C631C4">
        <w:rPr>
          <w:rFonts w:cstheme="minorHAnsi"/>
          <w:sz w:val="21"/>
          <w:szCs w:val="21"/>
        </w:rPr>
        <w:t xml:space="preserve">Australia </w:t>
      </w:r>
      <w:r>
        <w:rPr>
          <w:rFonts w:cstheme="minorHAnsi"/>
          <w:sz w:val="21"/>
          <w:szCs w:val="21"/>
        </w:rPr>
        <w:t xml:space="preserve">is </w:t>
      </w:r>
      <w:r w:rsidRPr="00C631C4">
        <w:rPr>
          <w:rFonts w:cstheme="minorHAnsi"/>
          <w:sz w:val="21"/>
          <w:szCs w:val="21"/>
        </w:rPr>
        <w:t>lower on debit (</w:t>
      </w:r>
      <w:r w:rsidRPr="001A5A71">
        <w:rPr>
          <w:rFonts w:cstheme="minorHAnsi"/>
          <w:sz w:val="21"/>
          <w:szCs w:val="21"/>
        </w:rPr>
        <w:t>1</w:t>
      </w:r>
      <w:r>
        <w:rPr>
          <w:rFonts w:cstheme="minorHAnsi"/>
          <w:sz w:val="21"/>
          <w:szCs w:val="21"/>
        </w:rPr>
        <w:t>2</w:t>
      </w:r>
      <w:r w:rsidR="009D3A4F">
        <w:rPr>
          <w:rFonts w:cstheme="minorHAnsi"/>
          <w:sz w:val="21"/>
          <w:szCs w:val="21"/>
        </w:rPr>
        <w:t xml:space="preserve"> </w:t>
      </w:r>
      <w:r w:rsidRPr="001A5A71">
        <w:rPr>
          <w:rFonts w:cstheme="minorHAnsi"/>
          <w:sz w:val="21"/>
          <w:szCs w:val="21"/>
        </w:rPr>
        <w:t>b</w:t>
      </w:r>
      <w:r w:rsidR="009D3A4F">
        <w:rPr>
          <w:rFonts w:cstheme="minorHAnsi"/>
          <w:sz w:val="21"/>
          <w:szCs w:val="21"/>
        </w:rPr>
        <w:t>asis points</w:t>
      </w:r>
      <w:r w:rsidR="00404290">
        <w:rPr>
          <w:rFonts w:cstheme="minorHAnsi"/>
          <w:sz w:val="21"/>
          <w:szCs w:val="21"/>
        </w:rPr>
        <w:t xml:space="preserve"> </w:t>
      </w:r>
      <w:r w:rsidR="009D3A4F">
        <w:rPr>
          <w:rFonts w:cstheme="minorHAnsi"/>
          <w:sz w:val="21"/>
          <w:szCs w:val="21"/>
        </w:rPr>
        <w:t>(bps)</w:t>
      </w:r>
      <w:r w:rsidRPr="00C631C4">
        <w:rPr>
          <w:rFonts w:cstheme="minorHAnsi"/>
          <w:sz w:val="21"/>
          <w:szCs w:val="21"/>
        </w:rPr>
        <w:t xml:space="preserve"> compared to </w:t>
      </w:r>
      <w:r w:rsidRPr="001A5A71">
        <w:rPr>
          <w:rFonts w:cstheme="minorHAnsi"/>
          <w:sz w:val="21"/>
          <w:szCs w:val="21"/>
        </w:rPr>
        <w:t>2</w:t>
      </w:r>
      <w:r w:rsidR="00B62A86">
        <w:rPr>
          <w:rFonts w:cstheme="minorHAnsi"/>
          <w:sz w:val="21"/>
          <w:szCs w:val="21"/>
        </w:rPr>
        <w:t>2</w:t>
      </w:r>
      <w:r w:rsidR="00404290">
        <w:rPr>
          <w:rFonts w:cstheme="minorHAnsi"/>
          <w:sz w:val="21"/>
          <w:szCs w:val="21"/>
        </w:rPr>
        <w:t xml:space="preserve"> </w:t>
      </w:r>
      <w:r w:rsidRPr="001A5A71">
        <w:rPr>
          <w:rFonts w:cstheme="minorHAnsi"/>
          <w:sz w:val="21"/>
          <w:szCs w:val="21"/>
        </w:rPr>
        <w:t>bp</w:t>
      </w:r>
      <w:r w:rsidR="00404290">
        <w:rPr>
          <w:rFonts w:cstheme="minorHAnsi"/>
          <w:sz w:val="21"/>
          <w:szCs w:val="21"/>
        </w:rPr>
        <w:t>s</w:t>
      </w:r>
      <w:r w:rsidRPr="00C631C4">
        <w:rPr>
          <w:rFonts w:cstheme="minorHAnsi"/>
          <w:sz w:val="21"/>
          <w:szCs w:val="21"/>
        </w:rPr>
        <w:t xml:space="preserve"> in the UK and </w:t>
      </w:r>
      <w:r w:rsidR="002A6AA3">
        <w:rPr>
          <w:rFonts w:cstheme="minorHAnsi"/>
          <w:sz w:val="21"/>
          <w:szCs w:val="21"/>
        </w:rPr>
        <w:t>24</w:t>
      </w:r>
      <w:r w:rsidR="00404290">
        <w:rPr>
          <w:rFonts w:cstheme="minorHAnsi"/>
          <w:sz w:val="21"/>
          <w:szCs w:val="21"/>
        </w:rPr>
        <w:t xml:space="preserve"> </w:t>
      </w:r>
      <w:r w:rsidR="002A6AA3">
        <w:rPr>
          <w:rFonts w:cstheme="minorHAnsi"/>
          <w:sz w:val="21"/>
          <w:szCs w:val="21"/>
        </w:rPr>
        <w:t>bp</w:t>
      </w:r>
      <w:r w:rsidR="00404290">
        <w:rPr>
          <w:rFonts w:cstheme="minorHAnsi"/>
          <w:sz w:val="21"/>
          <w:szCs w:val="21"/>
        </w:rPr>
        <w:t>s</w:t>
      </w:r>
      <w:r w:rsidR="002A6AA3">
        <w:rPr>
          <w:rFonts w:cstheme="minorHAnsi"/>
          <w:sz w:val="21"/>
          <w:szCs w:val="21"/>
        </w:rPr>
        <w:t xml:space="preserve"> in </w:t>
      </w:r>
      <w:r w:rsidRPr="00C631C4">
        <w:rPr>
          <w:rFonts w:cstheme="minorHAnsi"/>
          <w:sz w:val="21"/>
          <w:szCs w:val="21"/>
        </w:rPr>
        <w:t>Europe)</w:t>
      </w:r>
      <w:r>
        <w:rPr>
          <w:rFonts w:cstheme="minorHAnsi"/>
          <w:sz w:val="21"/>
          <w:szCs w:val="21"/>
        </w:rPr>
        <w:t xml:space="preserve"> and </w:t>
      </w:r>
      <w:r w:rsidR="00EC15C8">
        <w:rPr>
          <w:rFonts w:cstheme="minorHAnsi"/>
          <w:sz w:val="21"/>
          <w:szCs w:val="21"/>
        </w:rPr>
        <w:t>higher</w:t>
      </w:r>
      <w:r>
        <w:rPr>
          <w:rFonts w:cstheme="minorHAnsi"/>
          <w:sz w:val="21"/>
          <w:szCs w:val="21"/>
        </w:rPr>
        <w:t xml:space="preserve"> on </w:t>
      </w:r>
      <w:r w:rsidRPr="00C631C4">
        <w:rPr>
          <w:rFonts w:cstheme="minorHAnsi"/>
          <w:sz w:val="21"/>
          <w:szCs w:val="21"/>
        </w:rPr>
        <w:t>credit (</w:t>
      </w:r>
      <w:r w:rsidRPr="002768D7">
        <w:rPr>
          <w:rFonts w:cstheme="minorHAnsi"/>
          <w:sz w:val="21"/>
          <w:szCs w:val="21"/>
        </w:rPr>
        <w:t>45</w:t>
      </w:r>
      <w:r w:rsidR="00546B4D">
        <w:rPr>
          <w:rFonts w:cstheme="minorHAnsi"/>
          <w:sz w:val="21"/>
          <w:szCs w:val="21"/>
        </w:rPr>
        <w:t xml:space="preserve"> </w:t>
      </w:r>
      <w:r w:rsidRPr="002768D7">
        <w:rPr>
          <w:rFonts w:cstheme="minorHAnsi"/>
          <w:sz w:val="21"/>
          <w:szCs w:val="21"/>
        </w:rPr>
        <w:t>bp</w:t>
      </w:r>
      <w:r w:rsidR="00546B4D">
        <w:rPr>
          <w:rFonts w:cstheme="minorHAnsi"/>
          <w:sz w:val="21"/>
          <w:szCs w:val="21"/>
        </w:rPr>
        <w:t>s</w:t>
      </w:r>
      <w:r w:rsidRPr="00C631C4">
        <w:rPr>
          <w:rFonts w:cstheme="minorHAnsi"/>
          <w:sz w:val="21"/>
          <w:szCs w:val="21"/>
        </w:rPr>
        <w:t xml:space="preserve"> compared to </w:t>
      </w:r>
      <w:r>
        <w:rPr>
          <w:rFonts w:cstheme="minorHAnsi"/>
          <w:sz w:val="21"/>
          <w:szCs w:val="21"/>
        </w:rPr>
        <w:t>4</w:t>
      </w:r>
      <w:r w:rsidR="006E4F7D">
        <w:rPr>
          <w:rFonts w:cstheme="minorHAnsi"/>
          <w:sz w:val="21"/>
          <w:szCs w:val="21"/>
        </w:rPr>
        <w:t>0</w:t>
      </w:r>
      <w:r w:rsidR="00546B4D">
        <w:rPr>
          <w:rFonts w:cstheme="minorHAnsi"/>
          <w:sz w:val="21"/>
          <w:szCs w:val="21"/>
        </w:rPr>
        <w:t xml:space="preserve"> </w:t>
      </w:r>
      <w:r w:rsidRPr="002768D7">
        <w:rPr>
          <w:rFonts w:cstheme="minorHAnsi"/>
          <w:sz w:val="21"/>
          <w:szCs w:val="21"/>
        </w:rPr>
        <w:t>bp</w:t>
      </w:r>
      <w:r w:rsidR="00546B4D">
        <w:rPr>
          <w:rFonts w:cstheme="minorHAnsi"/>
          <w:sz w:val="21"/>
          <w:szCs w:val="21"/>
        </w:rPr>
        <w:t>s</w:t>
      </w:r>
      <w:r w:rsidRPr="00C631C4">
        <w:rPr>
          <w:rFonts w:cstheme="minorHAnsi"/>
          <w:sz w:val="21"/>
          <w:szCs w:val="21"/>
        </w:rPr>
        <w:t xml:space="preserve"> in UK and </w:t>
      </w:r>
      <w:r w:rsidR="006E4F7D">
        <w:rPr>
          <w:rFonts w:cstheme="minorHAnsi"/>
          <w:sz w:val="21"/>
          <w:szCs w:val="21"/>
        </w:rPr>
        <w:t>37</w:t>
      </w:r>
      <w:r w:rsidR="00546B4D">
        <w:rPr>
          <w:rFonts w:cstheme="minorHAnsi"/>
          <w:sz w:val="21"/>
          <w:szCs w:val="21"/>
        </w:rPr>
        <w:t xml:space="preserve"> </w:t>
      </w:r>
      <w:r>
        <w:rPr>
          <w:rFonts w:cstheme="minorHAnsi"/>
          <w:sz w:val="21"/>
          <w:szCs w:val="21"/>
        </w:rPr>
        <w:t>bp</w:t>
      </w:r>
      <w:r w:rsidR="00546B4D">
        <w:rPr>
          <w:rFonts w:cstheme="minorHAnsi"/>
          <w:sz w:val="21"/>
          <w:szCs w:val="21"/>
        </w:rPr>
        <w:t>s</w:t>
      </w:r>
      <w:r>
        <w:rPr>
          <w:rFonts w:cstheme="minorHAnsi"/>
          <w:sz w:val="21"/>
          <w:szCs w:val="21"/>
        </w:rPr>
        <w:t xml:space="preserve"> in </w:t>
      </w:r>
      <w:r w:rsidRPr="00C631C4">
        <w:rPr>
          <w:rFonts w:cstheme="minorHAnsi"/>
          <w:sz w:val="21"/>
          <w:szCs w:val="21"/>
        </w:rPr>
        <w:t>Europe).</w:t>
      </w:r>
      <w:r>
        <w:rPr>
          <w:rFonts w:cstheme="minorHAnsi"/>
          <w:sz w:val="21"/>
          <w:szCs w:val="21"/>
        </w:rPr>
        <w:t xml:space="preserve"> </w:t>
      </w:r>
      <w:r w:rsidRPr="00C631C4">
        <w:rPr>
          <w:rFonts w:cstheme="minorHAnsi"/>
          <w:sz w:val="21"/>
          <w:szCs w:val="21"/>
        </w:rPr>
        <w:t xml:space="preserve"> </w:t>
      </w:r>
    </w:p>
    <w:p w14:paraId="78A1F89F" w14:textId="1DB97630" w:rsidR="00B2199B" w:rsidRDefault="00B2199B" w:rsidP="00B2199B">
      <w:pPr>
        <w:rPr>
          <w:rFonts w:cstheme="minorHAnsi"/>
          <w:sz w:val="21"/>
          <w:szCs w:val="21"/>
        </w:rPr>
      </w:pPr>
      <w:r>
        <w:rPr>
          <w:rFonts w:cstheme="minorHAnsi"/>
          <w:sz w:val="21"/>
          <w:szCs w:val="21"/>
        </w:rPr>
        <w:t xml:space="preserve">We believe the disconnect may have arisen due to the treatment of </w:t>
      </w:r>
      <w:r w:rsidR="0025577F">
        <w:rPr>
          <w:rFonts w:cstheme="minorHAnsi"/>
          <w:sz w:val="21"/>
          <w:szCs w:val="21"/>
        </w:rPr>
        <w:t xml:space="preserve">commercial </w:t>
      </w:r>
      <w:r>
        <w:rPr>
          <w:rFonts w:cstheme="minorHAnsi"/>
          <w:sz w:val="21"/>
          <w:szCs w:val="21"/>
        </w:rPr>
        <w:t>cards</w:t>
      </w:r>
      <w:r w:rsidR="0024599C" w:rsidRPr="0024599C">
        <w:rPr>
          <w:rFonts w:cstheme="minorHAnsi"/>
          <w:sz w:val="21"/>
          <w:szCs w:val="21"/>
        </w:rPr>
        <w:t xml:space="preserve"> </w:t>
      </w:r>
      <w:r w:rsidR="0024599C">
        <w:rPr>
          <w:rFonts w:cstheme="minorHAnsi"/>
          <w:sz w:val="21"/>
          <w:szCs w:val="21"/>
        </w:rPr>
        <w:t>which are excluded from caps</w:t>
      </w:r>
      <w:r w:rsidR="00327E49">
        <w:rPr>
          <w:rFonts w:cstheme="minorHAnsi"/>
          <w:sz w:val="21"/>
          <w:szCs w:val="21"/>
        </w:rPr>
        <w:t xml:space="preserve"> abroad</w:t>
      </w:r>
      <w:r w:rsidR="0024599C">
        <w:rPr>
          <w:rFonts w:cstheme="minorHAnsi"/>
          <w:sz w:val="21"/>
          <w:szCs w:val="21"/>
        </w:rPr>
        <w:t xml:space="preserve">, </w:t>
      </w:r>
      <w:r w:rsidR="0024599C" w:rsidRPr="00003026">
        <w:rPr>
          <w:rFonts w:cstheme="minorHAnsi"/>
          <w:sz w:val="21"/>
          <w:szCs w:val="21"/>
        </w:rPr>
        <w:t xml:space="preserve">and lack of </w:t>
      </w:r>
      <w:r w:rsidR="003A7C09">
        <w:rPr>
          <w:rFonts w:cstheme="minorHAnsi"/>
          <w:sz w:val="21"/>
          <w:szCs w:val="21"/>
        </w:rPr>
        <w:t xml:space="preserve">published </w:t>
      </w:r>
      <w:r w:rsidR="0024599C" w:rsidRPr="00003026">
        <w:rPr>
          <w:rFonts w:cstheme="minorHAnsi"/>
          <w:sz w:val="21"/>
          <w:szCs w:val="21"/>
        </w:rPr>
        <w:t xml:space="preserve">data regarding the mix. </w:t>
      </w:r>
      <w:r w:rsidR="0024599C">
        <w:rPr>
          <w:rFonts w:cstheme="minorHAnsi"/>
          <w:sz w:val="21"/>
          <w:szCs w:val="21"/>
        </w:rPr>
        <w:t xml:space="preserve">Compared to the UK and Europe, Australia </w:t>
      </w:r>
      <w:r w:rsidR="003A7C09">
        <w:rPr>
          <w:rFonts w:cstheme="minorHAnsi"/>
          <w:sz w:val="21"/>
          <w:szCs w:val="21"/>
        </w:rPr>
        <w:t xml:space="preserve">already </w:t>
      </w:r>
      <w:r w:rsidR="0024599C">
        <w:rPr>
          <w:rFonts w:cstheme="minorHAnsi"/>
          <w:sz w:val="21"/>
          <w:szCs w:val="21"/>
        </w:rPr>
        <w:t xml:space="preserve">has a lower commercial card </w:t>
      </w:r>
      <w:r w:rsidR="00454969">
        <w:rPr>
          <w:rFonts w:cstheme="minorHAnsi"/>
          <w:sz w:val="21"/>
          <w:szCs w:val="21"/>
        </w:rPr>
        <w:t>interchange</w:t>
      </w:r>
      <w:r w:rsidR="0024599C">
        <w:rPr>
          <w:rFonts w:cstheme="minorHAnsi"/>
          <w:sz w:val="21"/>
          <w:szCs w:val="21"/>
        </w:rPr>
        <w:t>.</w:t>
      </w:r>
    </w:p>
    <w:p w14:paraId="60575FB4" w14:textId="24C58C49" w:rsidR="004E3AD3" w:rsidRDefault="00B2199B" w:rsidP="00B2199B">
      <w:pPr>
        <w:rPr>
          <w:rFonts w:cstheme="minorHAnsi"/>
          <w:sz w:val="21"/>
          <w:szCs w:val="21"/>
        </w:rPr>
      </w:pPr>
      <w:r>
        <w:rPr>
          <w:rFonts w:cstheme="minorHAnsi"/>
          <w:sz w:val="21"/>
          <w:szCs w:val="21"/>
        </w:rPr>
        <w:t>The graph</w:t>
      </w:r>
      <w:r w:rsidRPr="00C631C4">
        <w:rPr>
          <w:rFonts w:cstheme="minorHAnsi"/>
          <w:sz w:val="21"/>
          <w:szCs w:val="21"/>
        </w:rPr>
        <w:t xml:space="preserve"> below shows our best </w:t>
      </w:r>
      <w:r w:rsidR="00BA6B29">
        <w:rPr>
          <w:rFonts w:cstheme="minorHAnsi"/>
          <w:sz w:val="21"/>
          <w:szCs w:val="21"/>
        </w:rPr>
        <w:t xml:space="preserve">conservative </w:t>
      </w:r>
      <w:r w:rsidRPr="00C631C4">
        <w:rPr>
          <w:rFonts w:cstheme="minorHAnsi"/>
          <w:sz w:val="21"/>
          <w:szCs w:val="21"/>
        </w:rPr>
        <w:t>estimate of credit and debit interchange for personal and commercial cards, comparing Australia now and with the RBA’s proposals, against the UK and Europe</w:t>
      </w:r>
      <w:r w:rsidRPr="00C631C4">
        <w:rPr>
          <w:rStyle w:val="FootnoteReference"/>
          <w:rFonts w:cstheme="minorHAnsi"/>
          <w:sz w:val="21"/>
          <w:szCs w:val="21"/>
        </w:rPr>
        <w:footnoteReference w:id="2"/>
      </w:r>
      <w:r>
        <w:rPr>
          <w:rFonts w:cstheme="minorHAnsi"/>
          <w:sz w:val="21"/>
          <w:szCs w:val="21"/>
        </w:rPr>
        <w:t>.</w:t>
      </w:r>
      <w:r>
        <w:rPr>
          <w:rStyle w:val="FootnoteReference"/>
          <w:rFonts w:cstheme="minorHAnsi"/>
          <w:sz w:val="21"/>
          <w:szCs w:val="21"/>
        </w:rPr>
        <w:t xml:space="preserve"> </w:t>
      </w:r>
    </w:p>
    <w:p w14:paraId="28972178" w14:textId="77777777" w:rsidR="00AE38BD" w:rsidRDefault="00AE38BD" w:rsidP="00B2199B">
      <w:pPr>
        <w:rPr>
          <w:rFonts w:cstheme="minorHAnsi"/>
          <w:sz w:val="21"/>
          <w:szCs w:val="21"/>
        </w:rPr>
      </w:pPr>
    </w:p>
    <w:p w14:paraId="724D6EB0" w14:textId="28536082" w:rsidR="00BC0CC4" w:rsidRDefault="00FE2C8C" w:rsidP="00822B6E">
      <w:pPr>
        <w:jc w:val="center"/>
        <w:rPr>
          <w:rFonts w:cstheme="minorHAnsi"/>
          <w:sz w:val="21"/>
          <w:szCs w:val="21"/>
        </w:rPr>
      </w:pPr>
      <w:r w:rsidRPr="0019382A">
        <w:rPr>
          <w:noProof/>
        </w:rPr>
        <w:drawing>
          <wp:inline distT="0" distB="0" distL="0" distR="0" wp14:anchorId="013379D7" wp14:editId="7EA28798">
            <wp:extent cx="5180556" cy="2577650"/>
            <wp:effectExtent l="19050" t="19050" r="20320" b="13335"/>
            <wp:docPr id="3782596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85414" cy="2580067"/>
                    </a:xfrm>
                    <a:prstGeom prst="rect">
                      <a:avLst/>
                    </a:prstGeom>
                    <a:noFill/>
                    <a:ln>
                      <a:solidFill>
                        <a:schemeClr val="tx1"/>
                      </a:solidFill>
                    </a:ln>
                  </pic:spPr>
                </pic:pic>
              </a:graphicData>
            </a:graphic>
          </wp:inline>
        </w:drawing>
      </w:r>
    </w:p>
    <w:p w14:paraId="5D0132A0" w14:textId="77777777" w:rsidR="006B742E" w:rsidRDefault="006B742E" w:rsidP="00B2199B">
      <w:pPr>
        <w:rPr>
          <w:rFonts w:cstheme="minorHAnsi"/>
          <w:color w:val="000000"/>
          <w:sz w:val="21"/>
          <w:szCs w:val="21"/>
        </w:rPr>
      </w:pPr>
    </w:p>
    <w:p w14:paraId="4D2E5E46" w14:textId="6BA611AE" w:rsidR="00B2199B" w:rsidRDefault="00B2199B" w:rsidP="00B2199B">
      <w:pPr>
        <w:rPr>
          <w:rFonts w:cstheme="minorHAnsi"/>
          <w:sz w:val="21"/>
          <w:szCs w:val="21"/>
        </w:rPr>
      </w:pPr>
      <w:r>
        <w:rPr>
          <w:rFonts w:cstheme="minorHAnsi"/>
          <w:color w:val="000000"/>
          <w:sz w:val="21"/>
          <w:szCs w:val="21"/>
        </w:rPr>
        <w:t>W</w:t>
      </w:r>
      <w:r w:rsidRPr="00C631C4">
        <w:rPr>
          <w:rFonts w:cstheme="minorHAnsi"/>
          <w:color w:val="000000"/>
          <w:sz w:val="21"/>
          <w:szCs w:val="21"/>
        </w:rPr>
        <w:t xml:space="preserve">e acknowledge </w:t>
      </w:r>
      <w:r>
        <w:rPr>
          <w:rFonts w:cstheme="minorHAnsi"/>
          <w:color w:val="000000"/>
          <w:sz w:val="21"/>
          <w:szCs w:val="21"/>
        </w:rPr>
        <w:t xml:space="preserve">that </w:t>
      </w:r>
      <w:r w:rsidRPr="00C631C4">
        <w:rPr>
          <w:rFonts w:cstheme="minorHAnsi"/>
          <w:sz w:val="21"/>
          <w:szCs w:val="21"/>
        </w:rPr>
        <w:t xml:space="preserve">different methodologies may create </w:t>
      </w:r>
      <w:r>
        <w:rPr>
          <w:rFonts w:cstheme="minorHAnsi"/>
          <w:sz w:val="21"/>
          <w:szCs w:val="21"/>
        </w:rPr>
        <w:t xml:space="preserve">slightly </w:t>
      </w:r>
      <w:r w:rsidRPr="00C631C4">
        <w:rPr>
          <w:rFonts w:cstheme="minorHAnsi"/>
          <w:sz w:val="21"/>
          <w:szCs w:val="21"/>
        </w:rPr>
        <w:t>different results</w:t>
      </w:r>
      <w:r>
        <w:rPr>
          <w:rFonts w:cstheme="minorHAnsi"/>
          <w:sz w:val="21"/>
          <w:szCs w:val="21"/>
        </w:rPr>
        <w:t xml:space="preserve">. We are confident, though, that </w:t>
      </w:r>
      <w:r w:rsidRPr="00C631C4">
        <w:rPr>
          <w:rFonts w:cstheme="minorHAnsi"/>
          <w:sz w:val="21"/>
          <w:szCs w:val="21"/>
        </w:rPr>
        <w:t xml:space="preserve">aggregate interchange levels in the UK and Europe are </w:t>
      </w:r>
      <w:r>
        <w:rPr>
          <w:rFonts w:cstheme="minorHAnsi"/>
          <w:sz w:val="21"/>
          <w:szCs w:val="21"/>
        </w:rPr>
        <w:t xml:space="preserve">materially </w:t>
      </w:r>
      <w:r w:rsidRPr="00C631C4">
        <w:rPr>
          <w:rFonts w:cstheme="minorHAnsi"/>
          <w:sz w:val="21"/>
          <w:szCs w:val="21"/>
        </w:rPr>
        <w:t xml:space="preserve">higher than </w:t>
      </w:r>
      <w:r>
        <w:rPr>
          <w:rFonts w:cstheme="minorHAnsi"/>
          <w:sz w:val="21"/>
          <w:szCs w:val="21"/>
        </w:rPr>
        <w:t>proposed levels</w:t>
      </w:r>
      <w:r w:rsidRPr="00C631C4">
        <w:rPr>
          <w:rFonts w:cstheme="minorHAnsi"/>
          <w:sz w:val="21"/>
          <w:szCs w:val="21"/>
        </w:rPr>
        <w:t>.</w:t>
      </w:r>
    </w:p>
    <w:p w14:paraId="06E38271" w14:textId="5E40AAC5" w:rsidR="00B2199B" w:rsidRPr="00C631C4" w:rsidRDefault="00B2199B" w:rsidP="00B2199B">
      <w:pPr>
        <w:rPr>
          <w:rFonts w:cstheme="minorHAnsi"/>
          <w:sz w:val="21"/>
          <w:szCs w:val="21"/>
        </w:rPr>
      </w:pPr>
      <w:r w:rsidRPr="00C631C4">
        <w:rPr>
          <w:rFonts w:cstheme="minorHAnsi"/>
          <w:sz w:val="21"/>
          <w:szCs w:val="21"/>
        </w:rPr>
        <w:t xml:space="preserve">Contrary to the view in the Consultation Paper that the proposed reductions </w:t>
      </w:r>
      <w:r w:rsidRPr="00C631C4">
        <w:rPr>
          <w:rFonts w:cstheme="minorHAnsi"/>
          <w:i/>
          <w:iCs/>
          <w:sz w:val="21"/>
          <w:szCs w:val="21"/>
        </w:rPr>
        <w:t>“…. would bring credit interchange fees into line with jurisdictions such as Europe and the United Kingdom,”</w:t>
      </w:r>
      <w:r w:rsidRPr="00C631C4">
        <w:rPr>
          <w:rStyle w:val="FootnoteReference"/>
          <w:rFonts w:cstheme="minorHAnsi"/>
          <w:sz w:val="21"/>
          <w:szCs w:val="21"/>
        </w:rPr>
        <w:footnoteReference w:id="3"/>
      </w:r>
      <w:r w:rsidRPr="00C631C4">
        <w:rPr>
          <w:rFonts w:cstheme="minorHAnsi"/>
          <w:sz w:val="21"/>
          <w:szCs w:val="21"/>
        </w:rPr>
        <w:t xml:space="preserve"> the interchange caps proposed will see Australia as an outlier globally on both debit and credit interchange – </w:t>
      </w:r>
      <w:r w:rsidR="00DD7690">
        <w:rPr>
          <w:rFonts w:cstheme="minorHAnsi"/>
          <w:sz w:val="21"/>
          <w:szCs w:val="21"/>
        </w:rPr>
        <w:t>~</w:t>
      </w:r>
      <w:r w:rsidRPr="00C631C4">
        <w:rPr>
          <w:rFonts w:cstheme="minorHAnsi"/>
          <w:sz w:val="21"/>
          <w:szCs w:val="21"/>
        </w:rPr>
        <w:t xml:space="preserve">60% lower than UK/Europe on debit and </w:t>
      </w:r>
      <w:r w:rsidR="00A21372">
        <w:rPr>
          <w:rFonts w:cstheme="minorHAnsi"/>
          <w:sz w:val="21"/>
          <w:szCs w:val="21"/>
        </w:rPr>
        <w:t>~</w:t>
      </w:r>
      <w:r w:rsidRPr="00C631C4">
        <w:rPr>
          <w:rFonts w:cstheme="minorHAnsi"/>
          <w:sz w:val="21"/>
          <w:szCs w:val="21"/>
        </w:rPr>
        <w:t>3</w:t>
      </w:r>
      <w:r w:rsidR="00A21372">
        <w:rPr>
          <w:rFonts w:cstheme="minorHAnsi"/>
          <w:sz w:val="21"/>
          <w:szCs w:val="21"/>
        </w:rPr>
        <w:t>0</w:t>
      </w:r>
      <w:r w:rsidRPr="00C631C4">
        <w:rPr>
          <w:rFonts w:cstheme="minorHAnsi"/>
          <w:sz w:val="21"/>
          <w:szCs w:val="21"/>
        </w:rPr>
        <w:t xml:space="preserve">% lower on credit. </w:t>
      </w:r>
    </w:p>
    <w:p w14:paraId="610FE8D0" w14:textId="03B7B066" w:rsidR="00B2199B" w:rsidRPr="00C631C4" w:rsidRDefault="00B2199B" w:rsidP="00B2199B">
      <w:pPr>
        <w:rPr>
          <w:rFonts w:cstheme="minorHAnsi"/>
          <w:sz w:val="21"/>
          <w:szCs w:val="21"/>
        </w:rPr>
      </w:pPr>
      <w:r>
        <w:rPr>
          <w:rFonts w:cstheme="minorHAnsi"/>
          <w:sz w:val="21"/>
          <w:szCs w:val="21"/>
        </w:rPr>
        <w:t xml:space="preserve">In comparing Australia with the UK and Europe, we make two further observations. First, Australia is a much smaller market – </w:t>
      </w:r>
      <w:r w:rsidRPr="00C631C4">
        <w:rPr>
          <w:rFonts w:cstheme="minorHAnsi"/>
          <w:sz w:val="21"/>
          <w:szCs w:val="21"/>
        </w:rPr>
        <w:t>Australia has ~40% lower card turnover than the UK and ~80% low</w:t>
      </w:r>
      <w:r w:rsidR="00656AE3">
        <w:rPr>
          <w:rFonts w:cstheme="minorHAnsi"/>
          <w:sz w:val="21"/>
          <w:szCs w:val="21"/>
        </w:rPr>
        <w:t>er</w:t>
      </w:r>
      <w:r w:rsidRPr="00C631C4">
        <w:rPr>
          <w:rFonts w:cstheme="minorHAnsi"/>
          <w:sz w:val="21"/>
          <w:szCs w:val="21"/>
        </w:rPr>
        <w:t xml:space="preserve"> than Europe</w:t>
      </w:r>
      <w:r>
        <w:rPr>
          <w:rFonts w:cstheme="minorHAnsi"/>
          <w:sz w:val="21"/>
          <w:szCs w:val="21"/>
        </w:rPr>
        <w:t xml:space="preserve"> due to our smaller population</w:t>
      </w:r>
      <w:r w:rsidRPr="00C631C4">
        <w:rPr>
          <w:rFonts w:cstheme="minorHAnsi"/>
          <w:sz w:val="21"/>
          <w:szCs w:val="21"/>
        </w:rPr>
        <w:t>.</w:t>
      </w:r>
      <w:r>
        <w:rPr>
          <w:rFonts w:cstheme="minorHAnsi"/>
          <w:sz w:val="21"/>
          <w:szCs w:val="21"/>
        </w:rPr>
        <w:t xml:space="preserve"> Given scale effects, it would not be un</w:t>
      </w:r>
      <w:r w:rsidRPr="00C631C4">
        <w:rPr>
          <w:rFonts w:cstheme="minorHAnsi"/>
          <w:sz w:val="21"/>
          <w:szCs w:val="21"/>
        </w:rPr>
        <w:t xml:space="preserve">reasonable to expect higher interchange levels </w:t>
      </w:r>
      <w:r>
        <w:rPr>
          <w:rFonts w:cstheme="minorHAnsi"/>
          <w:sz w:val="21"/>
          <w:szCs w:val="21"/>
        </w:rPr>
        <w:t>in Australia</w:t>
      </w:r>
      <w:r w:rsidRPr="00C631C4">
        <w:rPr>
          <w:rFonts w:cstheme="minorHAnsi"/>
          <w:sz w:val="21"/>
          <w:szCs w:val="21"/>
        </w:rPr>
        <w:t>.</w:t>
      </w:r>
    </w:p>
    <w:p w14:paraId="3A636382" w14:textId="7C243FB5" w:rsidR="00B2199B" w:rsidRDefault="00B2199B" w:rsidP="00B2199B">
      <w:pPr>
        <w:rPr>
          <w:rFonts w:cstheme="minorHAnsi"/>
          <w:sz w:val="21"/>
          <w:szCs w:val="21"/>
        </w:rPr>
      </w:pPr>
      <w:r>
        <w:rPr>
          <w:rFonts w:cstheme="minorHAnsi"/>
          <w:sz w:val="21"/>
          <w:szCs w:val="21"/>
        </w:rPr>
        <w:t>Second</w:t>
      </w:r>
      <w:r w:rsidRPr="00C631C4">
        <w:rPr>
          <w:rFonts w:cstheme="minorHAnsi"/>
          <w:sz w:val="21"/>
          <w:szCs w:val="21"/>
        </w:rPr>
        <w:t xml:space="preserve">, Australia is unique in </w:t>
      </w:r>
      <w:r>
        <w:rPr>
          <w:rFonts w:cstheme="minorHAnsi"/>
          <w:sz w:val="21"/>
          <w:szCs w:val="21"/>
        </w:rPr>
        <w:t>the extent to which ‘</w:t>
      </w:r>
      <w:r w:rsidRPr="00C631C4">
        <w:rPr>
          <w:rFonts w:cstheme="minorHAnsi"/>
          <w:sz w:val="21"/>
          <w:szCs w:val="21"/>
        </w:rPr>
        <w:t>strategic interchange</w:t>
      </w:r>
      <w:r>
        <w:rPr>
          <w:rFonts w:cstheme="minorHAnsi"/>
          <w:sz w:val="21"/>
          <w:szCs w:val="21"/>
        </w:rPr>
        <w:t>’</w:t>
      </w:r>
      <w:r w:rsidRPr="00C631C4">
        <w:rPr>
          <w:rFonts w:cstheme="minorHAnsi"/>
          <w:sz w:val="21"/>
          <w:szCs w:val="21"/>
        </w:rPr>
        <w:t xml:space="preserve"> is applied at the discretion of the schemes. In most other markets, </w:t>
      </w:r>
      <w:r w:rsidR="00B32865">
        <w:rPr>
          <w:rFonts w:cstheme="minorHAnsi"/>
          <w:sz w:val="21"/>
          <w:szCs w:val="21"/>
        </w:rPr>
        <w:t>but</w:t>
      </w:r>
      <w:r w:rsidR="004048D1">
        <w:rPr>
          <w:rFonts w:cstheme="minorHAnsi"/>
          <w:sz w:val="21"/>
          <w:szCs w:val="21"/>
        </w:rPr>
        <w:t xml:space="preserve"> </w:t>
      </w:r>
      <w:r>
        <w:rPr>
          <w:rFonts w:cstheme="minorHAnsi"/>
          <w:sz w:val="21"/>
          <w:szCs w:val="21"/>
        </w:rPr>
        <w:t xml:space="preserve">not in Australia, </w:t>
      </w:r>
      <w:r w:rsidRPr="00C631C4">
        <w:rPr>
          <w:rFonts w:cstheme="minorHAnsi"/>
          <w:sz w:val="21"/>
          <w:szCs w:val="21"/>
        </w:rPr>
        <w:t xml:space="preserve">differing rates are developed by industry or category. </w:t>
      </w:r>
    </w:p>
    <w:p w14:paraId="52F602A8" w14:textId="6E082F15" w:rsidR="000C6330" w:rsidRDefault="00B2199B" w:rsidP="00B2199B">
      <w:pPr>
        <w:rPr>
          <w:rFonts w:cstheme="minorHAnsi"/>
          <w:sz w:val="21"/>
          <w:szCs w:val="21"/>
        </w:rPr>
      </w:pPr>
      <w:r>
        <w:rPr>
          <w:rFonts w:cstheme="minorHAnsi"/>
          <w:sz w:val="21"/>
          <w:szCs w:val="21"/>
        </w:rPr>
        <w:lastRenderedPageBreak/>
        <w:t xml:space="preserve">In Australia, the </w:t>
      </w:r>
      <w:r w:rsidRPr="00C631C4">
        <w:rPr>
          <w:rFonts w:cstheme="minorHAnsi"/>
          <w:sz w:val="21"/>
          <w:szCs w:val="21"/>
        </w:rPr>
        <w:t xml:space="preserve">combination of highly skewed pricing and a </w:t>
      </w:r>
      <w:r>
        <w:rPr>
          <w:rFonts w:cstheme="minorHAnsi"/>
          <w:sz w:val="21"/>
          <w:szCs w:val="21"/>
        </w:rPr>
        <w:t xml:space="preserve">regulated aggregate </w:t>
      </w:r>
      <w:r w:rsidRPr="00C631C4">
        <w:rPr>
          <w:rFonts w:cstheme="minorHAnsi"/>
          <w:sz w:val="21"/>
          <w:szCs w:val="21"/>
        </w:rPr>
        <w:t xml:space="preserve">cap means that smaller businesses </w:t>
      </w:r>
      <w:r w:rsidR="00DD30F4">
        <w:rPr>
          <w:rFonts w:cstheme="minorHAnsi"/>
          <w:sz w:val="21"/>
          <w:szCs w:val="21"/>
        </w:rPr>
        <w:t>attract higher interchange</w:t>
      </w:r>
      <w:r w:rsidRPr="00C631C4">
        <w:rPr>
          <w:rFonts w:cstheme="minorHAnsi"/>
          <w:sz w:val="21"/>
          <w:szCs w:val="21"/>
        </w:rPr>
        <w:t xml:space="preserve">. </w:t>
      </w:r>
      <w:r w:rsidRPr="009F2A96">
        <w:rPr>
          <w:rFonts w:cstheme="minorHAnsi"/>
          <w:sz w:val="21"/>
          <w:szCs w:val="21"/>
        </w:rPr>
        <w:t>Today, some eCommerce giants pay</w:t>
      </w:r>
      <w:r w:rsidR="00B11CC1" w:rsidRPr="009F2A96">
        <w:rPr>
          <w:rFonts w:cstheme="minorHAnsi"/>
          <w:sz w:val="21"/>
          <w:szCs w:val="21"/>
        </w:rPr>
        <w:t xml:space="preserve"> </w:t>
      </w:r>
      <w:r w:rsidR="004A1664" w:rsidRPr="009F2A96">
        <w:rPr>
          <w:rFonts w:cstheme="minorHAnsi"/>
          <w:sz w:val="21"/>
          <w:szCs w:val="21"/>
        </w:rPr>
        <w:t xml:space="preserve">90% </w:t>
      </w:r>
      <w:r w:rsidRPr="009F2A96">
        <w:rPr>
          <w:rFonts w:cstheme="minorHAnsi"/>
          <w:sz w:val="21"/>
          <w:szCs w:val="21"/>
        </w:rPr>
        <w:t xml:space="preserve">less interchange </w:t>
      </w:r>
      <w:r w:rsidR="004A1664" w:rsidRPr="009F2A96">
        <w:rPr>
          <w:rFonts w:cstheme="minorHAnsi"/>
          <w:sz w:val="21"/>
          <w:szCs w:val="21"/>
        </w:rPr>
        <w:t>than</w:t>
      </w:r>
      <w:r w:rsidR="00AA0D29" w:rsidRPr="009F2A96">
        <w:rPr>
          <w:rFonts w:cstheme="minorHAnsi"/>
          <w:sz w:val="21"/>
          <w:szCs w:val="21"/>
        </w:rPr>
        <w:t xml:space="preserve"> a</w:t>
      </w:r>
      <w:r w:rsidR="00427D6E" w:rsidRPr="009F2A96">
        <w:rPr>
          <w:rFonts w:cstheme="minorHAnsi"/>
          <w:sz w:val="21"/>
          <w:szCs w:val="21"/>
        </w:rPr>
        <w:t xml:space="preserve"> </w:t>
      </w:r>
      <w:r w:rsidRPr="009F2A96">
        <w:rPr>
          <w:rFonts w:cstheme="minorHAnsi"/>
          <w:sz w:val="21"/>
          <w:szCs w:val="21"/>
        </w:rPr>
        <w:t>small</w:t>
      </w:r>
      <w:r w:rsidR="001749B3" w:rsidRPr="009F2A96">
        <w:rPr>
          <w:rFonts w:cstheme="minorHAnsi"/>
          <w:sz w:val="21"/>
          <w:szCs w:val="21"/>
        </w:rPr>
        <w:t>,</w:t>
      </w:r>
      <w:r w:rsidRPr="009F2A96">
        <w:rPr>
          <w:rFonts w:cstheme="minorHAnsi"/>
          <w:sz w:val="21"/>
          <w:szCs w:val="21"/>
        </w:rPr>
        <w:t xml:space="preserve"> in-person merchant, despite operating in the higher-risk online environment.</w:t>
      </w:r>
      <w:r w:rsidRPr="00C631C4">
        <w:rPr>
          <w:rFonts w:cstheme="minorHAnsi"/>
          <w:sz w:val="21"/>
          <w:szCs w:val="21"/>
        </w:rPr>
        <w:t xml:space="preserve"> </w:t>
      </w:r>
      <w:r>
        <w:rPr>
          <w:rFonts w:cstheme="minorHAnsi"/>
          <w:sz w:val="21"/>
          <w:szCs w:val="21"/>
        </w:rPr>
        <w:t xml:space="preserve">CBA’s </w:t>
      </w:r>
      <w:r w:rsidRPr="00C631C4">
        <w:rPr>
          <w:rFonts w:cstheme="minorHAnsi"/>
          <w:sz w:val="21"/>
          <w:szCs w:val="21"/>
        </w:rPr>
        <w:t xml:space="preserve">alternative </w:t>
      </w:r>
      <w:r>
        <w:rPr>
          <w:rFonts w:cstheme="minorHAnsi"/>
          <w:sz w:val="21"/>
          <w:szCs w:val="21"/>
        </w:rPr>
        <w:t xml:space="preserve">interchange </w:t>
      </w:r>
      <w:r w:rsidR="003B1493">
        <w:rPr>
          <w:rFonts w:cstheme="minorHAnsi"/>
          <w:sz w:val="21"/>
          <w:szCs w:val="21"/>
        </w:rPr>
        <w:t>proposal</w:t>
      </w:r>
      <w:r w:rsidR="00766996">
        <w:rPr>
          <w:rFonts w:cstheme="minorHAnsi"/>
          <w:sz w:val="21"/>
          <w:szCs w:val="21"/>
        </w:rPr>
        <w:t xml:space="preserve"> </w:t>
      </w:r>
      <w:r>
        <w:rPr>
          <w:rFonts w:cstheme="minorHAnsi"/>
          <w:sz w:val="21"/>
          <w:szCs w:val="21"/>
        </w:rPr>
        <w:t>will focus on reducing the level of dispersion to better distribute interchange costs and lower the costs for small businesses</w:t>
      </w:r>
      <w:r w:rsidRPr="00C631C4">
        <w:rPr>
          <w:rFonts w:cstheme="minorHAnsi"/>
          <w:sz w:val="21"/>
          <w:szCs w:val="21"/>
        </w:rPr>
        <w:t>.</w:t>
      </w:r>
    </w:p>
    <w:p w14:paraId="08C3A0E6" w14:textId="30362E1E" w:rsidR="000C6330" w:rsidRDefault="00BD35ED" w:rsidP="000C6330">
      <w:pPr>
        <w:rPr>
          <w:rFonts w:cstheme="minorHAnsi"/>
          <w:b/>
          <w:bCs/>
          <w:sz w:val="21"/>
          <w:szCs w:val="21"/>
        </w:rPr>
      </w:pPr>
      <w:r>
        <w:rPr>
          <w:rFonts w:cstheme="minorHAnsi"/>
          <w:b/>
          <w:bCs/>
          <w:sz w:val="21"/>
          <w:szCs w:val="21"/>
        </w:rPr>
        <w:t xml:space="preserve">Detailed </w:t>
      </w:r>
      <w:r w:rsidR="001B1BF7">
        <w:rPr>
          <w:rFonts w:cstheme="minorHAnsi"/>
          <w:b/>
          <w:bCs/>
          <w:sz w:val="21"/>
          <w:szCs w:val="21"/>
        </w:rPr>
        <w:t>international market interchange cost breakdown</w:t>
      </w:r>
      <w:r w:rsidR="000C6330">
        <w:rPr>
          <w:rStyle w:val="FootnoteReference"/>
          <w:rFonts w:cstheme="minorHAnsi"/>
          <w:b/>
          <w:bCs/>
          <w:sz w:val="21"/>
          <w:szCs w:val="21"/>
        </w:rPr>
        <w:footnoteReference w:id="4"/>
      </w:r>
    </w:p>
    <w:p w14:paraId="54005213" w14:textId="77777777" w:rsidR="000C6330" w:rsidRPr="00184B08" w:rsidRDefault="000C6330" w:rsidP="001B1BF7">
      <w:pPr>
        <w:jc w:val="center"/>
        <w:rPr>
          <w:rFonts w:cstheme="minorHAnsi"/>
          <w:b/>
          <w:sz w:val="21"/>
          <w:szCs w:val="21"/>
        </w:rPr>
      </w:pPr>
      <w:r>
        <w:rPr>
          <w:noProof/>
        </w:rPr>
        <w:drawing>
          <wp:inline distT="0" distB="0" distL="0" distR="0" wp14:anchorId="2B59776C" wp14:editId="1969E273">
            <wp:extent cx="5118504" cy="7017861"/>
            <wp:effectExtent l="19050" t="19050" r="25400" b="12065"/>
            <wp:docPr id="741908934"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7762597" name="Picture 1" descr="A screenshot of a graph&#10;&#10;AI-generated content may be incorrect."/>
                    <pic:cNvPicPr>
                      <a:picLocks noChangeAspect="1" noChangeArrowheads="1"/>
                    </pic:cNvPicPr>
                  </pic:nvPicPr>
                  <pic:blipFill rotWithShape="1">
                    <a:blip r:embed="rId13">
                      <a:extLst>
                        <a:ext uri="{28A0092B-C50C-407E-A947-70E740481C1C}">
                          <a14:useLocalDpi xmlns:a14="http://schemas.microsoft.com/office/drawing/2010/main" val="0"/>
                        </a:ext>
                      </a:extLst>
                    </a:blip>
                    <a:srcRect l="1826" t="1199" r="2403" b="933"/>
                    <a:stretch>
                      <a:fillRect/>
                    </a:stretch>
                  </pic:blipFill>
                  <pic:spPr bwMode="auto">
                    <a:xfrm>
                      <a:off x="0" y="0"/>
                      <a:ext cx="5123065" cy="7024115"/>
                    </a:xfrm>
                    <a:prstGeom prst="rect">
                      <a:avLst/>
                    </a:prstGeom>
                    <a:noFill/>
                    <a:ln w="3175">
                      <a:solidFill>
                        <a:schemeClr val="tx1"/>
                      </a:solidFill>
                    </a:ln>
                    <a:extLst>
                      <a:ext uri="{53640926-AAD7-44D8-BBD7-CCE9431645EC}">
                        <a14:shadowObscured xmlns:a14="http://schemas.microsoft.com/office/drawing/2010/main"/>
                      </a:ext>
                    </a:extLst>
                  </pic:spPr>
                </pic:pic>
              </a:graphicData>
            </a:graphic>
          </wp:inline>
        </w:drawing>
      </w:r>
    </w:p>
    <w:p w14:paraId="2355F7D6" w14:textId="77777777" w:rsidR="00577A6D" w:rsidRDefault="00577A6D" w:rsidP="00AD02C3">
      <w:pPr>
        <w:pStyle w:val="Header1"/>
        <w:numPr>
          <w:ilvl w:val="0"/>
          <w:numId w:val="0"/>
        </w:numPr>
        <w:ind w:left="360"/>
      </w:pPr>
    </w:p>
    <w:p w14:paraId="53EE637D" w14:textId="780663F3" w:rsidR="00B2199B" w:rsidRPr="001F3634" w:rsidRDefault="00B2199B" w:rsidP="00F96D9C">
      <w:pPr>
        <w:pStyle w:val="Header1"/>
      </w:pPr>
      <w:r w:rsidRPr="001F3634">
        <w:lastRenderedPageBreak/>
        <w:t>COST STUDY INCLUSIONS</w:t>
      </w:r>
    </w:p>
    <w:p w14:paraId="7B6BA26D" w14:textId="193B8768" w:rsidR="00B2199B" w:rsidRPr="00C631C4" w:rsidRDefault="00B2199B" w:rsidP="0061380B">
      <w:pPr>
        <w:rPr>
          <w:rFonts w:cstheme="minorHAnsi"/>
          <w:sz w:val="21"/>
          <w:szCs w:val="21"/>
          <w:lang w:val="en-GB"/>
        </w:rPr>
      </w:pPr>
      <w:r w:rsidRPr="00C631C4">
        <w:rPr>
          <w:rFonts w:cstheme="minorHAnsi"/>
          <w:sz w:val="21"/>
          <w:szCs w:val="21"/>
          <w:lang w:val="en-GB"/>
        </w:rPr>
        <w:t xml:space="preserve">The RBA first adopted a definition of eligible costs for calculating the cost-based benchmark for interchange in 2002. This definition was intended to capture costs borne by card issuers that should be passed on to merchants in the public interest. </w:t>
      </w:r>
      <w:r>
        <w:rPr>
          <w:rFonts w:cstheme="minorHAnsi"/>
          <w:sz w:val="21"/>
          <w:szCs w:val="21"/>
          <w:lang w:val="en-GB"/>
        </w:rPr>
        <w:t>T</w:t>
      </w:r>
      <w:r w:rsidRPr="00C631C4">
        <w:rPr>
          <w:rFonts w:cstheme="minorHAnsi"/>
          <w:sz w:val="21"/>
          <w:szCs w:val="21"/>
          <w:lang w:val="en-GB"/>
        </w:rPr>
        <w:t xml:space="preserve">here have been </w:t>
      </w:r>
      <w:proofErr w:type="gramStart"/>
      <w:r>
        <w:rPr>
          <w:rFonts w:cstheme="minorHAnsi"/>
          <w:sz w:val="21"/>
          <w:szCs w:val="21"/>
          <w:lang w:val="en-GB"/>
        </w:rPr>
        <w:t>a number of</w:t>
      </w:r>
      <w:proofErr w:type="gramEnd"/>
      <w:r>
        <w:rPr>
          <w:rFonts w:cstheme="minorHAnsi"/>
          <w:sz w:val="21"/>
          <w:szCs w:val="21"/>
          <w:lang w:val="en-GB"/>
        </w:rPr>
        <w:t xml:space="preserve"> </w:t>
      </w:r>
      <w:r w:rsidRPr="00C631C4">
        <w:rPr>
          <w:rFonts w:cstheme="minorHAnsi"/>
          <w:sz w:val="21"/>
          <w:szCs w:val="21"/>
          <w:lang w:val="en-GB"/>
        </w:rPr>
        <w:t xml:space="preserve">changes to the eligible cost categories in the 2025 Cost Guidance when compared to ‘eligible costs’ in in the 2005 </w:t>
      </w:r>
      <w:r w:rsidR="00DE3B9C">
        <w:rPr>
          <w:rFonts w:cstheme="minorHAnsi"/>
          <w:sz w:val="21"/>
          <w:szCs w:val="21"/>
          <w:lang w:val="en-GB"/>
        </w:rPr>
        <w:t>G</w:t>
      </w:r>
      <w:r w:rsidRPr="00C631C4">
        <w:rPr>
          <w:rFonts w:cstheme="minorHAnsi"/>
          <w:sz w:val="21"/>
          <w:szCs w:val="21"/>
          <w:lang w:val="en-GB"/>
        </w:rPr>
        <w:t>uidance.</w:t>
      </w:r>
    </w:p>
    <w:p w14:paraId="6B431EA4" w14:textId="0A57885B" w:rsidR="00B2199B" w:rsidRDefault="00B2199B" w:rsidP="00B2199B">
      <w:pPr>
        <w:rPr>
          <w:rFonts w:cstheme="minorHAnsi"/>
          <w:sz w:val="21"/>
          <w:szCs w:val="21"/>
        </w:rPr>
      </w:pPr>
      <w:r w:rsidRPr="00C631C4">
        <w:rPr>
          <w:rFonts w:cstheme="minorHAnsi"/>
          <w:sz w:val="21"/>
          <w:szCs w:val="21"/>
          <w:lang w:val="en-GB"/>
        </w:rPr>
        <w:t xml:space="preserve">The RBA states that </w:t>
      </w:r>
      <w:r w:rsidR="00D46209">
        <w:rPr>
          <w:rFonts w:cstheme="minorHAnsi"/>
          <w:sz w:val="21"/>
          <w:szCs w:val="21"/>
          <w:lang w:val="en-GB"/>
        </w:rPr>
        <w:t>“</w:t>
      </w:r>
      <w:r w:rsidRPr="00C631C4">
        <w:rPr>
          <w:rFonts w:cstheme="minorHAnsi"/>
          <w:i/>
          <w:iCs/>
          <w:sz w:val="21"/>
          <w:szCs w:val="21"/>
        </w:rPr>
        <w:t>eligible costs should be limited to those that would be unavoidable in the provision of card network services to merchants</w:t>
      </w:r>
      <w:r w:rsidR="00D46209">
        <w:rPr>
          <w:rFonts w:cstheme="minorHAnsi"/>
          <w:sz w:val="21"/>
          <w:szCs w:val="21"/>
        </w:rPr>
        <w:t>”</w:t>
      </w:r>
      <w:r>
        <w:rPr>
          <w:rStyle w:val="FootnoteReference"/>
          <w:rFonts w:cstheme="minorHAnsi"/>
          <w:sz w:val="21"/>
          <w:szCs w:val="21"/>
        </w:rPr>
        <w:footnoteReference w:id="5"/>
      </w:r>
      <w:r w:rsidRPr="00C631C4">
        <w:rPr>
          <w:rFonts w:cstheme="minorHAnsi"/>
          <w:sz w:val="21"/>
          <w:szCs w:val="21"/>
        </w:rPr>
        <w:t xml:space="preserve">. Given the dramatic changes in card payments in the last 10 years, it would </w:t>
      </w:r>
      <w:r w:rsidR="001749B3">
        <w:rPr>
          <w:rFonts w:cstheme="minorHAnsi"/>
          <w:sz w:val="21"/>
          <w:szCs w:val="21"/>
        </w:rPr>
        <w:t>be</w:t>
      </w:r>
      <w:r w:rsidRPr="00C631C4">
        <w:rPr>
          <w:rFonts w:cstheme="minorHAnsi"/>
          <w:sz w:val="21"/>
          <w:szCs w:val="21"/>
        </w:rPr>
        <w:t xml:space="preserve"> </w:t>
      </w:r>
      <w:r>
        <w:rPr>
          <w:rFonts w:cstheme="minorHAnsi"/>
          <w:sz w:val="21"/>
          <w:szCs w:val="21"/>
        </w:rPr>
        <w:t>reasonable</w:t>
      </w:r>
      <w:r w:rsidRPr="00C631C4">
        <w:rPr>
          <w:rFonts w:cstheme="minorHAnsi"/>
          <w:sz w:val="21"/>
          <w:szCs w:val="21"/>
        </w:rPr>
        <w:t xml:space="preserve"> for the RBA to consult on the continued relevance of each eligible cost category, as well as consideration of new categories to reflect the changing context.  </w:t>
      </w:r>
    </w:p>
    <w:p w14:paraId="08FB5AEA" w14:textId="599F4219" w:rsidR="00B2199B" w:rsidRDefault="00B2199B" w:rsidP="00B2199B">
      <w:pPr>
        <w:rPr>
          <w:sz w:val="21"/>
          <w:szCs w:val="21"/>
        </w:rPr>
      </w:pPr>
      <w:r>
        <w:rPr>
          <w:sz w:val="21"/>
          <w:szCs w:val="21"/>
        </w:rPr>
        <w:t xml:space="preserve">There are two areas of cost that have been excluded from </w:t>
      </w:r>
      <w:r w:rsidR="00C55348">
        <w:rPr>
          <w:sz w:val="21"/>
          <w:szCs w:val="21"/>
        </w:rPr>
        <w:t>in</w:t>
      </w:r>
      <w:r>
        <w:rPr>
          <w:sz w:val="21"/>
          <w:szCs w:val="21"/>
        </w:rPr>
        <w:t xml:space="preserve"> 2025 but were included previously: disputes and chargebacks, and the cost of funds</w:t>
      </w:r>
      <w:r w:rsidR="0081089E">
        <w:rPr>
          <w:sz w:val="21"/>
          <w:szCs w:val="21"/>
        </w:rPr>
        <w:t xml:space="preserve"> (</w:t>
      </w:r>
      <w:r>
        <w:rPr>
          <w:sz w:val="21"/>
          <w:szCs w:val="21"/>
        </w:rPr>
        <w:t>interest free period</w:t>
      </w:r>
      <w:r w:rsidR="0081089E">
        <w:rPr>
          <w:sz w:val="21"/>
          <w:szCs w:val="21"/>
        </w:rPr>
        <w:t>)</w:t>
      </w:r>
      <w:r>
        <w:rPr>
          <w:sz w:val="21"/>
          <w:szCs w:val="21"/>
        </w:rPr>
        <w:t xml:space="preserve">. Further, the inclusion of a new category in 2025 relating to ‘Product Development’ has meant that some costs </w:t>
      </w:r>
      <w:r w:rsidR="00240E39">
        <w:rPr>
          <w:sz w:val="21"/>
          <w:szCs w:val="21"/>
        </w:rPr>
        <w:t>may have been miscategorised</w:t>
      </w:r>
      <w:r>
        <w:rPr>
          <w:sz w:val="21"/>
          <w:szCs w:val="21"/>
        </w:rPr>
        <w:t xml:space="preserve">. </w:t>
      </w:r>
    </w:p>
    <w:p w14:paraId="7B2FEB92" w14:textId="73E4A81C" w:rsidR="007B1754" w:rsidRDefault="00B2199B" w:rsidP="00B2199B">
      <w:pPr>
        <w:rPr>
          <w:sz w:val="21"/>
          <w:szCs w:val="21"/>
        </w:rPr>
      </w:pPr>
      <w:r w:rsidRPr="310D7172">
        <w:rPr>
          <w:sz w:val="21"/>
          <w:szCs w:val="21"/>
        </w:rPr>
        <w:t xml:space="preserve">We </w:t>
      </w:r>
      <w:r>
        <w:rPr>
          <w:sz w:val="21"/>
          <w:szCs w:val="21"/>
        </w:rPr>
        <w:t xml:space="preserve">broadly </w:t>
      </w:r>
      <w:r w:rsidRPr="310D7172">
        <w:rPr>
          <w:sz w:val="21"/>
          <w:szCs w:val="21"/>
        </w:rPr>
        <w:t xml:space="preserve">agree with the </w:t>
      </w:r>
      <w:r>
        <w:rPr>
          <w:sz w:val="21"/>
          <w:szCs w:val="21"/>
        </w:rPr>
        <w:t>list of</w:t>
      </w:r>
      <w:r w:rsidRPr="310D7172">
        <w:rPr>
          <w:sz w:val="21"/>
          <w:szCs w:val="21"/>
        </w:rPr>
        <w:t xml:space="preserve"> </w:t>
      </w:r>
      <w:r>
        <w:rPr>
          <w:sz w:val="21"/>
          <w:szCs w:val="21"/>
        </w:rPr>
        <w:t xml:space="preserve">excluded </w:t>
      </w:r>
      <w:r w:rsidRPr="310D7172">
        <w:rPr>
          <w:sz w:val="21"/>
          <w:szCs w:val="21"/>
        </w:rPr>
        <w:t xml:space="preserve">costs </w:t>
      </w:r>
      <w:r>
        <w:rPr>
          <w:sz w:val="21"/>
          <w:szCs w:val="21"/>
        </w:rPr>
        <w:t>– including that cardholder rewards should not be included</w:t>
      </w:r>
      <w:r w:rsidRPr="00955DF2">
        <w:rPr>
          <w:rStyle w:val="FootnoteReference"/>
          <w:sz w:val="21"/>
          <w:szCs w:val="21"/>
        </w:rPr>
        <w:footnoteReference w:id="6"/>
      </w:r>
      <w:r w:rsidRPr="00955DF2">
        <w:rPr>
          <w:sz w:val="21"/>
          <w:szCs w:val="21"/>
        </w:rPr>
        <w:t xml:space="preserve">. We note, however, that capital ratios have increased by </w:t>
      </w:r>
      <w:r w:rsidR="000D15A9">
        <w:rPr>
          <w:sz w:val="21"/>
          <w:szCs w:val="21"/>
        </w:rPr>
        <w:t>more than double</w:t>
      </w:r>
      <w:r w:rsidR="00B739B5">
        <w:rPr>
          <w:sz w:val="21"/>
          <w:szCs w:val="21"/>
        </w:rPr>
        <w:t xml:space="preserve"> </w:t>
      </w:r>
      <w:r w:rsidRPr="00955DF2">
        <w:rPr>
          <w:sz w:val="21"/>
          <w:szCs w:val="21"/>
        </w:rPr>
        <w:t>since 2014</w:t>
      </w:r>
      <w:r w:rsidRPr="00955DF2">
        <w:rPr>
          <w:rStyle w:val="FootnoteReference"/>
          <w:sz w:val="21"/>
          <w:szCs w:val="21"/>
        </w:rPr>
        <w:footnoteReference w:id="7"/>
      </w:r>
      <w:r w:rsidRPr="00955DF2">
        <w:rPr>
          <w:sz w:val="21"/>
          <w:szCs w:val="21"/>
        </w:rPr>
        <w:t xml:space="preserve"> and the importance of operational capital has increased</w:t>
      </w:r>
      <w:r w:rsidR="00E3169C">
        <w:rPr>
          <w:sz w:val="21"/>
          <w:szCs w:val="21"/>
        </w:rPr>
        <w:t xml:space="preserve"> along with an increased focus on liquidity</w:t>
      </w:r>
      <w:r w:rsidRPr="00955DF2">
        <w:rPr>
          <w:sz w:val="21"/>
          <w:szCs w:val="21"/>
        </w:rPr>
        <w:t>.</w:t>
      </w:r>
      <w:r w:rsidR="005A547D">
        <w:rPr>
          <w:rStyle w:val="FootnoteReference"/>
          <w:sz w:val="21"/>
          <w:szCs w:val="21"/>
        </w:rPr>
        <w:footnoteReference w:id="8"/>
      </w:r>
      <w:r w:rsidRPr="00955DF2">
        <w:rPr>
          <w:sz w:val="21"/>
          <w:szCs w:val="21"/>
        </w:rPr>
        <w:t xml:space="preserve"> Both points are relevant to costs related to interest free periods.</w:t>
      </w:r>
    </w:p>
    <w:tbl>
      <w:tblPr>
        <w:tblStyle w:val="TableGrid"/>
        <w:tblW w:w="9634" w:type="dxa"/>
        <w:tblLook w:val="04A0" w:firstRow="1" w:lastRow="0" w:firstColumn="1" w:lastColumn="0" w:noHBand="0" w:noVBand="1"/>
      </w:tblPr>
      <w:tblGrid>
        <w:gridCol w:w="2689"/>
        <w:gridCol w:w="2835"/>
        <w:gridCol w:w="4110"/>
      </w:tblGrid>
      <w:tr w:rsidR="00B2199B" w:rsidRPr="00EE7E2B" w14:paraId="6B97BD13" w14:textId="77777777" w:rsidTr="00CD3CC3">
        <w:trPr>
          <w:cnfStyle w:val="100000000000" w:firstRow="1" w:lastRow="0" w:firstColumn="0" w:lastColumn="0" w:oddVBand="0" w:evenVBand="0" w:oddHBand="0" w:evenHBand="0" w:firstRowFirstColumn="0" w:firstRowLastColumn="0" w:lastRowFirstColumn="0" w:lastRowLastColumn="0"/>
        </w:trPr>
        <w:tc>
          <w:tcPr>
            <w:tcW w:w="2689" w:type="dxa"/>
            <w:shd w:val="clear" w:color="auto" w:fill="D9D9D9" w:themeFill="background1" w:themeFillShade="D9"/>
          </w:tcPr>
          <w:p w14:paraId="571847D2" w14:textId="1241471B" w:rsidR="00B2199B" w:rsidRPr="00D12ACF" w:rsidRDefault="00B2199B" w:rsidP="0061380B">
            <w:pPr>
              <w:jc w:val="left"/>
              <w:rPr>
                <w:rFonts w:cstheme="minorHAnsi"/>
                <w:sz w:val="21"/>
                <w:szCs w:val="21"/>
                <w:lang w:val="en-GB"/>
              </w:rPr>
            </w:pPr>
            <w:bookmarkStart w:id="1" w:name="_Hlk207180155"/>
            <w:r w:rsidRPr="00D12ACF">
              <w:rPr>
                <w:rFonts w:cstheme="minorHAnsi"/>
                <w:sz w:val="21"/>
                <w:szCs w:val="21"/>
                <w:lang w:val="en-GB"/>
              </w:rPr>
              <w:t xml:space="preserve">Included since 2005 </w:t>
            </w:r>
            <w:r w:rsidR="005C4157">
              <w:rPr>
                <w:rFonts w:cstheme="minorHAnsi"/>
                <w:sz w:val="21"/>
                <w:szCs w:val="21"/>
                <w:lang w:val="en-GB"/>
              </w:rPr>
              <w:t>G</w:t>
            </w:r>
            <w:r w:rsidRPr="00D12ACF">
              <w:rPr>
                <w:rFonts w:cstheme="minorHAnsi"/>
                <w:sz w:val="21"/>
                <w:szCs w:val="21"/>
                <w:lang w:val="en-GB"/>
              </w:rPr>
              <w:t xml:space="preserve">uidance and </w:t>
            </w:r>
            <w:r w:rsidR="009F0C9B">
              <w:rPr>
                <w:rFonts w:cstheme="minorHAnsi"/>
                <w:sz w:val="21"/>
                <w:szCs w:val="21"/>
                <w:lang w:val="en-GB"/>
              </w:rPr>
              <w:t xml:space="preserve">in </w:t>
            </w:r>
            <w:r w:rsidRPr="00D12ACF">
              <w:rPr>
                <w:rFonts w:cstheme="minorHAnsi"/>
                <w:sz w:val="21"/>
                <w:szCs w:val="21"/>
                <w:lang w:val="en-GB"/>
              </w:rPr>
              <w:t>2025</w:t>
            </w:r>
          </w:p>
        </w:tc>
        <w:tc>
          <w:tcPr>
            <w:tcW w:w="2835" w:type="dxa"/>
            <w:shd w:val="clear" w:color="auto" w:fill="D9D9D9" w:themeFill="background1" w:themeFillShade="D9"/>
          </w:tcPr>
          <w:p w14:paraId="598832DB" w14:textId="6E214DF2" w:rsidR="00B2199B" w:rsidRPr="00D12ACF" w:rsidRDefault="00B2199B" w:rsidP="0061380B">
            <w:pPr>
              <w:jc w:val="left"/>
              <w:rPr>
                <w:rFonts w:cstheme="minorHAnsi"/>
                <w:sz w:val="21"/>
                <w:szCs w:val="21"/>
                <w:lang w:val="en-GB"/>
              </w:rPr>
            </w:pPr>
            <w:r w:rsidRPr="00D12ACF">
              <w:rPr>
                <w:rFonts w:cstheme="minorHAnsi"/>
                <w:sz w:val="21"/>
                <w:szCs w:val="21"/>
                <w:lang w:val="en-GB"/>
              </w:rPr>
              <w:t xml:space="preserve">Included since 2005 </w:t>
            </w:r>
            <w:r w:rsidR="005C4157">
              <w:rPr>
                <w:rFonts w:cstheme="minorHAnsi"/>
                <w:sz w:val="21"/>
                <w:szCs w:val="21"/>
                <w:lang w:val="en-GB"/>
              </w:rPr>
              <w:t>G</w:t>
            </w:r>
            <w:r w:rsidRPr="00D12ACF">
              <w:rPr>
                <w:rFonts w:cstheme="minorHAnsi"/>
                <w:sz w:val="21"/>
                <w:szCs w:val="21"/>
                <w:lang w:val="en-GB"/>
              </w:rPr>
              <w:t>uidance but not 2025</w:t>
            </w:r>
          </w:p>
        </w:tc>
        <w:tc>
          <w:tcPr>
            <w:tcW w:w="4110" w:type="dxa"/>
            <w:shd w:val="clear" w:color="auto" w:fill="D9D9D9" w:themeFill="background1" w:themeFillShade="D9"/>
          </w:tcPr>
          <w:p w14:paraId="5913E728" w14:textId="77777777" w:rsidR="00B2199B" w:rsidRPr="00D12ACF" w:rsidRDefault="00B2199B">
            <w:pPr>
              <w:rPr>
                <w:rFonts w:cstheme="minorHAnsi"/>
                <w:sz w:val="21"/>
                <w:szCs w:val="21"/>
                <w:lang w:val="en-GB"/>
              </w:rPr>
            </w:pPr>
            <w:r w:rsidRPr="00D12ACF">
              <w:rPr>
                <w:rFonts w:cstheme="minorHAnsi"/>
                <w:sz w:val="21"/>
                <w:szCs w:val="21"/>
                <w:lang w:val="en-GB"/>
              </w:rPr>
              <w:t>Always excluded</w:t>
            </w:r>
          </w:p>
        </w:tc>
      </w:tr>
      <w:tr w:rsidR="00B2199B" w14:paraId="2C020E7F" w14:textId="77777777" w:rsidTr="00CD3CC3">
        <w:trPr>
          <w:trHeight w:val="1969"/>
        </w:trPr>
        <w:tc>
          <w:tcPr>
            <w:tcW w:w="2689" w:type="dxa"/>
          </w:tcPr>
          <w:p w14:paraId="373D700C" w14:textId="77777777" w:rsidR="00B2199B" w:rsidRPr="00D12ACF" w:rsidRDefault="00B2199B" w:rsidP="00B2199B">
            <w:pPr>
              <w:pStyle w:val="NoSpacing"/>
              <w:numPr>
                <w:ilvl w:val="0"/>
                <w:numId w:val="21"/>
              </w:numPr>
              <w:rPr>
                <w:rFonts w:cstheme="minorHAnsi"/>
                <w:sz w:val="21"/>
                <w:szCs w:val="21"/>
              </w:rPr>
            </w:pPr>
            <w:r w:rsidRPr="00D12ACF">
              <w:rPr>
                <w:rFonts w:cstheme="minorHAnsi"/>
                <w:sz w:val="21"/>
                <w:szCs w:val="21"/>
              </w:rPr>
              <w:t>Authorisation &amp; Transaction Processing (incl. digital wallet)</w:t>
            </w:r>
          </w:p>
          <w:p w14:paraId="4B0056CC" w14:textId="77777777" w:rsidR="00B2199B" w:rsidRPr="00D12ACF" w:rsidRDefault="00B2199B" w:rsidP="00B2199B">
            <w:pPr>
              <w:pStyle w:val="NoSpacing"/>
              <w:numPr>
                <w:ilvl w:val="0"/>
                <w:numId w:val="21"/>
              </w:numPr>
              <w:rPr>
                <w:rFonts w:cstheme="minorHAnsi"/>
                <w:sz w:val="21"/>
                <w:szCs w:val="21"/>
              </w:rPr>
            </w:pPr>
            <w:r w:rsidRPr="00D12ACF">
              <w:rPr>
                <w:rFonts w:cstheme="minorHAnsi"/>
                <w:sz w:val="21"/>
                <w:szCs w:val="21"/>
              </w:rPr>
              <w:t>Fraud (incl. related card costs)</w:t>
            </w:r>
          </w:p>
          <w:p w14:paraId="39FC310B" w14:textId="34761A2F" w:rsidR="00B2199B" w:rsidRPr="00CD3CC3" w:rsidRDefault="00B2199B" w:rsidP="00CD3CC3">
            <w:pPr>
              <w:pStyle w:val="ListParagraph"/>
              <w:numPr>
                <w:ilvl w:val="0"/>
                <w:numId w:val="21"/>
              </w:numPr>
              <w:spacing w:after="0"/>
              <w:jc w:val="left"/>
              <w:rPr>
                <w:rFonts w:cstheme="minorHAnsi"/>
                <w:sz w:val="21"/>
                <w:szCs w:val="21"/>
                <w:lang w:val="en-GB"/>
              </w:rPr>
            </w:pPr>
            <w:r w:rsidRPr="00D12ACF">
              <w:rPr>
                <w:rFonts w:cstheme="minorHAnsi"/>
                <w:sz w:val="21"/>
                <w:szCs w:val="21"/>
              </w:rPr>
              <w:t>Scheme Fees (Net)</w:t>
            </w:r>
          </w:p>
        </w:tc>
        <w:tc>
          <w:tcPr>
            <w:tcW w:w="2835" w:type="dxa"/>
          </w:tcPr>
          <w:p w14:paraId="1AF24439" w14:textId="1E501C19" w:rsidR="00B2199B" w:rsidRPr="00D12ACF" w:rsidRDefault="00B2199B" w:rsidP="00B2199B">
            <w:pPr>
              <w:pStyle w:val="NoSpacing"/>
              <w:numPr>
                <w:ilvl w:val="0"/>
                <w:numId w:val="21"/>
              </w:numPr>
              <w:rPr>
                <w:rFonts w:cstheme="minorHAnsi"/>
                <w:sz w:val="21"/>
                <w:szCs w:val="21"/>
              </w:rPr>
            </w:pPr>
            <w:r w:rsidRPr="00D12ACF">
              <w:rPr>
                <w:rFonts w:cstheme="minorHAnsi"/>
                <w:sz w:val="21"/>
                <w:szCs w:val="21"/>
              </w:rPr>
              <w:t>Disputes &amp; Net Chargeback</w:t>
            </w:r>
            <w:r w:rsidR="00A53193">
              <w:rPr>
                <w:rFonts w:cstheme="minorHAnsi"/>
                <w:sz w:val="21"/>
                <w:szCs w:val="21"/>
              </w:rPr>
              <w:t xml:space="preserve"> Write-offs</w:t>
            </w:r>
          </w:p>
          <w:p w14:paraId="5B2FEE49" w14:textId="77777777" w:rsidR="00B2199B" w:rsidRPr="00D12ACF" w:rsidRDefault="00B2199B" w:rsidP="007977F1">
            <w:pPr>
              <w:pStyle w:val="ListParagraph"/>
              <w:numPr>
                <w:ilvl w:val="0"/>
                <w:numId w:val="21"/>
              </w:numPr>
              <w:spacing w:after="0"/>
              <w:jc w:val="left"/>
              <w:rPr>
                <w:rFonts w:cstheme="minorHAnsi"/>
                <w:sz w:val="21"/>
                <w:szCs w:val="21"/>
                <w:lang w:val="en-GB"/>
              </w:rPr>
            </w:pPr>
            <w:r w:rsidRPr="00D12ACF">
              <w:rPr>
                <w:rFonts w:cstheme="minorHAnsi"/>
                <w:sz w:val="21"/>
                <w:szCs w:val="21"/>
              </w:rPr>
              <w:t>Cost of Funds (Interest-Free Period)</w:t>
            </w:r>
          </w:p>
          <w:p w14:paraId="58D54D78" w14:textId="29CF88F3" w:rsidR="00B2199B" w:rsidRPr="00D12ACF" w:rsidRDefault="00B2199B" w:rsidP="00B2199B">
            <w:pPr>
              <w:pStyle w:val="NoSpacing"/>
              <w:numPr>
                <w:ilvl w:val="0"/>
                <w:numId w:val="21"/>
              </w:numPr>
              <w:rPr>
                <w:rFonts w:cstheme="minorHAnsi"/>
                <w:sz w:val="21"/>
                <w:szCs w:val="21"/>
              </w:rPr>
            </w:pPr>
            <w:r w:rsidRPr="00D12ACF">
              <w:rPr>
                <w:rFonts w:cstheme="minorHAnsi"/>
                <w:sz w:val="21"/>
                <w:szCs w:val="21"/>
              </w:rPr>
              <w:t xml:space="preserve">Product Development </w:t>
            </w:r>
            <w:r w:rsidRPr="00866CF6">
              <w:rPr>
                <w:rFonts w:cstheme="minorHAnsi"/>
                <w:sz w:val="21"/>
                <w:szCs w:val="21"/>
              </w:rPr>
              <w:t>(</w:t>
            </w:r>
            <w:r w:rsidR="000540CE" w:rsidRPr="00866CF6">
              <w:rPr>
                <w:rFonts w:cstheme="minorHAnsi"/>
                <w:sz w:val="21"/>
                <w:szCs w:val="21"/>
              </w:rPr>
              <w:t>incl</w:t>
            </w:r>
            <w:r w:rsidR="00866CF6" w:rsidRPr="00866CF6">
              <w:rPr>
                <w:rFonts w:cstheme="minorHAnsi"/>
                <w:sz w:val="21"/>
                <w:szCs w:val="21"/>
              </w:rPr>
              <w:t>.</w:t>
            </w:r>
            <w:r w:rsidR="00CD3CC3" w:rsidRPr="00866CF6">
              <w:rPr>
                <w:rFonts w:cstheme="minorHAnsi"/>
                <w:sz w:val="21"/>
                <w:szCs w:val="21"/>
              </w:rPr>
              <w:t xml:space="preserve"> </w:t>
            </w:r>
            <w:r w:rsidRPr="00866CF6">
              <w:rPr>
                <w:rFonts w:cstheme="minorHAnsi"/>
                <w:sz w:val="21"/>
                <w:szCs w:val="21"/>
              </w:rPr>
              <w:t>risk and resilience)</w:t>
            </w:r>
          </w:p>
        </w:tc>
        <w:tc>
          <w:tcPr>
            <w:tcW w:w="4110" w:type="dxa"/>
          </w:tcPr>
          <w:p w14:paraId="0A09E477" w14:textId="77777777" w:rsidR="00B2199B" w:rsidRPr="00D12ACF" w:rsidRDefault="00B2199B" w:rsidP="00021E06">
            <w:pPr>
              <w:pStyle w:val="NoSpacing"/>
              <w:numPr>
                <w:ilvl w:val="0"/>
                <w:numId w:val="21"/>
              </w:numPr>
              <w:rPr>
                <w:rFonts w:cstheme="minorHAnsi"/>
                <w:sz w:val="21"/>
                <w:szCs w:val="21"/>
              </w:rPr>
            </w:pPr>
            <w:r w:rsidRPr="00D12ACF">
              <w:rPr>
                <w:rFonts w:cstheme="minorHAnsi"/>
                <w:sz w:val="21"/>
                <w:szCs w:val="21"/>
              </w:rPr>
              <w:t>Cardholder Reward Programs</w:t>
            </w:r>
          </w:p>
          <w:p w14:paraId="388E63FA" w14:textId="77777777" w:rsidR="00B2199B" w:rsidRPr="00D12ACF" w:rsidRDefault="00B2199B" w:rsidP="00021E06">
            <w:pPr>
              <w:pStyle w:val="NoSpacing"/>
              <w:numPr>
                <w:ilvl w:val="0"/>
                <w:numId w:val="21"/>
              </w:numPr>
              <w:rPr>
                <w:rFonts w:cstheme="minorHAnsi"/>
                <w:sz w:val="21"/>
                <w:szCs w:val="21"/>
              </w:rPr>
            </w:pPr>
            <w:r w:rsidRPr="00D12ACF">
              <w:rPr>
                <w:rFonts w:cstheme="minorHAnsi"/>
                <w:sz w:val="21"/>
                <w:szCs w:val="21"/>
              </w:rPr>
              <w:t>Account Setup, Overheads, Maintenance</w:t>
            </w:r>
          </w:p>
          <w:p w14:paraId="499E30E2" w14:textId="77777777" w:rsidR="00B2199B" w:rsidRPr="00D12ACF" w:rsidRDefault="00B2199B" w:rsidP="00021E06">
            <w:pPr>
              <w:pStyle w:val="NoSpacing"/>
              <w:numPr>
                <w:ilvl w:val="0"/>
                <w:numId w:val="21"/>
              </w:numPr>
              <w:rPr>
                <w:rFonts w:cstheme="minorHAnsi"/>
                <w:sz w:val="21"/>
                <w:szCs w:val="21"/>
              </w:rPr>
            </w:pPr>
            <w:r w:rsidRPr="00D12ACF">
              <w:rPr>
                <w:rFonts w:cstheme="minorHAnsi"/>
                <w:sz w:val="21"/>
                <w:szCs w:val="21"/>
              </w:rPr>
              <w:t>Card Production &amp; Delivery</w:t>
            </w:r>
          </w:p>
          <w:p w14:paraId="54C61761" w14:textId="77777777" w:rsidR="00B2199B" w:rsidRPr="00D12ACF" w:rsidRDefault="00B2199B" w:rsidP="00021E06">
            <w:pPr>
              <w:pStyle w:val="NoSpacing"/>
              <w:numPr>
                <w:ilvl w:val="0"/>
                <w:numId w:val="21"/>
              </w:numPr>
              <w:rPr>
                <w:rFonts w:cstheme="minorHAnsi"/>
                <w:sz w:val="21"/>
                <w:szCs w:val="21"/>
              </w:rPr>
            </w:pPr>
            <w:r w:rsidRPr="00D12ACF">
              <w:rPr>
                <w:rFonts w:cstheme="minorHAnsi"/>
                <w:sz w:val="21"/>
                <w:szCs w:val="21"/>
              </w:rPr>
              <w:t>Product Development (residual)</w:t>
            </w:r>
          </w:p>
          <w:p w14:paraId="4E7BD6CE" w14:textId="77777777" w:rsidR="00B2199B" w:rsidRPr="00D12ACF" w:rsidRDefault="00B2199B" w:rsidP="00021E06">
            <w:pPr>
              <w:pStyle w:val="NoSpacing"/>
              <w:numPr>
                <w:ilvl w:val="0"/>
                <w:numId w:val="21"/>
              </w:numPr>
              <w:rPr>
                <w:rFonts w:cstheme="minorHAnsi"/>
                <w:sz w:val="21"/>
                <w:szCs w:val="21"/>
                <w:lang w:val="en-GB"/>
              </w:rPr>
            </w:pPr>
            <w:r w:rsidRPr="00D12ACF">
              <w:rPr>
                <w:rFonts w:cstheme="minorHAnsi"/>
                <w:sz w:val="21"/>
                <w:szCs w:val="21"/>
              </w:rPr>
              <w:t>Collections &amp; Write-Offs</w:t>
            </w:r>
          </w:p>
          <w:p w14:paraId="7FEC6C42" w14:textId="77777777" w:rsidR="00B2199B" w:rsidRPr="00D12ACF" w:rsidRDefault="00B2199B" w:rsidP="00B2199B">
            <w:pPr>
              <w:pStyle w:val="NoSpacing"/>
              <w:numPr>
                <w:ilvl w:val="0"/>
                <w:numId w:val="21"/>
              </w:numPr>
              <w:rPr>
                <w:rFonts w:cstheme="minorHAnsi"/>
                <w:sz w:val="21"/>
                <w:szCs w:val="21"/>
                <w:lang w:val="en-GB"/>
              </w:rPr>
            </w:pPr>
            <w:r w:rsidRPr="00D12ACF">
              <w:rPr>
                <w:rFonts w:cstheme="minorHAnsi"/>
                <w:sz w:val="21"/>
                <w:szCs w:val="21"/>
              </w:rPr>
              <w:t xml:space="preserve">Cost of Capital </w:t>
            </w:r>
          </w:p>
        </w:tc>
      </w:tr>
      <w:bookmarkEnd w:id="1"/>
    </w:tbl>
    <w:p w14:paraId="65F2F4FA" w14:textId="77777777" w:rsidR="00B2199B" w:rsidRPr="00C631C4" w:rsidRDefault="00B2199B" w:rsidP="00B2199B">
      <w:pPr>
        <w:rPr>
          <w:rFonts w:cstheme="minorHAnsi"/>
          <w:sz w:val="21"/>
          <w:szCs w:val="21"/>
        </w:rPr>
      </w:pPr>
    </w:p>
    <w:p w14:paraId="3891709D" w14:textId="1A48B8AE" w:rsidR="00B2199B" w:rsidRPr="00C631C4" w:rsidRDefault="00B2199B" w:rsidP="00B2199B">
      <w:pPr>
        <w:rPr>
          <w:rFonts w:cstheme="minorHAnsi"/>
          <w:sz w:val="21"/>
          <w:szCs w:val="21"/>
          <w:lang w:val="en-GB"/>
        </w:rPr>
      </w:pPr>
      <w:r w:rsidRPr="00C631C4">
        <w:rPr>
          <w:rFonts w:cstheme="minorHAnsi"/>
          <w:sz w:val="21"/>
          <w:szCs w:val="21"/>
          <w:lang w:val="en-GB"/>
        </w:rPr>
        <w:t xml:space="preserve">We outline our </w:t>
      </w:r>
      <w:r>
        <w:rPr>
          <w:rFonts w:cstheme="minorHAnsi"/>
          <w:sz w:val="21"/>
          <w:szCs w:val="21"/>
          <w:lang w:val="en-GB"/>
        </w:rPr>
        <w:t xml:space="preserve">specific </w:t>
      </w:r>
      <w:r w:rsidRPr="00C631C4">
        <w:rPr>
          <w:rFonts w:cstheme="minorHAnsi"/>
          <w:sz w:val="21"/>
          <w:szCs w:val="21"/>
          <w:lang w:val="en-GB"/>
        </w:rPr>
        <w:t>concerns with specific cost categories below:</w:t>
      </w:r>
    </w:p>
    <w:p w14:paraId="6D324689" w14:textId="77777777" w:rsidR="00B2199B" w:rsidRPr="00C631C4" w:rsidRDefault="00B2199B" w:rsidP="00B2199B">
      <w:pPr>
        <w:pStyle w:val="ListParagraph"/>
        <w:numPr>
          <w:ilvl w:val="0"/>
          <w:numId w:val="22"/>
        </w:numPr>
        <w:autoSpaceDE w:val="0"/>
        <w:autoSpaceDN w:val="0"/>
        <w:adjustRightInd w:val="0"/>
        <w:spacing w:line="240" w:lineRule="auto"/>
        <w:contextualSpacing w:val="0"/>
        <w:rPr>
          <w:rFonts w:cstheme="minorHAnsi"/>
          <w:b/>
          <w:sz w:val="21"/>
          <w:szCs w:val="21"/>
          <w:lang w:val="en-GB"/>
        </w:rPr>
      </w:pPr>
      <w:r>
        <w:rPr>
          <w:rFonts w:cstheme="minorHAnsi"/>
          <w:b/>
          <w:sz w:val="21"/>
          <w:szCs w:val="21"/>
          <w:lang w:val="en-GB"/>
        </w:rPr>
        <w:t>Cost of Funds (</w:t>
      </w:r>
      <w:r w:rsidRPr="00C631C4">
        <w:rPr>
          <w:rFonts w:cstheme="minorHAnsi"/>
          <w:b/>
          <w:sz w:val="21"/>
          <w:szCs w:val="21"/>
          <w:lang w:val="en-GB"/>
        </w:rPr>
        <w:t>Interest</w:t>
      </w:r>
      <w:r>
        <w:rPr>
          <w:rFonts w:cstheme="minorHAnsi"/>
          <w:b/>
          <w:sz w:val="21"/>
          <w:szCs w:val="21"/>
          <w:lang w:val="en-GB"/>
        </w:rPr>
        <w:t>-F</w:t>
      </w:r>
      <w:r w:rsidRPr="00C631C4">
        <w:rPr>
          <w:rFonts w:cstheme="minorHAnsi"/>
          <w:b/>
          <w:sz w:val="21"/>
          <w:szCs w:val="21"/>
          <w:lang w:val="en-GB"/>
        </w:rPr>
        <w:t>ree period</w:t>
      </w:r>
      <w:r>
        <w:rPr>
          <w:rFonts w:cstheme="minorHAnsi"/>
          <w:b/>
          <w:sz w:val="21"/>
          <w:szCs w:val="21"/>
          <w:lang w:val="en-GB"/>
        </w:rPr>
        <w:t>)</w:t>
      </w:r>
    </w:p>
    <w:p w14:paraId="3CC8DB5F" w14:textId="3B30AC31" w:rsidR="00B2199B" w:rsidRDefault="00B2199B" w:rsidP="00B2199B">
      <w:pPr>
        <w:autoSpaceDE w:val="0"/>
        <w:autoSpaceDN w:val="0"/>
        <w:adjustRightInd w:val="0"/>
        <w:spacing w:line="240" w:lineRule="auto"/>
        <w:rPr>
          <w:rFonts w:cstheme="minorHAnsi"/>
          <w:sz w:val="21"/>
          <w:szCs w:val="21"/>
        </w:rPr>
      </w:pPr>
      <w:bookmarkStart w:id="2" w:name="_Hlk207175326"/>
      <w:r>
        <w:rPr>
          <w:rFonts w:cstheme="minorHAnsi"/>
          <w:sz w:val="21"/>
          <w:szCs w:val="21"/>
        </w:rPr>
        <w:t>The cost study estimates the cost of interest free days as 1</w:t>
      </w:r>
      <w:r w:rsidR="00316BBD">
        <w:rPr>
          <w:rFonts w:cstheme="minorHAnsi"/>
          <w:sz w:val="21"/>
          <w:szCs w:val="21"/>
        </w:rPr>
        <w:t>2</w:t>
      </w:r>
      <w:r>
        <w:rPr>
          <w:rFonts w:cstheme="minorHAnsi"/>
          <w:sz w:val="21"/>
          <w:szCs w:val="21"/>
        </w:rPr>
        <w:t xml:space="preserve"> </w:t>
      </w:r>
      <w:r w:rsidR="00EB4233">
        <w:rPr>
          <w:rFonts w:cstheme="minorHAnsi"/>
          <w:sz w:val="21"/>
          <w:szCs w:val="21"/>
        </w:rPr>
        <w:t>bps</w:t>
      </w:r>
      <w:r w:rsidR="008E37C5">
        <w:rPr>
          <w:rFonts w:cstheme="minorHAnsi"/>
          <w:sz w:val="21"/>
          <w:szCs w:val="21"/>
        </w:rPr>
        <w:t xml:space="preserve"> for the market</w:t>
      </w:r>
      <w:r>
        <w:rPr>
          <w:rFonts w:cstheme="minorHAnsi"/>
          <w:sz w:val="21"/>
          <w:szCs w:val="21"/>
        </w:rPr>
        <w:t xml:space="preserve">. We believe this is </w:t>
      </w:r>
      <w:r w:rsidR="008659EC">
        <w:rPr>
          <w:rFonts w:cstheme="minorHAnsi"/>
          <w:sz w:val="21"/>
          <w:szCs w:val="21"/>
        </w:rPr>
        <w:t xml:space="preserve">not correct </w:t>
      </w:r>
      <w:r>
        <w:rPr>
          <w:rFonts w:cstheme="minorHAnsi"/>
          <w:sz w:val="21"/>
          <w:szCs w:val="21"/>
        </w:rPr>
        <w:t xml:space="preserve">for </w:t>
      </w:r>
      <w:r w:rsidR="009074EF">
        <w:rPr>
          <w:rFonts w:cstheme="minorHAnsi"/>
          <w:sz w:val="21"/>
          <w:szCs w:val="21"/>
        </w:rPr>
        <w:t>several</w:t>
      </w:r>
      <w:r>
        <w:rPr>
          <w:rFonts w:cstheme="minorHAnsi"/>
          <w:sz w:val="21"/>
          <w:szCs w:val="21"/>
        </w:rPr>
        <w:t xml:space="preserve"> reasons:</w:t>
      </w:r>
    </w:p>
    <w:p w14:paraId="0094B10B" w14:textId="4C717E4F" w:rsidR="00B2199B" w:rsidRDefault="00B2199B" w:rsidP="00B2199B">
      <w:pPr>
        <w:pStyle w:val="ListParagraph"/>
        <w:numPr>
          <w:ilvl w:val="0"/>
          <w:numId w:val="25"/>
        </w:numPr>
        <w:autoSpaceDE w:val="0"/>
        <w:autoSpaceDN w:val="0"/>
        <w:adjustRightInd w:val="0"/>
        <w:spacing w:line="240" w:lineRule="auto"/>
        <w:contextualSpacing w:val="0"/>
        <w:rPr>
          <w:rFonts w:cstheme="minorHAnsi"/>
          <w:sz w:val="21"/>
          <w:szCs w:val="21"/>
        </w:rPr>
      </w:pPr>
      <w:r w:rsidRPr="72D566B1">
        <w:rPr>
          <w:sz w:val="21"/>
          <w:szCs w:val="21"/>
        </w:rPr>
        <w:t xml:space="preserve">First, it </w:t>
      </w:r>
      <w:r>
        <w:rPr>
          <w:sz w:val="21"/>
          <w:szCs w:val="21"/>
        </w:rPr>
        <w:t>included</w:t>
      </w:r>
      <w:r w:rsidRPr="72D566B1">
        <w:rPr>
          <w:sz w:val="21"/>
          <w:szCs w:val="21"/>
        </w:rPr>
        <w:t xml:space="preserve"> </w:t>
      </w:r>
      <w:proofErr w:type="gramStart"/>
      <w:r w:rsidRPr="72D566B1">
        <w:rPr>
          <w:sz w:val="21"/>
          <w:szCs w:val="21"/>
        </w:rPr>
        <w:t>a time period</w:t>
      </w:r>
      <w:proofErr w:type="gramEnd"/>
      <w:r w:rsidRPr="72D566B1">
        <w:rPr>
          <w:sz w:val="21"/>
          <w:szCs w:val="21"/>
        </w:rPr>
        <w:t xml:space="preserve"> when the cash rate was abnormally low</w:t>
      </w:r>
      <w:r>
        <w:rPr>
          <w:sz w:val="21"/>
          <w:szCs w:val="21"/>
        </w:rPr>
        <w:t xml:space="preserve"> (2022)</w:t>
      </w:r>
      <w:r w:rsidRPr="72D566B1">
        <w:rPr>
          <w:sz w:val="21"/>
          <w:szCs w:val="21"/>
        </w:rPr>
        <w:t xml:space="preserve">. </w:t>
      </w:r>
      <w:r w:rsidRPr="000D2449">
        <w:rPr>
          <w:sz w:val="21"/>
          <w:szCs w:val="21"/>
        </w:rPr>
        <w:t>Applying the RBA’s three</w:t>
      </w:r>
      <w:r w:rsidR="000D15A9" w:rsidRPr="000D2449">
        <w:rPr>
          <w:sz w:val="21"/>
          <w:szCs w:val="21"/>
        </w:rPr>
        <w:t>-</w:t>
      </w:r>
      <w:r w:rsidRPr="000D2449">
        <w:rPr>
          <w:sz w:val="21"/>
          <w:szCs w:val="21"/>
        </w:rPr>
        <w:t xml:space="preserve">year rolling </w:t>
      </w:r>
      <w:proofErr w:type="gramStart"/>
      <w:r w:rsidRPr="000D2449">
        <w:rPr>
          <w:sz w:val="21"/>
          <w:szCs w:val="21"/>
        </w:rPr>
        <w:t>time period</w:t>
      </w:r>
      <w:proofErr w:type="gramEnd"/>
      <w:r w:rsidRPr="000D2449">
        <w:rPr>
          <w:sz w:val="21"/>
          <w:szCs w:val="21"/>
        </w:rPr>
        <w:t xml:space="preserve"> today would result in a figure of 17 bps</w:t>
      </w:r>
      <w:r w:rsidRPr="000D2449">
        <w:rPr>
          <w:rStyle w:val="FootnoteReference"/>
          <w:sz w:val="21"/>
          <w:szCs w:val="21"/>
        </w:rPr>
        <w:footnoteReference w:id="9"/>
      </w:r>
      <w:r w:rsidR="0085551B" w:rsidRPr="000D2449">
        <w:rPr>
          <w:sz w:val="21"/>
          <w:szCs w:val="21"/>
        </w:rPr>
        <w:t xml:space="preserve"> vs </w:t>
      </w:r>
      <w:r w:rsidR="00DC5211" w:rsidRPr="000D2449">
        <w:rPr>
          <w:sz w:val="21"/>
          <w:szCs w:val="21"/>
        </w:rPr>
        <w:t>11</w:t>
      </w:r>
      <w:r w:rsidR="0085551B" w:rsidRPr="000D2449">
        <w:rPr>
          <w:sz w:val="21"/>
          <w:szCs w:val="21"/>
        </w:rPr>
        <w:t xml:space="preserve"> bps</w:t>
      </w:r>
      <w:r w:rsidR="003C6F99">
        <w:rPr>
          <w:sz w:val="21"/>
          <w:szCs w:val="21"/>
        </w:rPr>
        <w:t xml:space="preserve"> for CBA</w:t>
      </w:r>
      <w:r w:rsidRPr="000D2449">
        <w:rPr>
          <w:sz w:val="21"/>
          <w:szCs w:val="21"/>
        </w:rPr>
        <w:t>.</w:t>
      </w:r>
    </w:p>
    <w:p w14:paraId="6358AB31" w14:textId="2F315A65" w:rsidR="00B2199B" w:rsidRPr="00833BA6" w:rsidRDefault="00B2199B" w:rsidP="00B2199B">
      <w:pPr>
        <w:pStyle w:val="ListParagraph"/>
        <w:numPr>
          <w:ilvl w:val="0"/>
          <w:numId w:val="25"/>
        </w:numPr>
        <w:autoSpaceDE w:val="0"/>
        <w:autoSpaceDN w:val="0"/>
        <w:adjustRightInd w:val="0"/>
        <w:spacing w:line="240" w:lineRule="auto"/>
        <w:ind w:left="714" w:hanging="357"/>
        <w:contextualSpacing w:val="0"/>
        <w:rPr>
          <w:sz w:val="21"/>
          <w:szCs w:val="21"/>
        </w:rPr>
      </w:pPr>
      <w:r w:rsidRPr="00833BA6">
        <w:rPr>
          <w:sz w:val="21"/>
          <w:szCs w:val="21"/>
        </w:rPr>
        <w:t>Second, it is based on the cash rate alone. CBA does not pay the cash rate to fund assets: we issue wholesale funding. The behavioural term for these loans is 5 years – and we match fund</w:t>
      </w:r>
      <w:r w:rsidR="00F672E1" w:rsidRPr="00833BA6">
        <w:rPr>
          <w:sz w:val="21"/>
          <w:szCs w:val="21"/>
        </w:rPr>
        <w:t>s</w:t>
      </w:r>
      <w:r w:rsidRPr="00833BA6">
        <w:rPr>
          <w:sz w:val="21"/>
          <w:szCs w:val="21"/>
        </w:rPr>
        <w:t xml:space="preserve"> to mitigate funding duration risk. This term premium results in a further </w:t>
      </w:r>
      <w:r w:rsidR="006A5BC0">
        <w:rPr>
          <w:sz w:val="21"/>
          <w:szCs w:val="21"/>
        </w:rPr>
        <w:t>~</w:t>
      </w:r>
      <w:r w:rsidR="00DB3F4E">
        <w:rPr>
          <w:sz w:val="21"/>
          <w:szCs w:val="21"/>
        </w:rPr>
        <w:t>5</w:t>
      </w:r>
      <w:r w:rsidRPr="00833BA6">
        <w:rPr>
          <w:sz w:val="21"/>
          <w:szCs w:val="21"/>
        </w:rPr>
        <w:t xml:space="preserve"> bps cost.</w:t>
      </w:r>
    </w:p>
    <w:p w14:paraId="5BAC597B" w14:textId="04FA356C" w:rsidR="00B2199B" w:rsidRPr="000D2449" w:rsidRDefault="00B2199B" w:rsidP="00B2199B">
      <w:pPr>
        <w:numPr>
          <w:ilvl w:val="0"/>
          <w:numId w:val="25"/>
        </w:numPr>
        <w:spacing w:line="240" w:lineRule="auto"/>
        <w:rPr>
          <w:rFonts w:eastAsia="Times New Roman"/>
          <w:sz w:val="21"/>
          <w:szCs w:val="21"/>
        </w:rPr>
      </w:pPr>
      <w:r w:rsidRPr="00833BA6">
        <w:rPr>
          <w:rFonts w:eastAsia="Times New Roman"/>
          <w:sz w:val="21"/>
          <w:szCs w:val="21"/>
        </w:rPr>
        <w:t>Third</w:t>
      </w:r>
      <w:r w:rsidRPr="004C799C">
        <w:rPr>
          <w:rFonts w:eastAsia="Times New Roman"/>
          <w:sz w:val="21"/>
          <w:szCs w:val="21"/>
        </w:rPr>
        <w:t xml:space="preserve">, a bank is required to hold capital, hybrids and subordinated debt against any loan, and these capital levels have increased materially since 2005. </w:t>
      </w:r>
      <w:r w:rsidRPr="000D2449">
        <w:rPr>
          <w:rFonts w:eastAsia="Times New Roman"/>
          <w:sz w:val="21"/>
          <w:szCs w:val="21"/>
        </w:rPr>
        <w:t xml:space="preserve">The cost of capital associated with the interest free period adds a further </w:t>
      </w:r>
      <w:r w:rsidR="00872854">
        <w:rPr>
          <w:rFonts w:eastAsia="Times New Roman"/>
          <w:sz w:val="21"/>
          <w:szCs w:val="21"/>
        </w:rPr>
        <w:t>~</w:t>
      </w:r>
      <w:r w:rsidRPr="000D2449">
        <w:rPr>
          <w:rFonts w:eastAsia="Times New Roman"/>
          <w:sz w:val="21"/>
          <w:szCs w:val="21"/>
        </w:rPr>
        <w:t xml:space="preserve">4 bps. </w:t>
      </w:r>
    </w:p>
    <w:p w14:paraId="7DF1B173" w14:textId="2C49AFD4" w:rsidR="00B2199B" w:rsidRPr="00D512B4" w:rsidRDefault="00B2199B" w:rsidP="00B2199B">
      <w:pPr>
        <w:numPr>
          <w:ilvl w:val="0"/>
          <w:numId w:val="25"/>
        </w:numPr>
        <w:spacing w:line="240" w:lineRule="auto"/>
        <w:rPr>
          <w:rFonts w:eastAsia="Times New Roman"/>
          <w:sz w:val="21"/>
          <w:szCs w:val="21"/>
        </w:rPr>
      </w:pPr>
      <w:r w:rsidRPr="004C799C">
        <w:rPr>
          <w:rFonts w:eastAsia="Times New Roman"/>
          <w:sz w:val="21"/>
          <w:szCs w:val="21"/>
        </w:rPr>
        <w:t xml:space="preserve">Fourth, banks are required to hold excess liquidity to meet potential outflows from credit cards </w:t>
      </w:r>
      <w:r w:rsidRPr="00D512B4">
        <w:rPr>
          <w:rFonts w:eastAsia="Times New Roman"/>
          <w:sz w:val="21"/>
          <w:szCs w:val="21"/>
        </w:rPr>
        <w:t>undrawn balances</w:t>
      </w:r>
      <w:r w:rsidRPr="000D2449">
        <w:rPr>
          <w:rFonts w:eastAsia="Times New Roman"/>
          <w:sz w:val="21"/>
          <w:szCs w:val="21"/>
        </w:rPr>
        <w:t xml:space="preserve">, which increase the cost by a further </w:t>
      </w:r>
      <w:r w:rsidR="00334715">
        <w:rPr>
          <w:rFonts w:eastAsia="Times New Roman"/>
          <w:sz w:val="21"/>
          <w:szCs w:val="21"/>
        </w:rPr>
        <w:t>~</w:t>
      </w:r>
      <w:r w:rsidRPr="000D2449">
        <w:rPr>
          <w:rFonts w:eastAsia="Times New Roman"/>
          <w:sz w:val="21"/>
          <w:szCs w:val="21"/>
        </w:rPr>
        <w:t>0.</w:t>
      </w:r>
      <w:r w:rsidR="00D00A6A">
        <w:rPr>
          <w:rFonts w:eastAsia="Times New Roman"/>
          <w:sz w:val="21"/>
          <w:szCs w:val="21"/>
        </w:rPr>
        <w:t>5</w:t>
      </w:r>
      <w:r w:rsidRPr="000D2449">
        <w:rPr>
          <w:rFonts w:eastAsia="Times New Roman"/>
          <w:sz w:val="21"/>
          <w:szCs w:val="21"/>
        </w:rPr>
        <w:t xml:space="preserve"> bps.</w:t>
      </w:r>
      <w:r w:rsidRPr="00D512B4">
        <w:rPr>
          <w:rFonts w:eastAsia="Times New Roman"/>
          <w:sz w:val="21"/>
          <w:szCs w:val="21"/>
        </w:rPr>
        <w:t xml:space="preserve"> </w:t>
      </w:r>
    </w:p>
    <w:p w14:paraId="3C318CF4" w14:textId="6A20AD83" w:rsidR="00B2199B" w:rsidRPr="00833BA6" w:rsidRDefault="00B2199B" w:rsidP="00B2199B">
      <w:pPr>
        <w:pStyle w:val="ListParagraph"/>
        <w:numPr>
          <w:ilvl w:val="0"/>
          <w:numId w:val="25"/>
        </w:numPr>
        <w:autoSpaceDE w:val="0"/>
        <w:autoSpaceDN w:val="0"/>
        <w:adjustRightInd w:val="0"/>
        <w:spacing w:line="240" w:lineRule="auto"/>
        <w:contextualSpacing w:val="0"/>
        <w:rPr>
          <w:sz w:val="21"/>
          <w:szCs w:val="21"/>
        </w:rPr>
      </w:pPr>
      <w:r w:rsidRPr="00833BA6">
        <w:rPr>
          <w:rFonts w:eastAsia="Times New Roman"/>
          <w:sz w:val="21"/>
          <w:szCs w:val="21"/>
        </w:rPr>
        <w:lastRenderedPageBreak/>
        <w:t xml:space="preserve">Fifth, customers default on their credit card drawn and undrawn balances. Based on the 2014-25 loss rate of CBA’s Australian credit cards, loan impairment expenses increase the cost by an additional </w:t>
      </w:r>
      <w:r w:rsidR="00F97A2C">
        <w:rPr>
          <w:rFonts w:eastAsia="Times New Roman"/>
          <w:sz w:val="21"/>
          <w:szCs w:val="21"/>
        </w:rPr>
        <w:t>~</w:t>
      </w:r>
      <w:r w:rsidRPr="00833BA6">
        <w:rPr>
          <w:rFonts w:eastAsia="Times New Roman"/>
          <w:sz w:val="21"/>
          <w:szCs w:val="21"/>
        </w:rPr>
        <w:t xml:space="preserve">4 bps. </w:t>
      </w:r>
      <w:r w:rsidR="002E4D70" w:rsidRPr="00833BA6">
        <w:rPr>
          <w:rFonts w:eastAsia="Times New Roman"/>
          <w:sz w:val="21"/>
          <w:szCs w:val="21"/>
        </w:rPr>
        <w:t>T</w:t>
      </w:r>
      <w:r w:rsidRPr="00833BA6">
        <w:rPr>
          <w:rFonts w:eastAsia="Times New Roman"/>
          <w:sz w:val="21"/>
          <w:szCs w:val="21"/>
        </w:rPr>
        <w:t>his cost has never been included</w:t>
      </w:r>
      <w:r w:rsidR="00D40533" w:rsidRPr="00833BA6">
        <w:rPr>
          <w:rFonts w:eastAsia="Times New Roman"/>
          <w:sz w:val="21"/>
          <w:szCs w:val="21"/>
        </w:rPr>
        <w:t>,</w:t>
      </w:r>
      <w:r w:rsidRPr="00833BA6">
        <w:rPr>
          <w:rFonts w:eastAsia="Times New Roman"/>
          <w:sz w:val="21"/>
          <w:szCs w:val="21"/>
        </w:rPr>
        <w:t xml:space="preserve"> and </w:t>
      </w:r>
      <w:r w:rsidR="0084627B" w:rsidRPr="00833BA6">
        <w:rPr>
          <w:rFonts w:eastAsia="Times New Roman"/>
          <w:sz w:val="21"/>
          <w:szCs w:val="21"/>
        </w:rPr>
        <w:t xml:space="preserve">we </w:t>
      </w:r>
      <w:r w:rsidR="002E4D70" w:rsidRPr="00833BA6">
        <w:rPr>
          <w:rFonts w:eastAsia="Times New Roman"/>
          <w:sz w:val="21"/>
          <w:szCs w:val="21"/>
        </w:rPr>
        <w:t>do</w:t>
      </w:r>
      <w:r w:rsidRPr="00833BA6">
        <w:rPr>
          <w:rFonts w:eastAsia="Times New Roman"/>
          <w:sz w:val="21"/>
          <w:szCs w:val="21"/>
        </w:rPr>
        <w:t xml:space="preserve"> not propose that it should be.</w:t>
      </w:r>
    </w:p>
    <w:bookmarkEnd w:id="2"/>
    <w:p w14:paraId="6B3AAEA0" w14:textId="77777777" w:rsidR="000F222F" w:rsidRDefault="000F222F" w:rsidP="00B2199B">
      <w:pPr>
        <w:rPr>
          <w:rFonts w:cstheme="minorHAnsi"/>
          <w:sz w:val="21"/>
          <w:szCs w:val="21"/>
        </w:rPr>
      </w:pPr>
      <w:r w:rsidRPr="00833BA6">
        <w:rPr>
          <w:rFonts w:cstheme="minorHAnsi"/>
          <w:sz w:val="21"/>
          <w:szCs w:val="21"/>
        </w:rPr>
        <w:t>The first point above was always eligible in prior cost studies, and we believe should still be. The second, third and fourth points above were previously not included in the cost study. We believe that they should be, as they are real costs associated with the provision of this service.</w:t>
      </w:r>
    </w:p>
    <w:p w14:paraId="7057C545" w14:textId="13982591" w:rsidR="0020246B" w:rsidRPr="0020246B" w:rsidRDefault="0020246B" w:rsidP="0020246B">
      <w:pPr>
        <w:spacing w:after="160"/>
        <w:rPr>
          <w:rFonts w:cstheme="minorHAnsi"/>
          <w:sz w:val="21"/>
          <w:szCs w:val="21"/>
        </w:rPr>
      </w:pPr>
      <w:r w:rsidRPr="0020246B">
        <w:rPr>
          <w:rFonts w:cstheme="minorHAnsi"/>
          <w:sz w:val="21"/>
          <w:szCs w:val="21"/>
        </w:rPr>
        <w:t xml:space="preserve">With respect to cost of capital, we note that the 2002 RBA costs study said: </w:t>
      </w:r>
      <w:r w:rsidRPr="0020246B">
        <w:rPr>
          <w:rFonts w:cstheme="minorHAnsi"/>
          <w:i/>
          <w:iCs/>
          <w:sz w:val="21"/>
          <w:szCs w:val="21"/>
        </w:rPr>
        <w:t>“there would also be a logic in including the cost of capital held against operational risk … however the R</w:t>
      </w:r>
      <w:r>
        <w:rPr>
          <w:rFonts w:cstheme="minorHAnsi"/>
          <w:i/>
          <w:iCs/>
          <w:sz w:val="21"/>
          <w:szCs w:val="21"/>
        </w:rPr>
        <w:t>e</w:t>
      </w:r>
      <w:r w:rsidRPr="0020246B">
        <w:rPr>
          <w:rFonts w:cstheme="minorHAnsi"/>
          <w:i/>
          <w:iCs/>
          <w:sz w:val="21"/>
          <w:szCs w:val="21"/>
        </w:rPr>
        <w:t>serve Bank found the systems for measuring capital held against operational capital are immature compared to other costing systems … for these reasons, the Reserve Bank has concluded that this item is not appropriate for inclusion”</w:t>
      </w:r>
      <w:r w:rsidRPr="0020246B">
        <w:rPr>
          <w:rFonts w:cstheme="minorHAnsi"/>
          <w:sz w:val="21"/>
          <w:szCs w:val="21"/>
        </w:rPr>
        <w:t>.</w:t>
      </w:r>
      <w:r w:rsidR="00D52B8E">
        <w:rPr>
          <w:rStyle w:val="FootnoteReference"/>
          <w:rFonts w:cstheme="minorHAnsi"/>
          <w:sz w:val="21"/>
          <w:szCs w:val="21"/>
        </w:rPr>
        <w:footnoteReference w:id="10"/>
      </w:r>
      <w:r w:rsidRPr="0020246B">
        <w:rPr>
          <w:rFonts w:cstheme="minorHAnsi"/>
          <w:sz w:val="21"/>
          <w:szCs w:val="21"/>
        </w:rPr>
        <w:t xml:space="preserve"> </w:t>
      </w:r>
    </w:p>
    <w:p w14:paraId="0D7763BC" w14:textId="30C8A604" w:rsidR="0020246B" w:rsidRDefault="0020246B" w:rsidP="00B2199B">
      <w:pPr>
        <w:rPr>
          <w:rFonts w:cstheme="minorHAnsi"/>
          <w:sz w:val="21"/>
          <w:szCs w:val="21"/>
        </w:rPr>
      </w:pPr>
      <w:r w:rsidRPr="0020246B">
        <w:rPr>
          <w:rFonts w:cstheme="minorHAnsi"/>
          <w:sz w:val="21"/>
          <w:szCs w:val="21"/>
        </w:rPr>
        <w:t xml:space="preserve">Since this time, APRA has clarified and standardised the calculation and treatment of operational risk capital, and its allocation to </w:t>
      </w:r>
      <w:r w:rsidR="00C16455">
        <w:rPr>
          <w:rFonts w:cstheme="minorHAnsi"/>
          <w:sz w:val="21"/>
          <w:szCs w:val="21"/>
        </w:rPr>
        <w:t>business units</w:t>
      </w:r>
      <w:r w:rsidR="008B2160">
        <w:rPr>
          <w:rFonts w:cstheme="minorHAnsi"/>
          <w:sz w:val="21"/>
          <w:szCs w:val="21"/>
        </w:rPr>
        <w:t>,</w:t>
      </w:r>
      <w:r w:rsidRPr="0020246B">
        <w:rPr>
          <w:rFonts w:cstheme="minorHAnsi"/>
          <w:sz w:val="21"/>
          <w:szCs w:val="21"/>
        </w:rPr>
        <w:t xml:space="preserve"> through APS115 (2021). </w:t>
      </w:r>
      <w:r w:rsidR="00D01FC6">
        <w:rPr>
          <w:rFonts w:cstheme="minorHAnsi"/>
          <w:sz w:val="21"/>
          <w:szCs w:val="21"/>
        </w:rPr>
        <w:t xml:space="preserve">Not including </w:t>
      </w:r>
      <w:r w:rsidRPr="0020246B">
        <w:rPr>
          <w:rFonts w:cstheme="minorHAnsi"/>
          <w:sz w:val="21"/>
          <w:szCs w:val="21"/>
        </w:rPr>
        <w:t xml:space="preserve">these costs for interest free balances </w:t>
      </w:r>
      <w:r w:rsidR="00D01FC6">
        <w:rPr>
          <w:rFonts w:cstheme="minorHAnsi"/>
          <w:sz w:val="21"/>
          <w:szCs w:val="21"/>
        </w:rPr>
        <w:t xml:space="preserve">is </w:t>
      </w:r>
      <w:r w:rsidRPr="0020246B">
        <w:rPr>
          <w:rFonts w:cstheme="minorHAnsi"/>
          <w:sz w:val="21"/>
          <w:szCs w:val="21"/>
        </w:rPr>
        <w:t xml:space="preserve">inconsistent with </w:t>
      </w:r>
      <w:r w:rsidR="0058084E">
        <w:rPr>
          <w:rFonts w:cstheme="minorHAnsi"/>
          <w:sz w:val="21"/>
          <w:szCs w:val="21"/>
        </w:rPr>
        <w:t xml:space="preserve">their </w:t>
      </w:r>
      <w:r w:rsidR="00D01FC6">
        <w:rPr>
          <w:rFonts w:cstheme="minorHAnsi"/>
          <w:sz w:val="21"/>
          <w:szCs w:val="21"/>
        </w:rPr>
        <w:t xml:space="preserve">treatment in the </w:t>
      </w:r>
      <w:r w:rsidRPr="0020246B">
        <w:rPr>
          <w:rFonts w:cstheme="minorHAnsi"/>
          <w:sz w:val="21"/>
          <w:szCs w:val="21"/>
        </w:rPr>
        <w:t xml:space="preserve">prudential standards. </w:t>
      </w:r>
    </w:p>
    <w:p w14:paraId="19B35528" w14:textId="1E2911E4" w:rsidR="00B2199B" w:rsidRPr="00C631C4" w:rsidRDefault="00B2199B" w:rsidP="00B2199B">
      <w:pPr>
        <w:rPr>
          <w:rFonts w:cstheme="minorHAnsi"/>
          <w:sz w:val="21"/>
          <w:szCs w:val="21"/>
        </w:rPr>
      </w:pPr>
      <w:r>
        <w:rPr>
          <w:rFonts w:cstheme="minorHAnsi"/>
          <w:sz w:val="21"/>
          <w:szCs w:val="21"/>
        </w:rPr>
        <w:t>The Commonwealth Bank</w:t>
      </w:r>
      <w:r w:rsidRPr="00C631C4">
        <w:rPr>
          <w:rFonts w:cstheme="minorHAnsi"/>
          <w:sz w:val="21"/>
          <w:szCs w:val="21"/>
        </w:rPr>
        <w:t xml:space="preserve"> recognises that there are valid arguments on both sides as to whether consumers or merchants should bear the cost</w:t>
      </w:r>
      <w:r>
        <w:rPr>
          <w:rFonts w:cstheme="minorHAnsi"/>
          <w:sz w:val="21"/>
          <w:szCs w:val="21"/>
        </w:rPr>
        <w:t xml:space="preserve"> of interest free periods</w:t>
      </w:r>
      <w:r w:rsidRPr="00003026">
        <w:rPr>
          <w:rFonts w:cstheme="minorHAnsi"/>
          <w:sz w:val="21"/>
          <w:szCs w:val="21"/>
        </w:rPr>
        <w:t>.</w:t>
      </w:r>
      <w:r w:rsidRPr="00C631C4">
        <w:rPr>
          <w:rFonts w:cstheme="minorHAnsi"/>
          <w:sz w:val="21"/>
          <w:szCs w:val="21"/>
        </w:rPr>
        <w:t xml:space="preserve"> However, given the related risk of advantaging three-party schemes, </w:t>
      </w:r>
      <w:r>
        <w:rPr>
          <w:rFonts w:cstheme="minorHAnsi"/>
          <w:sz w:val="21"/>
          <w:szCs w:val="21"/>
        </w:rPr>
        <w:t xml:space="preserve">we believe </w:t>
      </w:r>
      <w:r w:rsidR="003A7C09">
        <w:rPr>
          <w:rFonts w:cstheme="minorHAnsi"/>
          <w:sz w:val="21"/>
          <w:szCs w:val="21"/>
        </w:rPr>
        <w:t xml:space="preserve">if </w:t>
      </w:r>
      <w:r w:rsidRPr="00C631C4">
        <w:rPr>
          <w:rFonts w:cstheme="minorHAnsi"/>
          <w:sz w:val="21"/>
          <w:szCs w:val="21"/>
        </w:rPr>
        <w:t xml:space="preserve">interest free periods </w:t>
      </w:r>
      <w:r w:rsidR="003A7C09">
        <w:rPr>
          <w:rFonts w:cstheme="minorHAnsi"/>
          <w:sz w:val="21"/>
          <w:szCs w:val="21"/>
        </w:rPr>
        <w:t xml:space="preserve">are still going to be excluded, this should not occur before the PSRA is in force and </w:t>
      </w:r>
      <w:r w:rsidR="00F35D97">
        <w:rPr>
          <w:rFonts w:cstheme="minorHAnsi"/>
          <w:sz w:val="21"/>
          <w:szCs w:val="21"/>
        </w:rPr>
        <w:t>interventions are agreed</w:t>
      </w:r>
      <w:r w:rsidR="003A7C09">
        <w:rPr>
          <w:rFonts w:cstheme="minorHAnsi"/>
          <w:sz w:val="21"/>
          <w:szCs w:val="21"/>
        </w:rPr>
        <w:t xml:space="preserve"> to address the arbitrage.</w:t>
      </w:r>
    </w:p>
    <w:p w14:paraId="0F21758C" w14:textId="73ED7203" w:rsidR="00170B8A" w:rsidRDefault="00B2199B" w:rsidP="00B2199B">
      <w:pPr>
        <w:rPr>
          <w:rFonts w:cstheme="minorHAnsi"/>
          <w:sz w:val="21"/>
          <w:szCs w:val="21"/>
        </w:rPr>
      </w:pPr>
      <w:r>
        <w:rPr>
          <w:rFonts w:cstheme="minorHAnsi"/>
          <w:sz w:val="21"/>
          <w:szCs w:val="21"/>
        </w:rPr>
        <w:t xml:space="preserve">Further, we would make the broad observation that where costs are not included, those services over time will likely be withdrawn without a sustainable economic model. </w:t>
      </w:r>
    </w:p>
    <w:p w14:paraId="13A33403" w14:textId="77777777" w:rsidR="000B0626" w:rsidRDefault="000B0626" w:rsidP="00B2199B">
      <w:pPr>
        <w:rPr>
          <w:rFonts w:cstheme="minorHAnsi"/>
          <w:sz w:val="21"/>
          <w:szCs w:val="21"/>
        </w:rPr>
      </w:pPr>
    </w:p>
    <w:p w14:paraId="370EB72C" w14:textId="02F65506" w:rsidR="00B2199B" w:rsidRPr="00C631C4" w:rsidRDefault="00B2199B" w:rsidP="00B2199B">
      <w:pPr>
        <w:pStyle w:val="ListParagraph"/>
        <w:numPr>
          <w:ilvl w:val="0"/>
          <w:numId w:val="22"/>
        </w:numPr>
        <w:autoSpaceDE w:val="0"/>
        <w:autoSpaceDN w:val="0"/>
        <w:adjustRightInd w:val="0"/>
        <w:spacing w:line="240" w:lineRule="auto"/>
        <w:contextualSpacing w:val="0"/>
        <w:rPr>
          <w:rFonts w:cstheme="minorHAnsi"/>
          <w:b/>
          <w:bCs/>
          <w:sz w:val="21"/>
          <w:szCs w:val="21"/>
          <w:lang w:val="en-GB"/>
        </w:rPr>
      </w:pPr>
      <w:r w:rsidRPr="00C631C4">
        <w:rPr>
          <w:rFonts w:cstheme="minorHAnsi"/>
          <w:b/>
          <w:bCs/>
          <w:sz w:val="21"/>
          <w:szCs w:val="21"/>
        </w:rPr>
        <w:t>Disputes</w:t>
      </w:r>
      <w:r>
        <w:rPr>
          <w:rFonts w:cstheme="minorHAnsi"/>
          <w:b/>
          <w:bCs/>
          <w:sz w:val="21"/>
          <w:szCs w:val="21"/>
        </w:rPr>
        <w:t xml:space="preserve"> and net chargeback</w:t>
      </w:r>
      <w:r w:rsidR="006503D8">
        <w:rPr>
          <w:rFonts w:cstheme="minorHAnsi"/>
          <w:b/>
          <w:bCs/>
          <w:sz w:val="21"/>
          <w:szCs w:val="21"/>
        </w:rPr>
        <w:t xml:space="preserve"> write-offs</w:t>
      </w:r>
    </w:p>
    <w:p w14:paraId="4A95F36B" w14:textId="77777777" w:rsidR="00B2199B" w:rsidRPr="00C631C4" w:rsidRDefault="00B2199B" w:rsidP="00B2199B">
      <w:pPr>
        <w:rPr>
          <w:rFonts w:cstheme="minorHAnsi"/>
          <w:sz w:val="21"/>
          <w:szCs w:val="21"/>
        </w:rPr>
      </w:pPr>
      <w:r w:rsidRPr="00C631C4">
        <w:rPr>
          <w:rFonts w:cstheme="minorHAnsi"/>
          <w:sz w:val="21"/>
          <w:szCs w:val="21"/>
        </w:rPr>
        <w:t>Unlike interest free periods, there is no reference to, or explanation in</w:t>
      </w:r>
      <w:r>
        <w:rPr>
          <w:rFonts w:cstheme="minorHAnsi"/>
          <w:sz w:val="21"/>
          <w:szCs w:val="21"/>
        </w:rPr>
        <w:t xml:space="preserve"> either</w:t>
      </w:r>
      <w:r w:rsidRPr="00C631C4">
        <w:rPr>
          <w:rFonts w:cstheme="minorHAnsi"/>
          <w:sz w:val="21"/>
          <w:szCs w:val="21"/>
        </w:rPr>
        <w:t xml:space="preserve"> the Consultation Paper or Cost Study information on why this material cost category has been </w:t>
      </w:r>
      <w:r>
        <w:rPr>
          <w:rFonts w:cstheme="minorHAnsi"/>
          <w:sz w:val="21"/>
          <w:szCs w:val="21"/>
        </w:rPr>
        <w:t>changed</w:t>
      </w:r>
      <w:r w:rsidRPr="00C631C4">
        <w:rPr>
          <w:rFonts w:cstheme="minorHAnsi"/>
          <w:sz w:val="21"/>
          <w:szCs w:val="21"/>
        </w:rPr>
        <w:t xml:space="preserve"> </w:t>
      </w:r>
      <w:r>
        <w:rPr>
          <w:rFonts w:cstheme="minorHAnsi"/>
          <w:sz w:val="21"/>
          <w:szCs w:val="21"/>
        </w:rPr>
        <w:t>to</w:t>
      </w:r>
      <w:r w:rsidRPr="00C631C4">
        <w:rPr>
          <w:rFonts w:cstheme="minorHAnsi"/>
          <w:sz w:val="21"/>
          <w:szCs w:val="21"/>
        </w:rPr>
        <w:t xml:space="preserve"> ‘non-eligible’ in the 2025 study</w:t>
      </w:r>
      <w:r>
        <w:rPr>
          <w:rFonts w:cstheme="minorHAnsi"/>
          <w:sz w:val="21"/>
          <w:szCs w:val="21"/>
        </w:rPr>
        <w:t>. It was</w:t>
      </w:r>
      <w:r w:rsidRPr="00C631C4">
        <w:rPr>
          <w:rFonts w:cstheme="minorHAnsi"/>
          <w:sz w:val="21"/>
          <w:szCs w:val="21"/>
        </w:rPr>
        <w:t xml:space="preserve"> historically considered eligible.</w:t>
      </w:r>
    </w:p>
    <w:p w14:paraId="75A820F1" w14:textId="28A020A9" w:rsidR="00B2199B" w:rsidRDefault="00B2199B" w:rsidP="00B2199B">
      <w:pPr>
        <w:rPr>
          <w:rFonts w:cstheme="minorHAnsi"/>
          <w:sz w:val="21"/>
          <w:szCs w:val="21"/>
        </w:rPr>
      </w:pPr>
      <w:r w:rsidRPr="00C631C4">
        <w:rPr>
          <w:rFonts w:cstheme="minorHAnsi"/>
          <w:sz w:val="21"/>
          <w:szCs w:val="21"/>
        </w:rPr>
        <w:t xml:space="preserve">We agree that debt collection activities should be excluded, </w:t>
      </w:r>
      <w:r>
        <w:rPr>
          <w:rFonts w:cstheme="minorHAnsi"/>
          <w:sz w:val="21"/>
          <w:szCs w:val="21"/>
        </w:rPr>
        <w:t xml:space="preserve">as should credit write-offs. However, write-offs of chargebacks associated with disputed transactions should be eligible.  </w:t>
      </w:r>
    </w:p>
    <w:p w14:paraId="4E04ABEB" w14:textId="1D02781B" w:rsidR="00B2199B" w:rsidRPr="00003026" w:rsidRDefault="00B2199B" w:rsidP="00B2199B">
      <w:pPr>
        <w:rPr>
          <w:rFonts w:cstheme="minorHAnsi"/>
          <w:sz w:val="21"/>
          <w:szCs w:val="21"/>
        </w:rPr>
      </w:pPr>
      <w:r w:rsidRPr="00C631C4">
        <w:rPr>
          <w:rFonts w:cstheme="minorHAnsi"/>
          <w:sz w:val="21"/>
          <w:szCs w:val="21"/>
        </w:rPr>
        <w:t xml:space="preserve">When </w:t>
      </w:r>
      <w:r w:rsidR="00F13251">
        <w:rPr>
          <w:rFonts w:cstheme="minorHAnsi"/>
          <w:sz w:val="21"/>
          <w:szCs w:val="21"/>
        </w:rPr>
        <w:t>a</w:t>
      </w:r>
      <w:r w:rsidRPr="00C631C4">
        <w:rPr>
          <w:rFonts w:cstheme="minorHAnsi"/>
          <w:sz w:val="21"/>
          <w:szCs w:val="21"/>
        </w:rPr>
        <w:t xml:space="preserve"> customer pay</w:t>
      </w:r>
      <w:r w:rsidR="007D2E58">
        <w:rPr>
          <w:rFonts w:cstheme="minorHAnsi"/>
          <w:sz w:val="21"/>
          <w:szCs w:val="21"/>
        </w:rPr>
        <w:t>s</w:t>
      </w:r>
      <w:r w:rsidRPr="00C631C4">
        <w:rPr>
          <w:rFonts w:cstheme="minorHAnsi"/>
          <w:sz w:val="21"/>
          <w:szCs w:val="21"/>
        </w:rPr>
        <w:t xml:space="preserve"> with a card, they have several protections in the rules of the payment scheme. These protections benefit both the consumer and the merchant. A streamlined dispute process benefits the merchant </w:t>
      </w:r>
      <w:r w:rsidR="001F784E">
        <w:rPr>
          <w:rFonts w:cstheme="minorHAnsi"/>
          <w:sz w:val="21"/>
          <w:szCs w:val="21"/>
        </w:rPr>
        <w:t>through</w:t>
      </w:r>
      <w:r w:rsidRPr="00C631C4">
        <w:rPr>
          <w:rFonts w:cstheme="minorHAnsi"/>
          <w:sz w:val="21"/>
          <w:szCs w:val="21"/>
        </w:rPr>
        <w:t xml:space="preserve"> trust that underpins the sale, particularly in the higher risk eCommerce environment. </w:t>
      </w:r>
    </w:p>
    <w:p w14:paraId="244445A4" w14:textId="629D2954" w:rsidR="00B2199B" w:rsidRDefault="00B2199B" w:rsidP="00B2199B">
      <w:pPr>
        <w:rPr>
          <w:rFonts w:cstheme="minorHAnsi"/>
          <w:sz w:val="21"/>
          <w:szCs w:val="21"/>
        </w:rPr>
      </w:pPr>
      <w:r w:rsidRPr="00C631C4">
        <w:rPr>
          <w:rFonts w:cstheme="minorHAnsi"/>
          <w:sz w:val="21"/>
          <w:szCs w:val="21"/>
        </w:rPr>
        <w:t xml:space="preserve">Every year, the Commonwealth Bank mediates disputes between customers and merchants </w:t>
      </w:r>
      <w:r w:rsidR="001834D6">
        <w:rPr>
          <w:rFonts w:cstheme="minorHAnsi"/>
          <w:sz w:val="21"/>
          <w:szCs w:val="21"/>
        </w:rPr>
        <w:t>across</w:t>
      </w:r>
      <w:r w:rsidRPr="00C631C4">
        <w:rPr>
          <w:rFonts w:cstheme="minorHAnsi"/>
          <w:sz w:val="21"/>
          <w:szCs w:val="21"/>
        </w:rPr>
        <w:t xml:space="preserve"> million</w:t>
      </w:r>
      <w:r w:rsidR="001834D6">
        <w:rPr>
          <w:rFonts w:cstheme="minorHAnsi"/>
          <w:sz w:val="21"/>
          <w:szCs w:val="21"/>
        </w:rPr>
        <w:t>s of</w:t>
      </w:r>
      <w:r w:rsidRPr="00C631C4">
        <w:rPr>
          <w:rFonts w:cstheme="minorHAnsi"/>
          <w:sz w:val="21"/>
          <w:szCs w:val="21"/>
        </w:rPr>
        <w:t xml:space="preserve"> transactions. We collect information from the customer, send that to the merchant, collect the response and work out who is at fault. It is</w:t>
      </w:r>
      <w:r>
        <w:rPr>
          <w:rFonts w:cstheme="minorHAnsi"/>
          <w:sz w:val="21"/>
          <w:szCs w:val="21"/>
        </w:rPr>
        <w:t xml:space="preserve"> an</w:t>
      </w:r>
      <w:r w:rsidRPr="00C631C4">
        <w:rPr>
          <w:rFonts w:cstheme="minorHAnsi"/>
          <w:sz w:val="21"/>
          <w:szCs w:val="21"/>
        </w:rPr>
        <w:t xml:space="preserve"> especially costly exercise to mediate the dispute when the merchant and consumer disagree. </w:t>
      </w:r>
    </w:p>
    <w:p w14:paraId="229B7427" w14:textId="68EF540C" w:rsidR="00AA7128" w:rsidRDefault="00B2199B" w:rsidP="00B2199B">
      <w:pPr>
        <w:rPr>
          <w:sz w:val="21"/>
          <w:szCs w:val="21"/>
        </w:rPr>
      </w:pPr>
      <w:r w:rsidRPr="00C631C4">
        <w:rPr>
          <w:rFonts w:cstheme="minorHAnsi"/>
          <w:sz w:val="21"/>
          <w:szCs w:val="21"/>
        </w:rPr>
        <w:t xml:space="preserve">It costs </w:t>
      </w:r>
      <w:r>
        <w:rPr>
          <w:rFonts w:cstheme="minorHAnsi"/>
          <w:sz w:val="21"/>
          <w:szCs w:val="21"/>
        </w:rPr>
        <w:t>the Commonwealth Bank</w:t>
      </w:r>
      <w:r w:rsidRPr="00C631C4">
        <w:rPr>
          <w:rFonts w:cstheme="minorHAnsi"/>
          <w:sz w:val="21"/>
          <w:szCs w:val="21"/>
        </w:rPr>
        <w:t xml:space="preserve"> </w:t>
      </w:r>
      <w:r w:rsidR="001834D6">
        <w:rPr>
          <w:rFonts w:cstheme="minorHAnsi"/>
          <w:sz w:val="21"/>
          <w:szCs w:val="21"/>
        </w:rPr>
        <w:t>tens of millions</w:t>
      </w:r>
      <w:r w:rsidR="00031C29">
        <w:rPr>
          <w:rFonts w:cstheme="minorHAnsi"/>
          <w:sz w:val="21"/>
          <w:szCs w:val="21"/>
        </w:rPr>
        <w:t xml:space="preserve"> </w:t>
      </w:r>
      <w:r w:rsidRPr="00C631C4">
        <w:rPr>
          <w:rFonts w:cstheme="minorHAnsi"/>
          <w:sz w:val="21"/>
          <w:szCs w:val="21"/>
        </w:rPr>
        <w:t xml:space="preserve">per year to perform this activity. The volume has </w:t>
      </w:r>
      <w:r w:rsidRPr="00071766">
        <w:rPr>
          <w:rFonts w:cstheme="minorHAnsi"/>
          <w:sz w:val="21"/>
          <w:szCs w:val="21"/>
        </w:rPr>
        <w:t xml:space="preserve">risen </w:t>
      </w:r>
      <w:r w:rsidR="001834D6">
        <w:rPr>
          <w:rFonts w:cstheme="minorHAnsi"/>
          <w:sz w:val="21"/>
          <w:szCs w:val="21"/>
        </w:rPr>
        <w:t>by more than double</w:t>
      </w:r>
      <w:r w:rsidRPr="00071766">
        <w:rPr>
          <w:rFonts w:cstheme="minorHAnsi"/>
          <w:sz w:val="21"/>
          <w:szCs w:val="21"/>
        </w:rPr>
        <w:t xml:space="preserve"> in</w:t>
      </w:r>
      <w:r w:rsidRPr="00C631C4">
        <w:rPr>
          <w:rFonts w:cstheme="minorHAnsi"/>
          <w:sz w:val="21"/>
          <w:szCs w:val="21"/>
        </w:rPr>
        <w:t xml:space="preserve"> the </w:t>
      </w:r>
      <w:r w:rsidRPr="0017490A">
        <w:rPr>
          <w:rFonts w:cstheme="minorHAnsi"/>
          <w:sz w:val="21"/>
          <w:szCs w:val="21"/>
        </w:rPr>
        <w:t xml:space="preserve">past </w:t>
      </w:r>
      <w:r w:rsidR="0016716E" w:rsidRPr="00AD02C3">
        <w:rPr>
          <w:rFonts w:cstheme="minorHAnsi"/>
          <w:sz w:val="21"/>
          <w:szCs w:val="21"/>
        </w:rPr>
        <w:t>three</w:t>
      </w:r>
      <w:r w:rsidRPr="0017490A">
        <w:rPr>
          <w:rFonts w:cstheme="minorHAnsi"/>
          <w:sz w:val="21"/>
          <w:szCs w:val="21"/>
        </w:rPr>
        <w:t xml:space="preserve"> years</w:t>
      </w:r>
      <w:r w:rsidRPr="00C631C4">
        <w:rPr>
          <w:rFonts w:cstheme="minorHAnsi"/>
          <w:sz w:val="21"/>
          <w:szCs w:val="21"/>
        </w:rPr>
        <w:t xml:space="preserve"> given the prevalence of disputes from online payments and big </w:t>
      </w:r>
      <w:proofErr w:type="gramStart"/>
      <w:r w:rsidRPr="00C631C4">
        <w:rPr>
          <w:rFonts w:cstheme="minorHAnsi"/>
          <w:sz w:val="21"/>
          <w:szCs w:val="21"/>
        </w:rPr>
        <w:t>tech in particular</w:t>
      </w:r>
      <w:proofErr w:type="gramEnd"/>
      <w:r w:rsidRPr="00C631C4">
        <w:rPr>
          <w:rFonts w:cstheme="minorHAnsi"/>
          <w:sz w:val="21"/>
          <w:szCs w:val="21"/>
        </w:rPr>
        <w:t xml:space="preserve">. </w:t>
      </w:r>
      <w:r w:rsidRPr="72D566B1">
        <w:rPr>
          <w:sz w:val="21"/>
          <w:szCs w:val="21"/>
        </w:rPr>
        <w:t>These costs were previously considered essential but have been excluded from the analysis presented to the PSB.</w:t>
      </w:r>
      <w:r w:rsidRPr="00D22179">
        <w:rPr>
          <w:sz w:val="21"/>
          <w:szCs w:val="21"/>
        </w:rPr>
        <w:t xml:space="preserve"> </w:t>
      </w:r>
      <w:r>
        <w:rPr>
          <w:sz w:val="21"/>
          <w:szCs w:val="21"/>
        </w:rPr>
        <w:t xml:space="preserve">The Commonwealth Bank believes </w:t>
      </w:r>
      <w:r w:rsidRPr="72D566B1">
        <w:rPr>
          <w:sz w:val="21"/>
          <w:szCs w:val="21"/>
        </w:rPr>
        <w:t>that the Consultation Paper should have explained the rationale for this significant change relative to its previous practice.</w:t>
      </w:r>
      <w:r w:rsidR="00676C8A">
        <w:rPr>
          <w:sz w:val="21"/>
          <w:szCs w:val="21"/>
        </w:rPr>
        <w:t xml:space="preserve"> </w:t>
      </w:r>
    </w:p>
    <w:p w14:paraId="5FEA9200" w14:textId="132F5BD2" w:rsidR="00B2199B" w:rsidRDefault="00B2199B" w:rsidP="00B2199B">
      <w:pPr>
        <w:rPr>
          <w:rFonts w:cstheme="minorHAnsi"/>
          <w:sz w:val="21"/>
          <w:szCs w:val="21"/>
        </w:rPr>
      </w:pPr>
      <w:r w:rsidRPr="00D22179">
        <w:rPr>
          <w:sz w:val="21"/>
          <w:szCs w:val="21"/>
        </w:rPr>
        <w:t xml:space="preserve">Further, in the event that a customers’ </w:t>
      </w:r>
      <w:r w:rsidR="00323558">
        <w:rPr>
          <w:sz w:val="21"/>
          <w:szCs w:val="21"/>
        </w:rPr>
        <w:t xml:space="preserve">physical </w:t>
      </w:r>
      <w:r w:rsidRPr="00D22179">
        <w:rPr>
          <w:sz w:val="21"/>
          <w:szCs w:val="21"/>
        </w:rPr>
        <w:t xml:space="preserve">card is stolen and used, the consumer is </w:t>
      </w:r>
      <w:proofErr w:type="gramStart"/>
      <w:r w:rsidRPr="00D22179">
        <w:rPr>
          <w:sz w:val="21"/>
          <w:szCs w:val="21"/>
        </w:rPr>
        <w:t>reimbursed</w:t>
      </w:r>
      <w:proofErr w:type="gramEnd"/>
      <w:r w:rsidRPr="00D22179">
        <w:rPr>
          <w:sz w:val="21"/>
          <w:szCs w:val="21"/>
        </w:rPr>
        <w:t xml:space="preserve"> and this cost is often borne by the Bank</w:t>
      </w:r>
      <w:r w:rsidR="00B53236">
        <w:rPr>
          <w:sz w:val="21"/>
          <w:szCs w:val="21"/>
        </w:rPr>
        <w:t>.</w:t>
      </w:r>
      <w:r w:rsidRPr="00D22179">
        <w:rPr>
          <w:sz w:val="21"/>
          <w:szCs w:val="21"/>
        </w:rPr>
        <w:t xml:space="preserve"> It costs the Commonwealth Bank </w:t>
      </w:r>
      <w:r w:rsidR="001834D6">
        <w:rPr>
          <w:sz w:val="21"/>
          <w:szCs w:val="21"/>
        </w:rPr>
        <w:t xml:space="preserve">tens of </w:t>
      </w:r>
      <w:r w:rsidRPr="00D22179">
        <w:rPr>
          <w:sz w:val="21"/>
          <w:szCs w:val="21"/>
        </w:rPr>
        <w:t>million</w:t>
      </w:r>
      <w:r w:rsidR="001834D6">
        <w:rPr>
          <w:sz w:val="21"/>
          <w:szCs w:val="21"/>
        </w:rPr>
        <w:t>s</w:t>
      </w:r>
      <w:r w:rsidRPr="00D22179">
        <w:rPr>
          <w:sz w:val="21"/>
          <w:szCs w:val="21"/>
        </w:rPr>
        <w:t xml:space="preserve"> per year to provide this protection to customers.</w:t>
      </w:r>
      <w:r w:rsidRPr="72D566B1">
        <w:rPr>
          <w:sz w:val="21"/>
          <w:szCs w:val="21"/>
        </w:rPr>
        <w:t xml:space="preserve"> </w:t>
      </w:r>
      <w:r>
        <w:rPr>
          <w:sz w:val="21"/>
          <w:szCs w:val="21"/>
        </w:rPr>
        <w:t xml:space="preserve">These costs have always </w:t>
      </w:r>
      <w:r w:rsidR="00560F7D">
        <w:rPr>
          <w:sz w:val="21"/>
          <w:szCs w:val="21"/>
        </w:rPr>
        <w:t xml:space="preserve">been </w:t>
      </w:r>
      <w:r>
        <w:rPr>
          <w:sz w:val="21"/>
          <w:szCs w:val="21"/>
        </w:rPr>
        <w:t xml:space="preserve">and still are considered eligible. </w:t>
      </w:r>
    </w:p>
    <w:p w14:paraId="59352671" w14:textId="77777777" w:rsidR="002D5D7A" w:rsidRPr="00003026" w:rsidRDefault="002D5D7A" w:rsidP="00B2199B">
      <w:pPr>
        <w:rPr>
          <w:rFonts w:cstheme="minorHAnsi"/>
          <w:sz w:val="21"/>
          <w:szCs w:val="21"/>
        </w:rPr>
      </w:pPr>
    </w:p>
    <w:p w14:paraId="60D6FE3D" w14:textId="77777777" w:rsidR="00B2199B" w:rsidRPr="001F42A7" w:rsidRDefault="00B2199B" w:rsidP="00B2199B">
      <w:pPr>
        <w:pStyle w:val="ListParagraph"/>
        <w:numPr>
          <w:ilvl w:val="0"/>
          <w:numId w:val="22"/>
        </w:numPr>
        <w:contextualSpacing w:val="0"/>
        <w:rPr>
          <w:rFonts w:cstheme="minorHAnsi"/>
          <w:sz w:val="21"/>
          <w:szCs w:val="21"/>
          <w:lang w:val="en-GB"/>
        </w:rPr>
      </w:pPr>
      <w:r w:rsidRPr="00C631C4">
        <w:rPr>
          <w:rFonts w:cstheme="minorHAnsi"/>
          <w:b/>
          <w:bCs/>
          <w:sz w:val="21"/>
          <w:szCs w:val="21"/>
          <w:lang w:val="en-GB"/>
        </w:rPr>
        <w:t xml:space="preserve">Product development </w:t>
      </w:r>
    </w:p>
    <w:p w14:paraId="32E449B2" w14:textId="720BEEC0" w:rsidR="00B2199B" w:rsidRDefault="00B2199B" w:rsidP="00B2199B">
      <w:pPr>
        <w:rPr>
          <w:rFonts w:cstheme="minorHAnsi"/>
          <w:sz w:val="21"/>
          <w:szCs w:val="21"/>
        </w:rPr>
      </w:pPr>
      <w:r w:rsidRPr="00C631C4">
        <w:rPr>
          <w:rFonts w:cstheme="minorHAnsi"/>
          <w:sz w:val="21"/>
          <w:szCs w:val="21"/>
        </w:rPr>
        <w:lastRenderedPageBreak/>
        <w:t xml:space="preserve">The 2025 Cost Study has </w:t>
      </w:r>
      <w:r w:rsidR="005E6680">
        <w:rPr>
          <w:rFonts w:cstheme="minorHAnsi"/>
          <w:sz w:val="21"/>
          <w:szCs w:val="21"/>
        </w:rPr>
        <w:t xml:space="preserve">a new </w:t>
      </w:r>
      <w:r w:rsidRPr="00C631C4">
        <w:rPr>
          <w:rFonts w:cstheme="minorHAnsi"/>
          <w:sz w:val="21"/>
          <w:szCs w:val="21"/>
        </w:rPr>
        <w:t xml:space="preserve">‘Product development’ </w:t>
      </w:r>
      <w:r w:rsidR="003A2AF0">
        <w:rPr>
          <w:rFonts w:cstheme="minorHAnsi"/>
          <w:sz w:val="21"/>
          <w:szCs w:val="21"/>
        </w:rPr>
        <w:t>category that is a</w:t>
      </w:r>
      <w:r w:rsidRPr="00C631C4">
        <w:rPr>
          <w:rFonts w:cstheme="minorHAnsi"/>
          <w:sz w:val="21"/>
          <w:szCs w:val="21"/>
        </w:rPr>
        <w:t xml:space="preserve"> ‘non-eligible cost’</w:t>
      </w:r>
      <w:r>
        <w:rPr>
          <w:rFonts w:cstheme="minorHAnsi"/>
          <w:sz w:val="21"/>
          <w:szCs w:val="21"/>
        </w:rPr>
        <w:t xml:space="preserve">. </w:t>
      </w:r>
    </w:p>
    <w:p w14:paraId="7AEBFBD7" w14:textId="24779C6F" w:rsidR="00B2199B" w:rsidRPr="00C631C4" w:rsidRDefault="00B2199B" w:rsidP="00B2199B">
      <w:pPr>
        <w:rPr>
          <w:rFonts w:cstheme="minorHAnsi"/>
          <w:sz w:val="21"/>
          <w:szCs w:val="21"/>
        </w:rPr>
      </w:pPr>
      <w:r w:rsidRPr="72D566B1">
        <w:rPr>
          <w:sz w:val="21"/>
          <w:szCs w:val="21"/>
        </w:rPr>
        <w:t xml:space="preserve">The definition of ‘product development’ in the template guidance gives EMV, tokenisation and 3DS as examples. The template then lists under ‘Fraud’, which is an eligible cost, </w:t>
      </w:r>
      <w:r w:rsidR="004B0EE5">
        <w:rPr>
          <w:sz w:val="21"/>
          <w:szCs w:val="21"/>
        </w:rPr>
        <w:t>“</w:t>
      </w:r>
      <w:r w:rsidRPr="72D566B1">
        <w:rPr>
          <w:i/>
          <w:sz w:val="21"/>
          <w:szCs w:val="21"/>
        </w:rPr>
        <w:t>Card design and security features to reduce fraud (e.g. hologram, chip, tokenisation), and developing and maintaining systems and procedures for fraud prevention and detection.</w:t>
      </w:r>
      <w:r w:rsidR="00F70605" w:rsidRPr="00F70605">
        <w:rPr>
          <w:rStyle w:val="FootnoteReference"/>
          <w:sz w:val="21"/>
          <w:szCs w:val="21"/>
        </w:rPr>
        <w:t xml:space="preserve"> </w:t>
      </w:r>
      <w:r w:rsidR="00F70605" w:rsidRPr="72D566B1">
        <w:rPr>
          <w:rStyle w:val="FootnoteReference"/>
          <w:sz w:val="21"/>
          <w:szCs w:val="21"/>
        </w:rPr>
        <w:footnoteReference w:id="11"/>
      </w:r>
      <w:r w:rsidRPr="72D566B1">
        <w:rPr>
          <w:sz w:val="21"/>
          <w:szCs w:val="21"/>
        </w:rPr>
        <w:t xml:space="preserve"> </w:t>
      </w:r>
      <w:r w:rsidR="002560E8">
        <w:rPr>
          <w:sz w:val="21"/>
          <w:szCs w:val="21"/>
        </w:rPr>
        <w:t>This ambiguity may have led to</w:t>
      </w:r>
      <w:r w:rsidR="00773778">
        <w:rPr>
          <w:sz w:val="21"/>
          <w:szCs w:val="21"/>
        </w:rPr>
        <w:t xml:space="preserve"> </w:t>
      </w:r>
      <w:r w:rsidR="008B3DD0">
        <w:rPr>
          <w:sz w:val="21"/>
          <w:szCs w:val="21"/>
        </w:rPr>
        <w:t>the exclusion of</w:t>
      </w:r>
      <w:r w:rsidR="002560E8">
        <w:rPr>
          <w:sz w:val="21"/>
          <w:szCs w:val="21"/>
        </w:rPr>
        <w:t xml:space="preserve"> eligible costs</w:t>
      </w:r>
      <w:r w:rsidR="00251B0E">
        <w:rPr>
          <w:sz w:val="21"/>
          <w:szCs w:val="21"/>
        </w:rPr>
        <w:t xml:space="preserve"> </w:t>
      </w:r>
      <w:r w:rsidR="001A5D5D">
        <w:rPr>
          <w:sz w:val="21"/>
          <w:szCs w:val="21"/>
        </w:rPr>
        <w:t xml:space="preserve">by some institutions where </w:t>
      </w:r>
      <w:r w:rsidR="007B1ABB" w:rsidRPr="0088172D">
        <w:rPr>
          <w:sz w:val="21"/>
          <w:szCs w:val="21"/>
        </w:rPr>
        <w:t>costs</w:t>
      </w:r>
      <w:r w:rsidR="00E96220" w:rsidRPr="0088172D">
        <w:rPr>
          <w:sz w:val="21"/>
          <w:szCs w:val="21"/>
        </w:rPr>
        <w:t xml:space="preserve"> were submitted</w:t>
      </w:r>
      <w:r w:rsidR="000E331C" w:rsidRPr="0088172D">
        <w:rPr>
          <w:sz w:val="21"/>
          <w:szCs w:val="21"/>
        </w:rPr>
        <w:t xml:space="preserve"> inadvertently</w:t>
      </w:r>
      <w:r w:rsidR="00E96220" w:rsidRPr="0088172D">
        <w:rPr>
          <w:sz w:val="21"/>
          <w:szCs w:val="21"/>
        </w:rPr>
        <w:t xml:space="preserve"> under </w:t>
      </w:r>
      <w:r w:rsidR="000E331C" w:rsidRPr="0088172D">
        <w:rPr>
          <w:sz w:val="21"/>
          <w:szCs w:val="21"/>
        </w:rPr>
        <w:t xml:space="preserve">an ineligible </w:t>
      </w:r>
      <w:r w:rsidR="006D1103" w:rsidRPr="0088172D">
        <w:rPr>
          <w:sz w:val="21"/>
          <w:szCs w:val="21"/>
        </w:rPr>
        <w:t>category.</w:t>
      </w:r>
    </w:p>
    <w:p w14:paraId="4A296090" w14:textId="77777777" w:rsidR="00B2199B" w:rsidRPr="00C631C4" w:rsidRDefault="00B2199B" w:rsidP="00B2199B">
      <w:pPr>
        <w:rPr>
          <w:rFonts w:cstheme="minorHAnsi"/>
          <w:sz w:val="21"/>
          <w:szCs w:val="21"/>
          <w:lang w:val="en-GB"/>
        </w:rPr>
      </w:pPr>
      <w:r>
        <w:rPr>
          <w:rFonts w:cstheme="minorHAnsi"/>
          <w:sz w:val="21"/>
          <w:szCs w:val="21"/>
        </w:rPr>
        <w:t>In contrast the</w:t>
      </w:r>
      <w:r w:rsidRPr="00C631C4">
        <w:rPr>
          <w:rFonts w:cstheme="minorHAnsi"/>
          <w:sz w:val="21"/>
          <w:szCs w:val="21"/>
        </w:rPr>
        <w:t xml:space="preserve"> 2005 Guidance clearly explains measurement of eligible costs include direct software, hardware and other capital expenditures under each eligible cost category.</w:t>
      </w:r>
    </w:p>
    <w:p w14:paraId="306A5F16" w14:textId="77777777" w:rsidR="00B2199B" w:rsidRPr="00C631C4" w:rsidRDefault="00B2199B" w:rsidP="00B2199B">
      <w:pPr>
        <w:rPr>
          <w:rFonts w:cstheme="minorHAnsi"/>
          <w:sz w:val="21"/>
          <w:szCs w:val="21"/>
        </w:rPr>
      </w:pPr>
      <w:r w:rsidRPr="72D566B1">
        <w:rPr>
          <w:sz w:val="21"/>
          <w:szCs w:val="21"/>
          <w:lang w:val="en-GB"/>
        </w:rPr>
        <w:t xml:space="preserve">As the RBA has observed, </w:t>
      </w:r>
      <w:r w:rsidRPr="72D566B1">
        <w:rPr>
          <w:sz w:val="21"/>
          <w:szCs w:val="21"/>
        </w:rPr>
        <w:t>reliance on electronic payment methods means that any disruption to the provision of these services (i.e. an outage) can have serious impacts on customers, businesses and the broader economy. Retail payments offerings have an average availability of 99.80 per cent or higher per quarter and card payments have the highest service availability.</w:t>
      </w:r>
      <w:r w:rsidRPr="72D566B1">
        <w:rPr>
          <w:rStyle w:val="FootnoteReference"/>
          <w:sz w:val="21"/>
          <w:szCs w:val="21"/>
        </w:rPr>
        <w:footnoteReference w:id="12"/>
      </w:r>
    </w:p>
    <w:p w14:paraId="7BCEA29C" w14:textId="141DE5F3" w:rsidR="00B2199B" w:rsidRPr="00F179C6" w:rsidRDefault="00B2199B" w:rsidP="00B2199B">
      <w:pPr>
        <w:rPr>
          <w:iCs/>
          <w:sz w:val="21"/>
          <w:szCs w:val="21"/>
        </w:rPr>
      </w:pPr>
      <w:r w:rsidRPr="6852200A">
        <w:rPr>
          <w:sz w:val="21"/>
          <w:szCs w:val="21"/>
        </w:rPr>
        <w:t xml:space="preserve">The investments required to reduce risk and maintain resilience are significant and should be eligible. </w:t>
      </w:r>
      <w:r>
        <w:rPr>
          <w:sz w:val="21"/>
          <w:szCs w:val="21"/>
        </w:rPr>
        <w:t>The Commonwealth Bank</w:t>
      </w:r>
      <w:r w:rsidRPr="6852200A">
        <w:rPr>
          <w:sz w:val="21"/>
          <w:szCs w:val="21"/>
        </w:rPr>
        <w:t xml:space="preserve"> considers this is consistent with </w:t>
      </w:r>
      <w:r w:rsidR="009B3FD9">
        <w:rPr>
          <w:sz w:val="21"/>
          <w:szCs w:val="21"/>
        </w:rPr>
        <w:t>“</w:t>
      </w:r>
      <w:r w:rsidRPr="6852200A">
        <w:rPr>
          <w:i/>
          <w:sz w:val="21"/>
          <w:szCs w:val="21"/>
        </w:rPr>
        <w:t>broader policy considerations beyond cost recovery, in line with the PSB’s legislated mandate and longstanding practice of setting interchange regulations</w:t>
      </w:r>
      <w:r w:rsidR="009B3FD9">
        <w:rPr>
          <w:i/>
          <w:sz w:val="21"/>
          <w:szCs w:val="21"/>
        </w:rPr>
        <w:t>”</w:t>
      </w:r>
      <w:r w:rsidRPr="6852200A">
        <w:rPr>
          <w:i/>
          <w:sz w:val="21"/>
          <w:szCs w:val="21"/>
        </w:rPr>
        <w:t>.</w:t>
      </w:r>
      <w:r w:rsidRPr="6852200A">
        <w:rPr>
          <w:rStyle w:val="FootnoteReference"/>
          <w:i/>
          <w:sz w:val="21"/>
          <w:szCs w:val="21"/>
        </w:rPr>
        <w:footnoteReference w:id="13"/>
      </w:r>
      <w:r w:rsidR="00F179C6">
        <w:rPr>
          <w:iCs/>
          <w:sz w:val="21"/>
          <w:szCs w:val="21"/>
        </w:rPr>
        <w:t xml:space="preserve"> </w:t>
      </w:r>
      <w:r w:rsidR="003A7C09">
        <w:rPr>
          <w:iCs/>
          <w:sz w:val="21"/>
          <w:szCs w:val="21"/>
        </w:rPr>
        <w:t xml:space="preserve">Given the geopolitical context, resilience is of particular importance and will require further investment. </w:t>
      </w:r>
    </w:p>
    <w:p w14:paraId="41412FC9" w14:textId="22107BEA" w:rsidR="00B2199B" w:rsidRPr="0062610A" w:rsidRDefault="00B2199B" w:rsidP="00B2199B">
      <w:pPr>
        <w:rPr>
          <w:rFonts w:cstheme="minorHAnsi"/>
          <w:sz w:val="21"/>
          <w:szCs w:val="21"/>
          <w:lang w:val="en-GB"/>
        </w:rPr>
      </w:pPr>
      <w:r w:rsidRPr="00C631C4">
        <w:rPr>
          <w:rFonts w:cstheme="minorHAnsi"/>
          <w:sz w:val="21"/>
          <w:szCs w:val="21"/>
          <w:lang w:val="en-GB"/>
        </w:rPr>
        <w:t xml:space="preserve">Reliability benefits merchants directly, who want to ensure they can serve their customers when they want to be served. Some of our most significant complaints </w:t>
      </w:r>
      <w:r w:rsidR="000F0A67">
        <w:rPr>
          <w:rFonts w:cstheme="minorHAnsi"/>
          <w:sz w:val="21"/>
          <w:szCs w:val="21"/>
          <w:lang w:val="en-GB"/>
        </w:rPr>
        <w:t>from businesses</w:t>
      </w:r>
      <w:r w:rsidRPr="00C631C4">
        <w:rPr>
          <w:rFonts w:cstheme="minorHAnsi"/>
          <w:sz w:val="21"/>
          <w:szCs w:val="21"/>
          <w:lang w:val="en-GB"/>
        </w:rPr>
        <w:t xml:space="preserve"> result from issues in accepting </w:t>
      </w:r>
      <w:r w:rsidRPr="0062610A">
        <w:rPr>
          <w:rFonts w:cstheme="minorHAnsi"/>
          <w:sz w:val="21"/>
          <w:szCs w:val="21"/>
          <w:lang w:val="en-GB"/>
        </w:rPr>
        <w:t xml:space="preserve">card payments or elevated decline rates. </w:t>
      </w:r>
    </w:p>
    <w:p w14:paraId="2D16A1C2" w14:textId="77777777" w:rsidR="00B308DF" w:rsidRDefault="00B308DF" w:rsidP="00B2199B">
      <w:pPr>
        <w:rPr>
          <w:sz w:val="21"/>
          <w:szCs w:val="21"/>
        </w:rPr>
      </w:pPr>
    </w:p>
    <w:p w14:paraId="46F0CECD" w14:textId="77777777" w:rsidR="00B2199B" w:rsidRPr="00C631C4" w:rsidRDefault="00B2199B" w:rsidP="00B2199B">
      <w:pPr>
        <w:rPr>
          <w:rFonts w:cstheme="minorHAnsi"/>
          <w:b/>
          <w:bCs/>
          <w:iCs/>
          <w:sz w:val="21"/>
          <w:szCs w:val="21"/>
          <w:lang w:val="en-GB"/>
        </w:rPr>
      </w:pPr>
      <w:r w:rsidRPr="00C631C4">
        <w:rPr>
          <w:rFonts w:cstheme="minorHAnsi"/>
          <w:b/>
          <w:bCs/>
          <w:iCs/>
          <w:sz w:val="21"/>
          <w:szCs w:val="21"/>
          <w:lang w:val="en-GB"/>
        </w:rPr>
        <w:t>Suggestions to ensure accurate assessment of costs on an ongoing basis</w:t>
      </w:r>
    </w:p>
    <w:p w14:paraId="1F3A6E02" w14:textId="24AD90F0" w:rsidR="00B2199B" w:rsidRPr="00C631C4" w:rsidRDefault="00B2199B" w:rsidP="00B2199B">
      <w:pPr>
        <w:autoSpaceDE w:val="0"/>
        <w:autoSpaceDN w:val="0"/>
        <w:adjustRightInd w:val="0"/>
        <w:spacing w:line="240" w:lineRule="auto"/>
      </w:pPr>
      <w:r>
        <w:rPr>
          <w:rFonts w:cstheme="minorHAnsi"/>
          <w:sz w:val="21"/>
          <w:szCs w:val="21"/>
          <w:lang w:val="en-GB"/>
        </w:rPr>
        <w:t>The Commonwealth Bank</w:t>
      </w:r>
      <w:r>
        <w:t xml:space="preserve"> </w:t>
      </w:r>
      <w:r w:rsidR="007D4745">
        <w:rPr>
          <w:rFonts w:cstheme="minorHAnsi"/>
          <w:sz w:val="21"/>
          <w:szCs w:val="21"/>
          <w:lang w:val="en-GB"/>
        </w:rPr>
        <w:t>believes</w:t>
      </w:r>
      <w:r w:rsidRPr="00C631C4">
        <w:rPr>
          <w:rFonts w:cstheme="minorHAnsi"/>
          <w:sz w:val="21"/>
          <w:szCs w:val="21"/>
          <w:lang w:val="en-GB"/>
        </w:rPr>
        <w:t xml:space="preserve"> that there may be opportunities to refine the way costs are estimated to future-proof the standards. We appreciate that the historical data for each cost </w:t>
      </w:r>
      <w:r w:rsidR="00DF58F5">
        <w:rPr>
          <w:rFonts w:cstheme="minorHAnsi"/>
          <w:sz w:val="21"/>
          <w:szCs w:val="21"/>
          <w:lang w:val="en-GB"/>
        </w:rPr>
        <w:t>is</w:t>
      </w:r>
      <w:r w:rsidRPr="00C631C4">
        <w:rPr>
          <w:rFonts w:cstheme="minorHAnsi"/>
          <w:sz w:val="21"/>
          <w:szCs w:val="21"/>
          <w:lang w:val="en-GB"/>
        </w:rPr>
        <w:t xml:space="preserve"> </w:t>
      </w:r>
      <w:r w:rsidR="0009712C">
        <w:rPr>
          <w:rFonts w:cstheme="minorHAnsi"/>
          <w:sz w:val="21"/>
          <w:szCs w:val="21"/>
          <w:lang w:val="en-GB"/>
        </w:rPr>
        <w:t>factual</w:t>
      </w:r>
      <w:r>
        <w:rPr>
          <w:rFonts w:cstheme="minorHAnsi"/>
          <w:sz w:val="21"/>
          <w:szCs w:val="21"/>
          <w:lang w:val="en-GB"/>
        </w:rPr>
        <w:t xml:space="preserve">.  However, in some cases historical </w:t>
      </w:r>
      <w:r w:rsidRPr="00C631C4">
        <w:rPr>
          <w:rFonts w:cstheme="minorHAnsi"/>
          <w:sz w:val="21"/>
          <w:szCs w:val="21"/>
          <w:lang w:val="en-GB"/>
        </w:rPr>
        <w:t xml:space="preserve">data is not an accurate guide for the future. </w:t>
      </w:r>
      <w:r>
        <w:rPr>
          <w:rFonts w:cstheme="minorHAnsi"/>
          <w:sz w:val="21"/>
          <w:szCs w:val="21"/>
          <w:lang w:val="en-GB"/>
        </w:rPr>
        <w:t>The Commonwealth Bank</w:t>
      </w:r>
      <w:r>
        <w:t xml:space="preserve"> </w:t>
      </w:r>
      <w:r>
        <w:rPr>
          <w:rFonts w:cstheme="minorHAnsi"/>
          <w:sz w:val="21"/>
          <w:szCs w:val="21"/>
          <w:lang w:val="en-GB"/>
        </w:rPr>
        <w:t xml:space="preserve">believes </w:t>
      </w:r>
      <w:r w:rsidRPr="00C631C4">
        <w:rPr>
          <w:rFonts w:cstheme="minorHAnsi"/>
          <w:sz w:val="21"/>
          <w:szCs w:val="21"/>
          <w:lang w:val="en-GB"/>
        </w:rPr>
        <w:t>that the RBA should attempt to build in reasonably foreseeable changes to relevant eligible costs</w:t>
      </w:r>
      <w:r w:rsidR="00710C94">
        <w:rPr>
          <w:rFonts w:cstheme="minorHAnsi"/>
          <w:sz w:val="21"/>
          <w:szCs w:val="21"/>
          <w:lang w:val="en-GB"/>
        </w:rPr>
        <w:t xml:space="preserve"> as part of </w:t>
      </w:r>
      <w:r w:rsidR="00710C94" w:rsidRPr="0088172D">
        <w:rPr>
          <w:rFonts w:cstheme="minorHAnsi"/>
          <w:sz w:val="21"/>
          <w:szCs w:val="21"/>
          <w:lang w:val="en-GB"/>
        </w:rPr>
        <w:t>their continued work on the Issuer Cost Study</w:t>
      </w:r>
      <w:r w:rsidRPr="0088172D">
        <w:rPr>
          <w:rFonts w:cstheme="minorHAnsi"/>
          <w:sz w:val="21"/>
          <w:szCs w:val="21"/>
          <w:lang w:val="en-GB"/>
        </w:rPr>
        <w:t>.</w:t>
      </w:r>
    </w:p>
    <w:p w14:paraId="1F9B0CE8" w14:textId="514696D1" w:rsidR="00B2199B" w:rsidRPr="00C631C4" w:rsidRDefault="00B2199B" w:rsidP="00B2199B">
      <w:pPr>
        <w:autoSpaceDE w:val="0"/>
        <w:autoSpaceDN w:val="0"/>
        <w:adjustRightInd w:val="0"/>
        <w:spacing w:line="240" w:lineRule="auto"/>
        <w:rPr>
          <w:rFonts w:cstheme="minorHAnsi"/>
          <w:sz w:val="21"/>
          <w:szCs w:val="21"/>
        </w:rPr>
      </w:pPr>
      <w:r w:rsidRPr="00C631C4">
        <w:rPr>
          <w:rFonts w:cstheme="minorHAnsi"/>
          <w:sz w:val="21"/>
          <w:szCs w:val="21"/>
        </w:rPr>
        <w:t xml:space="preserve">CBA has identified </w:t>
      </w:r>
      <w:proofErr w:type="gramStart"/>
      <w:r w:rsidR="00442202">
        <w:rPr>
          <w:rFonts w:cstheme="minorHAnsi"/>
          <w:sz w:val="21"/>
          <w:szCs w:val="21"/>
        </w:rPr>
        <w:t>a number of</w:t>
      </w:r>
      <w:proofErr w:type="gramEnd"/>
      <w:r w:rsidR="00442202">
        <w:rPr>
          <w:rFonts w:cstheme="minorHAnsi"/>
          <w:sz w:val="21"/>
          <w:szCs w:val="21"/>
        </w:rPr>
        <w:t xml:space="preserve"> areas that will drive increased costs</w:t>
      </w:r>
      <w:r w:rsidRPr="00C631C4">
        <w:rPr>
          <w:rFonts w:cstheme="minorHAnsi"/>
          <w:sz w:val="21"/>
          <w:szCs w:val="21"/>
        </w:rPr>
        <w:t xml:space="preserve"> over the next few years</w:t>
      </w:r>
      <w:r w:rsidR="00C32493">
        <w:rPr>
          <w:rFonts w:cstheme="minorHAnsi"/>
          <w:sz w:val="21"/>
          <w:szCs w:val="21"/>
        </w:rPr>
        <w:t>.</w:t>
      </w:r>
      <w:r w:rsidRPr="00C631C4">
        <w:rPr>
          <w:rFonts w:cstheme="minorHAnsi"/>
          <w:sz w:val="21"/>
          <w:szCs w:val="21"/>
        </w:rPr>
        <w:t xml:space="preserve"> These include:</w:t>
      </w:r>
    </w:p>
    <w:p w14:paraId="1A4AF361" w14:textId="3FD80CA5" w:rsidR="00B2199B" w:rsidRPr="00C631C4" w:rsidRDefault="00B2199B" w:rsidP="00B2199B">
      <w:pPr>
        <w:pStyle w:val="ListParagraph"/>
        <w:numPr>
          <w:ilvl w:val="0"/>
          <w:numId w:val="23"/>
        </w:numPr>
        <w:autoSpaceDE w:val="0"/>
        <w:autoSpaceDN w:val="0"/>
        <w:adjustRightInd w:val="0"/>
        <w:spacing w:line="240" w:lineRule="auto"/>
        <w:contextualSpacing w:val="0"/>
        <w:rPr>
          <w:rFonts w:cstheme="minorHAnsi"/>
          <w:sz w:val="21"/>
          <w:szCs w:val="21"/>
        </w:rPr>
      </w:pPr>
      <w:r w:rsidRPr="00C631C4">
        <w:rPr>
          <w:rFonts w:cstheme="minorHAnsi"/>
          <w:sz w:val="21"/>
          <w:szCs w:val="21"/>
        </w:rPr>
        <w:t xml:space="preserve">increased share of </w:t>
      </w:r>
      <w:r w:rsidR="004C1D05">
        <w:rPr>
          <w:rFonts w:cstheme="minorHAnsi"/>
          <w:sz w:val="21"/>
          <w:szCs w:val="21"/>
        </w:rPr>
        <w:t>tokenised</w:t>
      </w:r>
      <w:r w:rsidRPr="00C631C4">
        <w:rPr>
          <w:rFonts w:cstheme="minorHAnsi"/>
          <w:sz w:val="21"/>
          <w:szCs w:val="21"/>
        </w:rPr>
        <w:t xml:space="preserve"> payments</w:t>
      </w:r>
    </w:p>
    <w:p w14:paraId="48679493" w14:textId="2D37664F" w:rsidR="00B2199B" w:rsidRPr="00C631C4" w:rsidRDefault="00B2199B" w:rsidP="00B2199B">
      <w:pPr>
        <w:pStyle w:val="ListParagraph"/>
        <w:numPr>
          <w:ilvl w:val="0"/>
          <w:numId w:val="23"/>
        </w:numPr>
        <w:autoSpaceDE w:val="0"/>
        <w:autoSpaceDN w:val="0"/>
        <w:adjustRightInd w:val="0"/>
        <w:spacing w:line="240" w:lineRule="auto"/>
        <w:contextualSpacing w:val="0"/>
        <w:rPr>
          <w:rFonts w:cstheme="minorHAnsi"/>
          <w:sz w:val="21"/>
          <w:szCs w:val="21"/>
        </w:rPr>
      </w:pPr>
      <w:r w:rsidRPr="00C631C4">
        <w:rPr>
          <w:rFonts w:cstheme="minorHAnsi"/>
          <w:sz w:val="21"/>
          <w:szCs w:val="21"/>
        </w:rPr>
        <w:t>continued mix shift to card not present transactions</w:t>
      </w:r>
    </w:p>
    <w:p w14:paraId="7A0791E3" w14:textId="09C7DA23" w:rsidR="0034001B" w:rsidRPr="00C631C4" w:rsidRDefault="005E46B7">
      <w:pPr>
        <w:spacing w:after="160"/>
        <w:jc w:val="left"/>
        <w:rPr>
          <w:rFonts w:cstheme="minorHAnsi"/>
          <w:sz w:val="21"/>
          <w:szCs w:val="21"/>
        </w:rPr>
      </w:pPr>
      <w:r>
        <w:rPr>
          <w:rFonts w:cstheme="minorHAnsi"/>
          <w:sz w:val="21"/>
          <w:szCs w:val="21"/>
        </w:rPr>
        <w:br w:type="page"/>
      </w:r>
    </w:p>
    <w:p w14:paraId="3092C220" w14:textId="6CD75401" w:rsidR="00B2199B" w:rsidRPr="00F96D9C" w:rsidRDefault="00B2199B" w:rsidP="00F96D9C">
      <w:pPr>
        <w:pStyle w:val="Header1"/>
      </w:pPr>
      <w:r w:rsidRPr="00C46095">
        <w:lastRenderedPageBreak/>
        <w:t>COST STUDY PROCESS</w:t>
      </w:r>
    </w:p>
    <w:p w14:paraId="092E1760" w14:textId="77777777" w:rsidR="00B2199B" w:rsidRPr="00C631C4" w:rsidRDefault="00B2199B" w:rsidP="00B2199B">
      <w:pPr>
        <w:rPr>
          <w:rFonts w:cstheme="minorHAnsi"/>
          <w:sz w:val="21"/>
          <w:szCs w:val="21"/>
          <w:lang w:val="en-GB"/>
        </w:rPr>
      </w:pPr>
      <w:r>
        <w:rPr>
          <w:rFonts w:cstheme="minorHAnsi"/>
          <w:iCs/>
          <w:sz w:val="21"/>
          <w:szCs w:val="21"/>
          <w:lang w:val="en-GB"/>
        </w:rPr>
        <w:t>The Commonwealth Bank</w:t>
      </w:r>
      <w:r w:rsidRPr="00C631C4">
        <w:rPr>
          <w:rFonts w:cstheme="minorHAnsi"/>
          <w:iCs/>
          <w:sz w:val="21"/>
          <w:szCs w:val="21"/>
          <w:lang w:val="en-GB"/>
        </w:rPr>
        <w:t xml:space="preserve"> appreciates that the RBA has undertake</w:t>
      </w:r>
      <w:r>
        <w:rPr>
          <w:rFonts w:cstheme="minorHAnsi"/>
          <w:iCs/>
          <w:sz w:val="21"/>
          <w:szCs w:val="21"/>
          <w:lang w:val="en-GB"/>
        </w:rPr>
        <w:t>n</w:t>
      </w:r>
      <w:r w:rsidRPr="00C631C4">
        <w:rPr>
          <w:rFonts w:cstheme="minorHAnsi"/>
          <w:iCs/>
          <w:sz w:val="21"/>
          <w:szCs w:val="21"/>
          <w:lang w:val="en-GB"/>
        </w:rPr>
        <w:t xml:space="preserve"> an Issuer Cost study to better understand the costs faced by issuers. It is critical to ensure that the interchange caps are set appropriately to ensure card payments remain efficient, competitive and safe, and to avoid having to review the caps </w:t>
      </w:r>
      <w:proofErr w:type="gramStart"/>
      <w:r w:rsidRPr="00C631C4">
        <w:rPr>
          <w:rFonts w:cstheme="minorHAnsi"/>
          <w:iCs/>
          <w:sz w:val="21"/>
          <w:szCs w:val="21"/>
          <w:lang w:val="en-GB"/>
        </w:rPr>
        <w:t>in the near future</w:t>
      </w:r>
      <w:proofErr w:type="gramEnd"/>
      <w:r w:rsidRPr="00C631C4">
        <w:rPr>
          <w:rFonts w:cstheme="minorHAnsi"/>
          <w:iCs/>
          <w:sz w:val="21"/>
          <w:szCs w:val="21"/>
          <w:lang w:val="en-GB"/>
        </w:rPr>
        <w:t xml:space="preserve">. </w:t>
      </w:r>
    </w:p>
    <w:p w14:paraId="484377DF" w14:textId="525DB740" w:rsidR="00B2199B" w:rsidRDefault="00B2199B" w:rsidP="00B2199B">
      <w:pPr>
        <w:rPr>
          <w:rFonts w:cstheme="minorHAnsi"/>
          <w:iCs/>
          <w:sz w:val="21"/>
          <w:szCs w:val="21"/>
          <w:lang w:val="en-GB"/>
        </w:rPr>
      </w:pPr>
      <w:r w:rsidRPr="00C631C4">
        <w:rPr>
          <w:rFonts w:cstheme="minorHAnsi"/>
          <w:iCs/>
          <w:sz w:val="21"/>
          <w:szCs w:val="21"/>
          <w:lang w:val="en-GB"/>
        </w:rPr>
        <w:t xml:space="preserve">However, we have </w:t>
      </w:r>
      <w:proofErr w:type="gramStart"/>
      <w:r w:rsidRPr="00C631C4">
        <w:rPr>
          <w:rFonts w:cstheme="minorHAnsi"/>
          <w:iCs/>
          <w:sz w:val="21"/>
          <w:szCs w:val="21"/>
          <w:lang w:val="en-GB"/>
        </w:rPr>
        <w:t>a number of</w:t>
      </w:r>
      <w:proofErr w:type="gramEnd"/>
      <w:r w:rsidRPr="00C631C4">
        <w:rPr>
          <w:rFonts w:cstheme="minorHAnsi"/>
          <w:iCs/>
          <w:sz w:val="21"/>
          <w:szCs w:val="21"/>
          <w:lang w:val="en-GB"/>
        </w:rPr>
        <w:t xml:space="preserve"> concerns with the process, which may have impacted the validity of the findings. </w:t>
      </w:r>
      <w:r w:rsidR="001B0B47">
        <w:rPr>
          <w:rFonts w:cstheme="minorHAnsi"/>
          <w:iCs/>
          <w:sz w:val="21"/>
          <w:szCs w:val="21"/>
          <w:lang w:val="en-GB"/>
        </w:rPr>
        <w:t>K</w:t>
      </w:r>
      <w:r w:rsidRPr="00C631C4">
        <w:rPr>
          <w:rFonts w:cstheme="minorHAnsi"/>
          <w:iCs/>
          <w:sz w:val="21"/>
          <w:szCs w:val="21"/>
          <w:lang w:val="en-GB"/>
        </w:rPr>
        <w:t>ey costs that need to be considered in setting interchange have been excluded</w:t>
      </w:r>
      <w:r>
        <w:rPr>
          <w:rFonts w:cstheme="minorHAnsi"/>
          <w:iCs/>
          <w:sz w:val="21"/>
          <w:szCs w:val="21"/>
          <w:lang w:val="en-GB"/>
        </w:rPr>
        <w:t xml:space="preserve"> as outlined above</w:t>
      </w:r>
      <w:r w:rsidRPr="00C631C4">
        <w:rPr>
          <w:rFonts w:cstheme="minorHAnsi"/>
          <w:iCs/>
          <w:sz w:val="21"/>
          <w:szCs w:val="21"/>
          <w:lang w:val="en-GB"/>
        </w:rPr>
        <w:t>, while others have been underestimated, potentially due to the data collection approach.</w:t>
      </w:r>
    </w:p>
    <w:p w14:paraId="5F5A701D" w14:textId="77777777" w:rsidR="00B2199B" w:rsidRPr="00C631C4" w:rsidRDefault="00B2199B" w:rsidP="00B2199B">
      <w:pPr>
        <w:rPr>
          <w:rFonts w:cstheme="minorHAnsi"/>
          <w:b/>
          <w:bCs/>
          <w:iCs/>
          <w:sz w:val="21"/>
          <w:szCs w:val="21"/>
          <w:lang w:val="en-GB"/>
        </w:rPr>
      </w:pPr>
      <w:r w:rsidRPr="00C631C4">
        <w:rPr>
          <w:rFonts w:cstheme="minorHAnsi"/>
          <w:b/>
          <w:bCs/>
          <w:iCs/>
          <w:sz w:val="21"/>
          <w:szCs w:val="21"/>
          <w:lang w:val="en-GB"/>
        </w:rPr>
        <w:t>Timeframes and process</w:t>
      </w:r>
    </w:p>
    <w:p w14:paraId="2B8BFB07" w14:textId="5E1DE3A4" w:rsidR="00B2199B" w:rsidRPr="000752D6" w:rsidRDefault="00B2199B" w:rsidP="00B2199B">
      <w:pPr>
        <w:rPr>
          <w:rFonts w:cstheme="minorHAnsi"/>
          <w:iCs/>
          <w:sz w:val="21"/>
          <w:szCs w:val="21"/>
          <w:lang w:val="en-GB"/>
        </w:rPr>
      </w:pPr>
      <w:r w:rsidRPr="00C631C4">
        <w:rPr>
          <w:rFonts w:cstheme="minorHAnsi"/>
          <w:iCs/>
          <w:sz w:val="21"/>
          <w:szCs w:val="21"/>
          <w:lang w:val="en-GB"/>
        </w:rPr>
        <w:t xml:space="preserve">The RBA’s 2014 Cost Study, although undertaken to understand the resource cost of the overall payments system, provides a useful </w:t>
      </w:r>
      <w:r>
        <w:rPr>
          <w:rFonts w:cstheme="minorHAnsi"/>
          <w:iCs/>
          <w:sz w:val="21"/>
          <w:szCs w:val="21"/>
          <w:lang w:val="en-GB"/>
        </w:rPr>
        <w:t>comparison</w:t>
      </w:r>
      <w:r w:rsidRPr="00C631C4">
        <w:rPr>
          <w:rFonts w:cstheme="minorHAnsi"/>
          <w:iCs/>
          <w:sz w:val="21"/>
          <w:szCs w:val="21"/>
          <w:lang w:val="en-GB"/>
        </w:rPr>
        <w:t xml:space="preserve"> of the extent of industry consultation and time needed to obtain reliable data. </w:t>
      </w:r>
      <w:r>
        <w:rPr>
          <w:rFonts w:cstheme="minorHAnsi"/>
          <w:iCs/>
          <w:sz w:val="21"/>
          <w:szCs w:val="21"/>
          <w:lang w:val="en-GB"/>
        </w:rPr>
        <w:t xml:space="preserve">Time for consultation is particularly important when the cost categories are changing materially and definitions in some cases </w:t>
      </w:r>
      <w:r w:rsidR="006C2241">
        <w:rPr>
          <w:rFonts w:cstheme="minorHAnsi"/>
          <w:iCs/>
          <w:sz w:val="21"/>
          <w:szCs w:val="21"/>
          <w:lang w:val="en-GB"/>
        </w:rPr>
        <w:t xml:space="preserve">are </w:t>
      </w:r>
      <w:r>
        <w:rPr>
          <w:rFonts w:cstheme="minorHAnsi"/>
          <w:iCs/>
          <w:sz w:val="21"/>
          <w:szCs w:val="21"/>
          <w:lang w:val="en-GB"/>
        </w:rPr>
        <w:t xml:space="preserve">not clear. </w:t>
      </w:r>
    </w:p>
    <w:tbl>
      <w:tblPr>
        <w:tblStyle w:val="TableGrid"/>
        <w:tblW w:w="0" w:type="auto"/>
        <w:tblLook w:val="04A0" w:firstRow="1" w:lastRow="0" w:firstColumn="1" w:lastColumn="0" w:noHBand="0" w:noVBand="1"/>
      </w:tblPr>
      <w:tblGrid>
        <w:gridCol w:w="5098"/>
        <w:gridCol w:w="1985"/>
        <w:gridCol w:w="1933"/>
      </w:tblGrid>
      <w:tr w:rsidR="00B2199B" w:rsidRPr="00C631C4" w14:paraId="76518778" w14:textId="77777777">
        <w:trPr>
          <w:cnfStyle w:val="100000000000" w:firstRow="1" w:lastRow="0" w:firstColumn="0" w:lastColumn="0" w:oddVBand="0" w:evenVBand="0" w:oddHBand="0" w:evenHBand="0" w:firstRowFirstColumn="0" w:firstRowLastColumn="0" w:lastRowFirstColumn="0" w:lastRowLastColumn="0"/>
        </w:trPr>
        <w:tc>
          <w:tcPr>
            <w:tcW w:w="5098" w:type="dxa"/>
            <w:shd w:val="clear" w:color="auto" w:fill="D9D9D9" w:themeFill="background1" w:themeFillShade="D9"/>
          </w:tcPr>
          <w:p w14:paraId="342A0400" w14:textId="77777777" w:rsidR="00B2199B" w:rsidRPr="00C631C4" w:rsidRDefault="00B2199B" w:rsidP="00F122A6">
            <w:pPr>
              <w:jc w:val="left"/>
              <w:rPr>
                <w:rFonts w:cstheme="minorHAnsi"/>
                <w:b w:val="0"/>
                <w:bCs/>
                <w:sz w:val="21"/>
                <w:szCs w:val="21"/>
                <w:u w:val="single"/>
              </w:rPr>
            </w:pPr>
          </w:p>
        </w:tc>
        <w:tc>
          <w:tcPr>
            <w:tcW w:w="1985" w:type="dxa"/>
            <w:shd w:val="clear" w:color="auto" w:fill="D9D9D9" w:themeFill="background1" w:themeFillShade="D9"/>
          </w:tcPr>
          <w:p w14:paraId="4AE84047" w14:textId="77777777" w:rsidR="00B2199B" w:rsidRPr="00C631C4" w:rsidRDefault="00B2199B" w:rsidP="00F122A6">
            <w:pPr>
              <w:jc w:val="left"/>
              <w:rPr>
                <w:rFonts w:cstheme="minorHAnsi"/>
                <w:b w:val="0"/>
                <w:bCs/>
                <w:sz w:val="21"/>
                <w:szCs w:val="21"/>
              </w:rPr>
            </w:pPr>
            <w:r w:rsidRPr="00C631C4">
              <w:rPr>
                <w:rFonts w:cstheme="minorHAnsi"/>
                <w:bCs/>
                <w:sz w:val="21"/>
                <w:szCs w:val="21"/>
              </w:rPr>
              <w:t>2014 study</w:t>
            </w:r>
          </w:p>
        </w:tc>
        <w:tc>
          <w:tcPr>
            <w:tcW w:w="1933" w:type="dxa"/>
            <w:shd w:val="clear" w:color="auto" w:fill="D9D9D9" w:themeFill="background1" w:themeFillShade="D9"/>
          </w:tcPr>
          <w:p w14:paraId="4AF6BA2F" w14:textId="77777777" w:rsidR="00B2199B" w:rsidRPr="00C631C4" w:rsidRDefault="00B2199B" w:rsidP="00F122A6">
            <w:pPr>
              <w:jc w:val="left"/>
              <w:rPr>
                <w:rFonts w:cstheme="minorHAnsi"/>
                <w:b w:val="0"/>
                <w:bCs/>
                <w:sz w:val="21"/>
                <w:szCs w:val="21"/>
              </w:rPr>
            </w:pPr>
            <w:r w:rsidRPr="00C631C4">
              <w:rPr>
                <w:rFonts w:cstheme="minorHAnsi"/>
                <w:bCs/>
                <w:sz w:val="21"/>
                <w:szCs w:val="21"/>
              </w:rPr>
              <w:t>2025 Cost study</w:t>
            </w:r>
          </w:p>
        </w:tc>
      </w:tr>
      <w:tr w:rsidR="00B2199B" w:rsidRPr="00C631C4" w14:paraId="690EE02C" w14:textId="77777777">
        <w:tc>
          <w:tcPr>
            <w:tcW w:w="5098" w:type="dxa"/>
          </w:tcPr>
          <w:p w14:paraId="30C7041A" w14:textId="77777777" w:rsidR="00B2199B" w:rsidRPr="00C631C4" w:rsidRDefault="00B2199B" w:rsidP="00F122A6">
            <w:pPr>
              <w:jc w:val="left"/>
              <w:rPr>
                <w:rFonts w:cstheme="minorHAnsi"/>
                <w:sz w:val="21"/>
                <w:szCs w:val="21"/>
              </w:rPr>
            </w:pPr>
            <w:r w:rsidRPr="00C631C4">
              <w:rPr>
                <w:rFonts w:cstheme="minorHAnsi"/>
                <w:sz w:val="21"/>
                <w:szCs w:val="21"/>
              </w:rPr>
              <w:t>Industry consultation on data collection methodology</w:t>
            </w:r>
          </w:p>
        </w:tc>
        <w:tc>
          <w:tcPr>
            <w:tcW w:w="1985" w:type="dxa"/>
          </w:tcPr>
          <w:p w14:paraId="5DF51683" w14:textId="77777777" w:rsidR="00B2199B" w:rsidRPr="00C631C4" w:rsidRDefault="00B2199B" w:rsidP="00F122A6">
            <w:pPr>
              <w:jc w:val="left"/>
              <w:rPr>
                <w:rFonts w:cstheme="minorHAnsi"/>
                <w:sz w:val="21"/>
                <w:szCs w:val="21"/>
              </w:rPr>
            </w:pPr>
            <w:r>
              <w:rPr>
                <w:rFonts w:cstheme="minorHAnsi"/>
                <w:sz w:val="21"/>
                <w:szCs w:val="21"/>
              </w:rPr>
              <w:t>4</w:t>
            </w:r>
            <w:r w:rsidRPr="00C631C4">
              <w:rPr>
                <w:rFonts w:cstheme="minorHAnsi"/>
                <w:sz w:val="21"/>
                <w:szCs w:val="21"/>
              </w:rPr>
              <w:t xml:space="preserve"> months</w:t>
            </w:r>
          </w:p>
        </w:tc>
        <w:tc>
          <w:tcPr>
            <w:tcW w:w="1933" w:type="dxa"/>
          </w:tcPr>
          <w:p w14:paraId="1E6D7ADB" w14:textId="77777777" w:rsidR="00B2199B" w:rsidRPr="00C631C4" w:rsidRDefault="00B2199B" w:rsidP="00F122A6">
            <w:pPr>
              <w:jc w:val="left"/>
              <w:rPr>
                <w:rFonts w:cstheme="minorHAnsi"/>
                <w:sz w:val="21"/>
                <w:szCs w:val="21"/>
              </w:rPr>
            </w:pPr>
            <w:r>
              <w:rPr>
                <w:rFonts w:cstheme="minorHAnsi"/>
                <w:sz w:val="21"/>
                <w:szCs w:val="21"/>
              </w:rPr>
              <w:t>3</w:t>
            </w:r>
            <w:r w:rsidRPr="00C631C4">
              <w:rPr>
                <w:rFonts w:cstheme="minorHAnsi"/>
                <w:sz w:val="21"/>
                <w:szCs w:val="21"/>
              </w:rPr>
              <w:t xml:space="preserve"> weeks</w:t>
            </w:r>
          </w:p>
        </w:tc>
      </w:tr>
      <w:tr w:rsidR="00B2199B" w:rsidRPr="00C631C4" w14:paraId="443FFF02" w14:textId="77777777">
        <w:tc>
          <w:tcPr>
            <w:tcW w:w="5098" w:type="dxa"/>
          </w:tcPr>
          <w:p w14:paraId="7ABAF629" w14:textId="77777777" w:rsidR="00B2199B" w:rsidRPr="00C631C4" w:rsidRDefault="00B2199B" w:rsidP="00F122A6">
            <w:pPr>
              <w:jc w:val="left"/>
              <w:rPr>
                <w:rFonts w:cstheme="minorHAnsi"/>
                <w:sz w:val="21"/>
                <w:szCs w:val="21"/>
              </w:rPr>
            </w:pPr>
            <w:r w:rsidRPr="00C631C4">
              <w:rPr>
                <w:rFonts w:cstheme="minorHAnsi"/>
                <w:sz w:val="21"/>
                <w:szCs w:val="21"/>
              </w:rPr>
              <w:t>Time provided to submit data (including extension/resubmission time)</w:t>
            </w:r>
          </w:p>
        </w:tc>
        <w:tc>
          <w:tcPr>
            <w:tcW w:w="1985" w:type="dxa"/>
          </w:tcPr>
          <w:p w14:paraId="71827E99" w14:textId="77777777" w:rsidR="00B2199B" w:rsidRPr="00C631C4" w:rsidRDefault="00B2199B" w:rsidP="00F122A6">
            <w:pPr>
              <w:jc w:val="left"/>
              <w:rPr>
                <w:rFonts w:cstheme="minorHAnsi"/>
                <w:sz w:val="21"/>
                <w:szCs w:val="21"/>
              </w:rPr>
            </w:pPr>
            <w:r w:rsidRPr="00C631C4">
              <w:rPr>
                <w:rFonts w:cstheme="minorHAnsi"/>
                <w:sz w:val="21"/>
                <w:szCs w:val="21"/>
              </w:rPr>
              <w:t>9 weeks</w:t>
            </w:r>
          </w:p>
        </w:tc>
        <w:tc>
          <w:tcPr>
            <w:tcW w:w="1933" w:type="dxa"/>
          </w:tcPr>
          <w:p w14:paraId="363FAF97" w14:textId="77777777" w:rsidR="00B2199B" w:rsidRPr="00C631C4" w:rsidRDefault="00B2199B" w:rsidP="00F122A6">
            <w:pPr>
              <w:jc w:val="left"/>
              <w:rPr>
                <w:rFonts w:cstheme="minorHAnsi"/>
                <w:sz w:val="21"/>
                <w:szCs w:val="21"/>
              </w:rPr>
            </w:pPr>
            <w:r w:rsidRPr="00C631C4">
              <w:rPr>
                <w:rFonts w:cstheme="minorHAnsi"/>
                <w:sz w:val="21"/>
                <w:szCs w:val="21"/>
              </w:rPr>
              <w:t>9 weeks</w:t>
            </w:r>
          </w:p>
        </w:tc>
      </w:tr>
      <w:tr w:rsidR="00B2199B" w:rsidRPr="00C631C4" w14:paraId="4A3D36B2" w14:textId="77777777">
        <w:tc>
          <w:tcPr>
            <w:tcW w:w="5098" w:type="dxa"/>
          </w:tcPr>
          <w:p w14:paraId="6626D0AF" w14:textId="77777777" w:rsidR="00B2199B" w:rsidRPr="00C631C4" w:rsidRDefault="00B2199B" w:rsidP="00F122A6">
            <w:pPr>
              <w:jc w:val="left"/>
              <w:rPr>
                <w:rFonts w:cstheme="minorHAnsi"/>
                <w:sz w:val="21"/>
                <w:szCs w:val="21"/>
              </w:rPr>
            </w:pPr>
            <w:r w:rsidRPr="00C631C4">
              <w:rPr>
                <w:rFonts w:cstheme="minorHAnsi"/>
                <w:sz w:val="21"/>
                <w:szCs w:val="21"/>
              </w:rPr>
              <w:t>Further industry consultation post data collection</w:t>
            </w:r>
          </w:p>
        </w:tc>
        <w:tc>
          <w:tcPr>
            <w:tcW w:w="1985" w:type="dxa"/>
          </w:tcPr>
          <w:p w14:paraId="7A20A50F" w14:textId="77777777" w:rsidR="00B2199B" w:rsidRPr="00C631C4" w:rsidRDefault="00B2199B" w:rsidP="00F122A6">
            <w:pPr>
              <w:jc w:val="left"/>
              <w:rPr>
                <w:rFonts w:cstheme="minorHAnsi"/>
                <w:sz w:val="21"/>
                <w:szCs w:val="21"/>
              </w:rPr>
            </w:pPr>
            <w:r w:rsidRPr="00C631C4">
              <w:rPr>
                <w:rFonts w:cstheme="minorHAnsi"/>
                <w:sz w:val="21"/>
                <w:szCs w:val="21"/>
              </w:rPr>
              <w:t>Yes</w:t>
            </w:r>
          </w:p>
        </w:tc>
        <w:tc>
          <w:tcPr>
            <w:tcW w:w="1933" w:type="dxa"/>
          </w:tcPr>
          <w:p w14:paraId="51692855" w14:textId="77777777" w:rsidR="00B2199B" w:rsidRPr="00C631C4" w:rsidRDefault="00B2199B" w:rsidP="00F122A6">
            <w:pPr>
              <w:jc w:val="left"/>
              <w:rPr>
                <w:rFonts w:cstheme="minorHAnsi"/>
                <w:sz w:val="21"/>
                <w:szCs w:val="21"/>
              </w:rPr>
            </w:pPr>
            <w:r w:rsidRPr="00C631C4">
              <w:rPr>
                <w:rFonts w:cstheme="minorHAnsi"/>
                <w:sz w:val="21"/>
                <w:szCs w:val="21"/>
              </w:rPr>
              <w:t>No</w:t>
            </w:r>
          </w:p>
        </w:tc>
      </w:tr>
      <w:tr w:rsidR="00B2199B" w:rsidRPr="00C631C4" w14:paraId="0FA3A100" w14:textId="77777777">
        <w:tc>
          <w:tcPr>
            <w:tcW w:w="5098" w:type="dxa"/>
          </w:tcPr>
          <w:p w14:paraId="29682122" w14:textId="77777777" w:rsidR="00B2199B" w:rsidRPr="00C631C4" w:rsidRDefault="00B2199B" w:rsidP="00F122A6">
            <w:pPr>
              <w:jc w:val="left"/>
              <w:rPr>
                <w:rFonts w:cstheme="minorHAnsi"/>
                <w:sz w:val="21"/>
                <w:szCs w:val="21"/>
              </w:rPr>
            </w:pPr>
            <w:r w:rsidRPr="00C631C4">
              <w:rPr>
                <w:rFonts w:cstheme="minorHAnsi"/>
                <w:sz w:val="21"/>
                <w:szCs w:val="21"/>
              </w:rPr>
              <w:t>Time from submission of data to publication of cost study findings</w:t>
            </w:r>
          </w:p>
        </w:tc>
        <w:tc>
          <w:tcPr>
            <w:tcW w:w="1985" w:type="dxa"/>
          </w:tcPr>
          <w:p w14:paraId="1ACBE05B" w14:textId="77777777" w:rsidR="00B2199B" w:rsidRPr="00C631C4" w:rsidRDefault="00B2199B" w:rsidP="00F122A6">
            <w:pPr>
              <w:jc w:val="left"/>
              <w:rPr>
                <w:rFonts w:cstheme="minorHAnsi"/>
                <w:sz w:val="21"/>
                <w:szCs w:val="21"/>
              </w:rPr>
            </w:pPr>
            <w:r w:rsidRPr="72D566B1">
              <w:rPr>
                <w:sz w:val="21"/>
                <w:szCs w:val="21"/>
              </w:rPr>
              <w:t>6 months</w:t>
            </w:r>
            <w:r w:rsidRPr="72D566B1">
              <w:rPr>
                <w:rStyle w:val="FootnoteReference"/>
                <w:sz w:val="21"/>
                <w:szCs w:val="21"/>
              </w:rPr>
              <w:footnoteReference w:id="14"/>
            </w:r>
          </w:p>
        </w:tc>
        <w:tc>
          <w:tcPr>
            <w:tcW w:w="1933" w:type="dxa"/>
          </w:tcPr>
          <w:p w14:paraId="1A6AD615" w14:textId="77777777" w:rsidR="00B2199B" w:rsidRPr="00C631C4" w:rsidRDefault="00B2199B" w:rsidP="00F122A6">
            <w:pPr>
              <w:jc w:val="left"/>
              <w:rPr>
                <w:rFonts w:cstheme="minorHAnsi"/>
                <w:sz w:val="21"/>
                <w:szCs w:val="21"/>
              </w:rPr>
            </w:pPr>
            <w:r w:rsidRPr="00C631C4">
              <w:rPr>
                <w:rFonts w:cstheme="minorHAnsi"/>
                <w:sz w:val="21"/>
                <w:szCs w:val="21"/>
              </w:rPr>
              <w:t>2 months</w:t>
            </w:r>
          </w:p>
        </w:tc>
      </w:tr>
      <w:tr w:rsidR="00B2199B" w:rsidRPr="00C631C4" w14:paraId="1A7D9573" w14:textId="77777777">
        <w:tc>
          <w:tcPr>
            <w:tcW w:w="5098" w:type="dxa"/>
            <w:shd w:val="clear" w:color="auto" w:fill="F2F2F2" w:themeFill="background1" w:themeFillShade="F2"/>
          </w:tcPr>
          <w:p w14:paraId="1364276A" w14:textId="77777777" w:rsidR="00B2199B" w:rsidRPr="00C631C4" w:rsidRDefault="00B2199B" w:rsidP="00F122A6">
            <w:pPr>
              <w:jc w:val="left"/>
              <w:rPr>
                <w:rFonts w:cstheme="minorHAnsi"/>
                <w:b/>
                <w:bCs/>
                <w:i/>
                <w:iCs/>
                <w:sz w:val="21"/>
                <w:szCs w:val="21"/>
              </w:rPr>
            </w:pPr>
            <w:r w:rsidRPr="72D566B1">
              <w:rPr>
                <w:b/>
                <w:i/>
                <w:sz w:val="21"/>
                <w:szCs w:val="21"/>
              </w:rPr>
              <w:t>Total time taken for cost study</w:t>
            </w:r>
            <w:r w:rsidRPr="72D566B1">
              <w:rPr>
                <w:rStyle w:val="FootnoteReference"/>
                <w:b/>
                <w:i/>
                <w:sz w:val="21"/>
                <w:szCs w:val="21"/>
              </w:rPr>
              <w:footnoteReference w:id="15"/>
            </w:r>
          </w:p>
        </w:tc>
        <w:tc>
          <w:tcPr>
            <w:tcW w:w="1985" w:type="dxa"/>
            <w:shd w:val="clear" w:color="auto" w:fill="F2F2F2" w:themeFill="background1" w:themeFillShade="F2"/>
          </w:tcPr>
          <w:p w14:paraId="0448B9A5" w14:textId="77777777" w:rsidR="00B2199B" w:rsidRPr="00C631C4" w:rsidRDefault="00B2199B" w:rsidP="00F122A6">
            <w:pPr>
              <w:jc w:val="left"/>
              <w:rPr>
                <w:rFonts w:cstheme="minorHAnsi"/>
                <w:b/>
                <w:bCs/>
                <w:i/>
                <w:iCs/>
                <w:sz w:val="21"/>
                <w:szCs w:val="21"/>
              </w:rPr>
            </w:pPr>
            <w:r w:rsidRPr="00C631C4">
              <w:rPr>
                <w:rFonts w:cstheme="minorHAnsi"/>
                <w:b/>
                <w:bCs/>
                <w:i/>
                <w:iCs/>
                <w:sz w:val="21"/>
                <w:szCs w:val="21"/>
              </w:rPr>
              <w:t>12 months</w:t>
            </w:r>
          </w:p>
        </w:tc>
        <w:tc>
          <w:tcPr>
            <w:tcW w:w="1933" w:type="dxa"/>
            <w:shd w:val="clear" w:color="auto" w:fill="F2F2F2" w:themeFill="background1" w:themeFillShade="F2"/>
          </w:tcPr>
          <w:p w14:paraId="7506A1E4" w14:textId="77777777" w:rsidR="00B2199B" w:rsidRPr="00C631C4" w:rsidRDefault="00B2199B" w:rsidP="00F122A6">
            <w:pPr>
              <w:jc w:val="left"/>
              <w:rPr>
                <w:rFonts w:cstheme="minorHAnsi"/>
                <w:b/>
                <w:bCs/>
                <w:i/>
                <w:iCs/>
                <w:sz w:val="21"/>
                <w:szCs w:val="21"/>
              </w:rPr>
            </w:pPr>
            <w:r w:rsidRPr="00C631C4">
              <w:rPr>
                <w:rFonts w:cstheme="minorHAnsi"/>
                <w:b/>
                <w:bCs/>
                <w:i/>
                <w:iCs/>
                <w:sz w:val="21"/>
                <w:szCs w:val="21"/>
              </w:rPr>
              <w:t>5 months</w:t>
            </w:r>
          </w:p>
        </w:tc>
      </w:tr>
      <w:tr w:rsidR="00B2199B" w:rsidRPr="00C631C4" w14:paraId="2C0161EC" w14:textId="77777777">
        <w:tc>
          <w:tcPr>
            <w:tcW w:w="5098" w:type="dxa"/>
          </w:tcPr>
          <w:p w14:paraId="5EDB2CB9" w14:textId="77777777" w:rsidR="00B2199B" w:rsidRPr="00C631C4" w:rsidRDefault="00B2199B" w:rsidP="00F122A6">
            <w:pPr>
              <w:jc w:val="left"/>
              <w:rPr>
                <w:rFonts w:cstheme="minorHAnsi"/>
                <w:sz w:val="21"/>
                <w:szCs w:val="21"/>
              </w:rPr>
            </w:pPr>
            <w:r w:rsidRPr="00C631C4">
              <w:rPr>
                <w:rFonts w:cstheme="minorHAnsi"/>
                <w:sz w:val="21"/>
                <w:szCs w:val="21"/>
              </w:rPr>
              <w:t>Time from publication of cost study findings to release of Consultation Paper with interchange proposals</w:t>
            </w:r>
          </w:p>
        </w:tc>
        <w:tc>
          <w:tcPr>
            <w:tcW w:w="1985" w:type="dxa"/>
          </w:tcPr>
          <w:p w14:paraId="194FAE25" w14:textId="77777777" w:rsidR="00B2199B" w:rsidRPr="00C631C4" w:rsidRDefault="00B2199B" w:rsidP="00F122A6">
            <w:pPr>
              <w:jc w:val="left"/>
              <w:rPr>
                <w:rFonts w:cstheme="minorHAnsi"/>
                <w:sz w:val="21"/>
                <w:szCs w:val="21"/>
              </w:rPr>
            </w:pPr>
            <w:r w:rsidRPr="00C631C4">
              <w:rPr>
                <w:rFonts w:cstheme="minorHAnsi"/>
                <w:sz w:val="21"/>
                <w:szCs w:val="21"/>
              </w:rPr>
              <w:t>12 months</w:t>
            </w:r>
          </w:p>
        </w:tc>
        <w:tc>
          <w:tcPr>
            <w:tcW w:w="1933" w:type="dxa"/>
          </w:tcPr>
          <w:p w14:paraId="20D87B5D" w14:textId="77777777" w:rsidR="00B2199B" w:rsidRPr="00C631C4" w:rsidRDefault="00B2199B" w:rsidP="00F122A6">
            <w:pPr>
              <w:jc w:val="left"/>
              <w:rPr>
                <w:rFonts w:cstheme="minorHAnsi"/>
                <w:sz w:val="21"/>
                <w:szCs w:val="21"/>
              </w:rPr>
            </w:pPr>
            <w:r w:rsidRPr="00C631C4">
              <w:rPr>
                <w:rFonts w:cstheme="minorHAnsi"/>
                <w:sz w:val="21"/>
                <w:szCs w:val="21"/>
              </w:rPr>
              <w:t>0 months (released at same time)</w:t>
            </w:r>
          </w:p>
        </w:tc>
      </w:tr>
      <w:tr w:rsidR="00B2199B" w:rsidRPr="00C631C4" w14:paraId="30B14085" w14:textId="77777777">
        <w:tc>
          <w:tcPr>
            <w:tcW w:w="5098" w:type="dxa"/>
            <w:shd w:val="clear" w:color="auto" w:fill="EBEBEB" w:themeFill="background2"/>
          </w:tcPr>
          <w:p w14:paraId="4C166AFB" w14:textId="77777777" w:rsidR="00B2199B" w:rsidRPr="00C631C4" w:rsidRDefault="00B2199B" w:rsidP="00F122A6">
            <w:pPr>
              <w:jc w:val="left"/>
              <w:rPr>
                <w:rFonts w:cstheme="minorHAnsi"/>
                <w:sz w:val="21"/>
                <w:szCs w:val="21"/>
              </w:rPr>
            </w:pPr>
            <w:r w:rsidRPr="72D566B1">
              <w:rPr>
                <w:b/>
                <w:i/>
                <w:sz w:val="21"/>
                <w:szCs w:val="21"/>
              </w:rPr>
              <w:t xml:space="preserve">Total time </w:t>
            </w:r>
            <w:r>
              <w:rPr>
                <w:b/>
                <w:i/>
                <w:sz w:val="21"/>
                <w:szCs w:val="21"/>
              </w:rPr>
              <w:t>elapsed</w:t>
            </w:r>
          </w:p>
        </w:tc>
        <w:tc>
          <w:tcPr>
            <w:tcW w:w="1985" w:type="dxa"/>
            <w:shd w:val="clear" w:color="auto" w:fill="EBEBEB" w:themeFill="background2"/>
          </w:tcPr>
          <w:p w14:paraId="13130DA2" w14:textId="77777777" w:rsidR="00B2199B" w:rsidRPr="00C631C4" w:rsidRDefault="00B2199B" w:rsidP="00F122A6">
            <w:pPr>
              <w:jc w:val="left"/>
              <w:rPr>
                <w:rFonts w:cstheme="minorHAnsi"/>
                <w:sz w:val="21"/>
                <w:szCs w:val="21"/>
              </w:rPr>
            </w:pPr>
            <w:r>
              <w:rPr>
                <w:rFonts w:cstheme="minorHAnsi"/>
                <w:b/>
                <w:bCs/>
                <w:i/>
                <w:iCs/>
                <w:sz w:val="21"/>
                <w:szCs w:val="21"/>
              </w:rPr>
              <w:t xml:space="preserve">24 </w:t>
            </w:r>
            <w:r w:rsidRPr="00C631C4">
              <w:rPr>
                <w:rFonts w:cstheme="minorHAnsi"/>
                <w:b/>
                <w:bCs/>
                <w:i/>
                <w:iCs/>
                <w:sz w:val="21"/>
                <w:szCs w:val="21"/>
              </w:rPr>
              <w:t>months</w:t>
            </w:r>
          </w:p>
        </w:tc>
        <w:tc>
          <w:tcPr>
            <w:tcW w:w="1933" w:type="dxa"/>
            <w:shd w:val="clear" w:color="auto" w:fill="EBEBEB" w:themeFill="background2"/>
          </w:tcPr>
          <w:p w14:paraId="5CFEA949" w14:textId="77777777" w:rsidR="00B2199B" w:rsidRPr="00C631C4" w:rsidRDefault="00B2199B" w:rsidP="00F122A6">
            <w:pPr>
              <w:jc w:val="left"/>
              <w:rPr>
                <w:rFonts w:cstheme="minorHAnsi"/>
                <w:sz w:val="21"/>
                <w:szCs w:val="21"/>
              </w:rPr>
            </w:pPr>
            <w:r w:rsidRPr="00C631C4">
              <w:rPr>
                <w:rFonts w:cstheme="minorHAnsi"/>
                <w:b/>
                <w:bCs/>
                <w:i/>
                <w:iCs/>
                <w:sz w:val="21"/>
                <w:szCs w:val="21"/>
              </w:rPr>
              <w:t>5 months</w:t>
            </w:r>
          </w:p>
        </w:tc>
      </w:tr>
    </w:tbl>
    <w:p w14:paraId="725ED787" w14:textId="77777777" w:rsidR="00A41086" w:rsidRDefault="00A41086" w:rsidP="00B2199B">
      <w:pPr>
        <w:rPr>
          <w:rFonts w:cstheme="minorHAnsi"/>
          <w:iCs/>
          <w:sz w:val="21"/>
          <w:szCs w:val="21"/>
        </w:rPr>
      </w:pPr>
    </w:p>
    <w:p w14:paraId="278A6112" w14:textId="77777777" w:rsidR="00B2199B" w:rsidRPr="00C631C4" w:rsidRDefault="00B2199B" w:rsidP="00B2199B">
      <w:pPr>
        <w:rPr>
          <w:rFonts w:cstheme="minorHAnsi"/>
          <w:sz w:val="21"/>
          <w:szCs w:val="21"/>
        </w:rPr>
      </w:pPr>
      <w:r w:rsidRPr="00C631C4">
        <w:rPr>
          <w:rFonts w:cstheme="minorHAnsi"/>
          <w:iCs/>
          <w:sz w:val="21"/>
          <w:szCs w:val="21"/>
        </w:rPr>
        <w:t>Similarly, the industry commissioned study undertaken in 2019-2020 by The Initiatives Group, covering 3 major banks and 3 smaller issuers</w:t>
      </w:r>
      <w:r w:rsidRPr="00C631C4">
        <w:rPr>
          <w:rFonts w:cstheme="minorHAnsi"/>
          <w:iCs/>
          <w:sz w:val="21"/>
          <w:szCs w:val="21"/>
          <w:lang w:val="en-GB"/>
        </w:rPr>
        <w:t xml:space="preserve"> is instructive of the consultation and time required to collect standardised and consistent data from issuers. We understand that study involved extensive written guidance and direct support to institutions to assist them to </w:t>
      </w:r>
      <w:r w:rsidRPr="00C631C4">
        <w:rPr>
          <w:rFonts w:cstheme="minorHAnsi"/>
          <w:iCs/>
          <w:sz w:val="21"/>
          <w:szCs w:val="21"/>
        </w:rPr>
        <w:t>allocate the costs in a way that aligns with relevant cost categories.</w:t>
      </w:r>
    </w:p>
    <w:p w14:paraId="30922D66" w14:textId="2C3C1944" w:rsidR="009569E5" w:rsidRDefault="00B2199B" w:rsidP="00B2199B">
      <w:pPr>
        <w:rPr>
          <w:rFonts w:cstheme="minorHAnsi"/>
          <w:sz w:val="21"/>
          <w:szCs w:val="21"/>
        </w:rPr>
      </w:pPr>
      <w:r w:rsidRPr="00C631C4">
        <w:rPr>
          <w:rFonts w:cstheme="minorHAnsi"/>
          <w:sz w:val="21"/>
          <w:szCs w:val="21"/>
        </w:rPr>
        <w:t>We note that the RBA “…</w:t>
      </w:r>
      <w:r w:rsidRPr="00C631C4">
        <w:rPr>
          <w:rFonts w:cstheme="minorHAnsi"/>
          <w:i/>
          <w:iCs/>
          <w:sz w:val="21"/>
          <w:szCs w:val="21"/>
        </w:rPr>
        <w:t>drew on methodology used in previous cost studies for collecting data, with modifications…”</w:t>
      </w:r>
      <w:r w:rsidR="00DB6631">
        <w:rPr>
          <w:rStyle w:val="FootnoteReference"/>
          <w:rFonts w:cstheme="minorHAnsi"/>
          <w:i/>
          <w:iCs/>
          <w:sz w:val="21"/>
          <w:szCs w:val="21"/>
        </w:rPr>
        <w:footnoteReference w:id="16"/>
      </w:r>
      <w:r>
        <w:rPr>
          <w:rFonts w:cstheme="minorHAnsi"/>
          <w:i/>
          <w:sz w:val="21"/>
          <w:szCs w:val="21"/>
        </w:rPr>
        <w:t xml:space="preserve"> </w:t>
      </w:r>
      <w:r w:rsidRPr="00C631C4">
        <w:rPr>
          <w:rFonts w:cstheme="minorHAnsi"/>
          <w:sz w:val="21"/>
          <w:szCs w:val="21"/>
        </w:rPr>
        <w:t xml:space="preserve">for </w:t>
      </w:r>
      <w:proofErr w:type="gramStart"/>
      <w:r w:rsidRPr="00C631C4">
        <w:rPr>
          <w:rFonts w:cstheme="minorHAnsi"/>
          <w:sz w:val="21"/>
          <w:szCs w:val="21"/>
        </w:rPr>
        <w:t>a number of</w:t>
      </w:r>
      <w:proofErr w:type="gramEnd"/>
      <w:r w:rsidRPr="00C631C4">
        <w:rPr>
          <w:rFonts w:cstheme="minorHAnsi"/>
          <w:sz w:val="21"/>
          <w:szCs w:val="21"/>
        </w:rPr>
        <w:t xml:space="preserve"> reasons, including time constraints. </w:t>
      </w:r>
      <w:r w:rsidR="00564476">
        <w:rPr>
          <w:rFonts w:cstheme="minorHAnsi"/>
          <w:sz w:val="21"/>
          <w:szCs w:val="21"/>
        </w:rPr>
        <w:t>Consultation</w:t>
      </w:r>
      <w:r w:rsidRPr="00C631C4">
        <w:rPr>
          <w:rFonts w:cstheme="minorHAnsi"/>
          <w:sz w:val="21"/>
          <w:szCs w:val="21"/>
        </w:rPr>
        <w:t xml:space="preserve"> on decisions to vary </w:t>
      </w:r>
      <w:r w:rsidR="006953F3">
        <w:rPr>
          <w:rFonts w:cstheme="minorHAnsi"/>
          <w:sz w:val="21"/>
          <w:szCs w:val="21"/>
        </w:rPr>
        <w:t>the</w:t>
      </w:r>
      <w:r w:rsidRPr="00C631C4">
        <w:rPr>
          <w:rFonts w:cstheme="minorHAnsi"/>
          <w:sz w:val="21"/>
          <w:szCs w:val="21"/>
        </w:rPr>
        <w:t xml:space="preserve"> previous methodology, such as the changes to the activities and costs for inclusion in each cost category</w:t>
      </w:r>
      <w:r>
        <w:rPr>
          <w:rFonts w:cstheme="minorHAnsi"/>
          <w:sz w:val="21"/>
          <w:szCs w:val="21"/>
        </w:rPr>
        <w:t xml:space="preserve"> would</w:t>
      </w:r>
      <w:r w:rsidRPr="00C631C4">
        <w:rPr>
          <w:rFonts w:cstheme="minorHAnsi"/>
          <w:sz w:val="21"/>
          <w:szCs w:val="21"/>
        </w:rPr>
        <w:t xml:space="preserve"> </w:t>
      </w:r>
      <w:r w:rsidR="000F1E87">
        <w:rPr>
          <w:rFonts w:cstheme="minorHAnsi"/>
          <w:sz w:val="21"/>
          <w:szCs w:val="21"/>
        </w:rPr>
        <w:t>have helped to</w:t>
      </w:r>
      <w:r>
        <w:rPr>
          <w:rFonts w:cstheme="minorHAnsi"/>
          <w:sz w:val="21"/>
          <w:szCs w:val="21"/>
        </w:rPr>
        <w:t xml:space="preserve"> </w:t>
      </w:r>
      <w:r w:rsidRPr="00C631C4">
        <w:rPr>
          <w:rFonts w:cstheme="minorHAnsi"/>
          <w:sz w:val="21"/>
          <w:szCs w:val="21"/>
        </w:rPr>
        <w:t xml:space="preserve">ensure </w:t>
      </w:r>
      <w:r w:rsidR="000F1E87">
        <w:rPr>
          <w:rFonts w:cstheme="minorHAnsi"/>
          <w:sz w:val="21"/>
          <w:szCs w:val="21"/>
        </w:rPr>
        <w:t>the</w:t>
      </w:r>
      <w:r w:rsidRPr="00C631C4">
        <w:rPr>
          <w:rFonts w:cstheme="minorHAnsi"/>
          <w:sz w:val="21"/>
          <w:szCs w:val="21"/>
        </w:rPr>
        <w:t xml:space="preserve"> correct data was obtained.</w:t>
      </w:r>
    </w:p>
    <w:p w14:paraId="35F1CF8C" w14:textId="5E3B169E" w:rsidR="00A84984" w:rsidRDefault="00694141">
      <w:pPr>
        <w:spacing w:after="160"/>
        <w:jc w:val="left"/>
        <w:rPr>
          <w:rFonts w:cstheme="minorHAnsi"/>
          <w:b/>
          <w:bCs/>
          <w:sz w:val="21"/>
          <w:szCs w:val="21"/>
        </w:rPr>
      </w:pPr>
      <w:r>
        <w:rPr>
          <w:rFonts w:cstheme="minorHAnsi"/>
          <w:b/>
          <w:bCs/>
          <w:sz w:val="21"/>
          <w:szCs w:val="21"/>
        </w:rPr>
        <w:br w:type="page"/>
      </w:r>
    </w:p>
    <w:p w14:paraId="1C2CA6D2" w14:textId="44CE839F" w:rsidR="00895D3A" w:rsidRPr="0052336F" w:rsidRDefault="008D5BE7" w:rsidP="004202D4">
      <w:pPr>
        <w:pStyle w:val="Header1"/>
      </w:pPr>
      <w:r>
        <w:lastRenderedPageBreak/>
        <w:t>ECONOMIC MODEL AND ASSUMED BENEFITS</w:t>
      </w:r>
    </w:p>
    <w:p w14:paraId="77D7D1B0" w14:textId="792307BE" w:rsidR="000B0AF0" w:rsidRDefault="00FB1967" w:rsidP="00DD0CA3">
      <w:pPr>
        <w:rPr>
          <w:rFonts w:cstheme="minorHAnsi"/>
          <w:sz w:val="21"/>
          <w:szCs w:val="21"/>
        </w:rPr>
      </w:pPr>
      <w:r>
        <w:rPr>
          <w:rFonts w:cstheme="minorHAnsi"/>
          <w:sz w:val="21"/>
          <w:szCs w:val="21"/>
        </w:rPr>
        <w:t>It has been stated</w:t>
      </w:r>
      <w:r w:rsidR="00731684">
        <w:rPr>
          <w:rFonts w:cstheme="minorHAnsi"/>
          <w:sz w:val="21"/>
          <w:szCs w:val="21"/>
        </w:rPr>
        <w:t xml:space="preserve"> that the proposed changes to surcharges</w:t>
      </w:r>
      <w:r w:rsidR="001F00C7">
        <w:rPr>
          <w:rFonts w:cstheme="minorHAnsi"/>
          <w:sz w:val="21"/>
          <w:szCs w:val="21"/>
        </w:rPr>
        <w:t xml:space="preserve"> </w:t>
      </w:r>
      <w:r w:rsidR="000B0AF0" w:rsidRPr="000B0AF0">
        <w:rPr>
          <w:rFonts w:cstheme="minorHAnsi"/>
          <w:i/>
          <w:iCs/>
          <w:sz w:val="21"/>
          <w:szCs w:val="21"/>
        </w:rPr>
        <w:t>“could save consumers a total of $1.2 billion each year”</w:t>
      </w:r>
      <w:r w:rsidR="000B0AF0">
        <w:rPr>
          <w:rFonts w:cstheme="minorHAnsi"/>
          <w:sz w:val="21"/>
          <w:szCs w:val="21"/>
        </w:rPr>
        <w:t xml:space="preserve">, and changes to </w:t>
      </w:r>
      <w:r w:rsidR="00F26BC2">
        <w:rPr>
          <w:rFonts w:cstheme="minorHAnsi"/>
          <w:sz w:val="21"/>
          <w:szCs w:val="21"/>
        </w:rPr>
        <w:t xml:space="preserve">interchange </w:t>
      </w:r>
      <w:r w:rsidR="001C44F3" w:rsidRPr="001C44F3">
        <w:rPr>
          <w:rFonts w:cstheme="minorHAnsi"/>
          <w:i/>
          <w:iCs/>
          <w:sz w:val="21"/>
          <w:szCs w:val="21"/>
        </w:rPr>
        <w:t>“could save businesses around $1.2 billion in interchange fees a year and make 90 per cent of businesses better off”</w:t>
      </w:r>
      <w:r>
        <w:rPr>
          <w:rStyle w:val="FootnoteReference"/>
          <w:rFonts w:cstheme="minorHAnsi"/>
          <w:i/>
          <w:iCs/>
          <w:sz w:val="21"/>
          <w:szCs w:val="21"/>
        </w:rPr>
        <w:footnoteReference w:id="17"/>
      </w:r>
      <w:r w:rsidR="00005FCA">
        <w:rPr>
          <w:rFonts w:cstheme="minorHAnsi"/>
          <w:sz w:val="21"/>
          <w:szCs w:val="21"/>
        </w:rPr>
        <w:t xml:space="preserve">. </w:t>
      </w:r>
      <w:r w:rsidR="00005FCA" w:rsidRPr="4E279791">
        <w:rPr>
          <w:sz w:val="21"/>
          <w:szCs w:val="21"/>
        </w:rPr>
        <w:t>We do not believe that the</w:t>
      </w:r>
      <w:r w:rsidR="00EC19A1">
        <w:rPr>
          <w:sz w:val="21"/>
          <w:szCs w:val="21"/>
        </w:rPr>
        <w:t>se</w:t>
      </w:r>
      <w:r w:rsidR="00005FCA" w:rsidRPr="4E279791">
        <w:rPr>
          <w:sz w:val="21"/>
          <w:szCs w:val="21"/>
        </w:rPr>
        <w:t xml:space="preserve"> assumed benefits will materialise for consumers or Australian businesses.</w:t>
      </w:r>
    </w:p>
    <w:p w14:paraId="58B4A3B1" w14:textId="2DFA5691" w:rsidR="00A5113B" w:rsidRDefault="00DD0CA3" w:rsidP="00DD0CA3">
      <w:pPr>
        <w:rPr>
          <w:rFonts w:cstheme="minorHAnsi"/>
          <w:sz w:val="21"/>
          <w:szCs w:val="21"/>
        </w:rPr>
      </w:pPr>
      <w:r>
        <w:rPr>
          <w:rFonts w:cstheme="minorHAnsi"/>
          <w:sz w:val="21"/>
          <w:szCs w:val="21"/>
        </w:rPr>
        <w:t xml:space="preserve">As the </w:t>
      </w:r>
      <w:r w:rsidR="00BA32F1">
        <w:rPr>
          <w:rFonts w:cstheme="minorHAnsi"/>
          <w:sz w:val="21"/>
          <w:szCs w:val="21"/>
        </w:rPr>
        <w:t xml:space="preserve">Consultation Paper </w:t>
      </w:r>
      <w:r>
        <w:rPr>
          <w:rFonts w:cstheme="minorHAnsi"/>
          <w:sz w:val="21"/>
          <w:szCs w:val="21"/>
        </w:rPr>
        <w:t xml:space="preserve">notes, </w:t>
      </w:r>
      <w:r w:rsidR="00F6510E">
        <w:rPr>
          <w:rFonts w:cstheme="minorHAnsi"/>
          <w:sz w:val="21"/>
          <w:szCs w:val="21"/>
        </w:rPr>
        <w:t xml:space="preserve">modelling of costs and </w:t>
      </w:r>
      <w:r w:rsidRPr="00176E20">
        <w:rPr>
          <w:rFonts w:cstheme="minorHAnsi"/>
          <w:sz w:val="21"/>
          <w:szCs w:val="21"/>
        </w:rPr>
        <w:t xml:space="preserve">benefits </w:t>
      </w:r>
      <w:r w:rsidR="00F6510E">
        <w:rPr>
          <w:rFonts w:cstheme="minorHAnsi"/>
          <w:sz w:val="21"/>
          <w:szCs w:val="21"/>
        </w:rPr>
        <w:t>in the paper</w:t>
      </w:r>
      <w:r>
        <w:rPr>
          <w:rFonts w:cstheme="minorHAnsi"/>
          <w:sz w:val="21"/>
          <w:szCs w:val="21"/>
        </w:rPr>
        <w:t xml:space="preserve"> </w:t>
      </w:r>
      <w:r w:rsidRPr="00176E20">
        <w:rPr>
          <w:rFonts w:cstheme="minorHAnsi"/>
          <w:sz w:val="21"/>
          <w:szCs w:val="21"/>
        </w:rPr>
        <w:t xml:space="preserve">does not consider </w:t>
      </w:r>
      <w:r w:rsidR="005340C5">
        <w:rPr>
          <w:rFonts w:cstheme="minorHAnsi"/>
          <w:sz w:val="21"/>
          <w:szCs w:val="21"/>
        </w:rPr>
        <w:t xml:space="preserve">the responses by </w:t>
      </w:r>
      <w:r w:rsidRPr="00176E20">
        <w:rPr>
          <w:rFonts w:cstheme="minorHAnsi"/>
          <w:sz w:val="21"/>
          <w:szCs w:val="21"/>
        </w:rPr>
        <w:t>market participants</w:t>
      </w:r>
      <w:r w:rsidR="0074570D">
        <w:rPr>
          <w:rFonts w:cstheme="minorHAnsi"/>
          <w:sz w:val="21"/>
          <w:szCs w:val="21"/>
        </w:rPr>
        <w:t xml:space="preserve"> in </w:t>
      </w:r>
      <w:r w:rsidR="007A3AF8">
        <w:rPr>
          <w:rFonts w:cstheme="minorHAnsi"/>
          <w:sz w:val="21"/>
          <w:szCs w:val="21"/>
        </w:rPr>
        <w:t xml:space="preserve">its determination of assumed </w:t>
      </w:r>
      <w:r w:rsidR="00FF7D7F">
        <w:rPr>
          <w:rFonts w:cstheme="minorHAnsi"/>
          <w:sz w:val="21"/>
          <w:szCs w:val="21"/>
        </w:rPr>
        <w:t xml:space="preserve">benefits. </w:t>
      </w:r>
      <w:r>
        <w:rPr>
          <w:rFonts w:cstheme="minorHAnsi"/>
          <w:sz w:val="21"/>
          <w:szCs w:val="21"/>
        </w:rPr>
        <w:t>These effects are important to consider when setting policy</w:t>
      </w:r>
      <w:r w:rsidR="00703B48">
        <w:rPr>
          <w:rFonts w:cstheme="minorHAnsi"/>
          <w:sz w:val="21"/>
          <w:szCs w:val="21"/>
        </w:rPr>
        <w:t>, particularly when the changes are material.</w:t>
      </w:r>
    </w:p>
    <w:p w14:paraId="6F1677CA" w14:textId="24A0B8F5" w:rsidR="00DD0CA3" w:rsidRPr="00176E20" w:rsidRDefault="00EA1202" w:rsidP="4E279791">
      <w:pPr>
        <w:rPr>
          <w:sz w:val="21"/>
          <w:szCs w:val="21"/>
        </w:rPr>
      </w:pPr>
      <w:r>
        <w:rPr>
          <w:sz w:val="21"/>
          <w:szCs w:val="21"/>
        </w:rPr>
        <w:t xml:space="preserve">The </w:t>
      </w:r>
      <w:r w:rsidR="00F16232" w:rsidRPr="4E279791">
        <w:rPr>
          <w:sz w:val="21"/>
          <w:szCs w:val="21"/>
        </w:rPr>
        <w:t xml:space="preserve">Commonwealth Bank has </w:t>
      </w:r>
      <w:r w:rsidR="00CD2990" w:rsidRPr="4E279791">
        <w:rPr>
          <w:sz w:val="21"/>
          <w:szCs w:val="21"/>
        </w:rPr>
        <w:t xml:space="preserve">engaged </w:t>
      </w:r>
      <w:r w:rsidR="007B004B" w:rsidRPr="4E279791">
        <w:rPr>
          <w:sz w:val="21"/>
          <w:szCs w:val="21"/>
        </w:rPr>
        <w:t xml:space="preserve">Mandala Partners </w:t>
      </w:r>
      <w:r w:rsidR="000C480D" w:rsidRPr="4E279791">
        <w:rPr>
          <w:sz w:val="21"/>
          <w:szCs w:val="21"/>
        </w:rPr>
        <w:t xml:space="preserve">to </w:t>
      </w:r>
      <w:r w:rsidR="004E1B63">
        <w:rPr>
          <w:sz w:val="21"/>
          <w:szCs w:val="21"/>
        </w:rPr>
        <w:t>model</w:t>
      </w:r>
      <w:r w:rsidR="00FC3911" w:rsidRPr="4E279791">
        <w:rPr>
          <w:sz w:val="21"/>
          <w:szCs w:val="21"/>
        </w:rPr>
        <w:t xml:space="preserve"> </w:t>
      </w:r>
      <w:r w:rsidR="00A5113B" w:rsidRPr="4E279791">
        <w:rPr>
          <w:sz w:val="21"/>
          <w:szCs w:val="21"/>
        </w:rPr>
        <w:t xml:space="preserve">the costs and benefits, </w:t>
      </w:r>
      <w:proofErr w:type="gramStart"/>
      <w:r w:rsidR="00A5113B" w:rsidRPr="4E279791">
        <w:rPr>
          <w:sz w:val="21"/>
          <w:szCs w:val="21"/>
        </w:rPr>
        <w:t>taking into account</w:t>
      </w:r>
      <w:proofErr w:type="gramEnd"/>
      <w:r w:rsidR="00A5113B" w:rsidRPr="4E279791">
        <w:rPr>
          <w:sz w:val="21"/>
          <w:szCs w:val="21"/>
        </w:rPr>
        <w:t xml:space="preserve"> these </w:t>
      </w:r>
      <w:r w:rsidR="00914B2D">
        <w:rPr>
          <w:sz w:val="21"/>
          <w:szCs w:val="21"/>
        </w:rPr>
        <w:t xml:space="preserve">second-order </w:t>
      </w:r>
      <w:r w:rsidR="00A5113B" w:rsidRPr="4E279791">
        <w:rPr>
          <w:sz w:val="21"/>
          <w:szCs w:val="21"/>
        </w:rPr>
        <w:t xml:space="preserve">dynamics. </w:t>
      </w:r>
      <w:r w:rsidR="0009712C">
        <w:rPr>
          <w:sz w:val="21"/>
          <w:szCs w:val="21"/>
        </w:rPr>
        <w:t xml:space="preserve">With their help, we </w:t>
      </w:r>
      <w:r w:rsidR="00DD0CA3" w:rsidRPr="4E279791">
        <w:rPr>
          <w:sz w:val="21"/>
          <w:szCs w:val="21"/>
        </w:rPr>
        <w:t xml:space="preserve">have looked to precedent in other markets, and from prior interchange changes in Australia to inform </w:t>
      </w:r>
      <w:r w:rsidR="004C5C3E" w:rsidRPr="4E279791">
        <w:rPr>
          <w:sz w:val="21"/>
          <w:szCs w:val="21"/>
        </w:rPr>
        <w:t>assumptions</w:t>
      </w:r>
      <w:r w:rsidR="003F22B5" w:rsidRPr="4E279791">
        <w:rPr>
          <w:sz w:val="21"/>
          <w:szCs w:val="21"/>
        </w:rPr>
        <w:t>.</w:t>
      </w:r>
      <w:r w:rsidR="00DD0CA3" w:rsidRPr="4E279791">
        <w:rPr>
          <w:sz w:val="21"/>
          <w:szCs w:val="21"/>
        </w:rPr>
        <w:t xml:space="preserve"> </w:t>
      </w:r>
    </w:p>
    <w:p w14:paraId="06C7B5C4" w14:textId="7F34E5E1" w:rsidR="00A13E57" w:rsidRDefault="0009712C" w:rsidP="00DD0CA3">
      <w:pPr>
        <w:rPr>
          <w:rFonts w:cstheme="minorHAnsi"/>
          <w:sz w:val="21"/>
          <w:szCs w:val="21"/>
        </w:rPr>
      </w:pPr>
      <w:r>
        <w:rPr>
          <w:rFonts w:cstheme="minorHAnsi"/>
          <w:sz w:val="21"/>
          <w:szCs w:val="21"/>
        </w:rPr>
        <w:t xml:space="preserve">The </w:t>
      </w:r>
      <w:r w:rsidR="00DD0CA3" w:rsidRPr="00BF20C3">
        <w:rPr>
          <w:rFonts w:cstheme="minorHAnsi"/>
          <w:sz w:val="21"/>
          <w:szCs w:val="21"/>
        </w:rPr>
        <w:t>modelling</w:t>
      </w:r>
      <w:r w:rsidR="002D2D95">
        <w:rPr>
          <w:rFonts w:cstheme="minorHAnsi"/>
          <w:sz w:val="21"/>
          <w:szCs w:val="21"/>
        </w:rPr>
        <w:t xml:space="preserve"> </w:t>
      </w:r>
      <w:r w:rsidR="00DD0CA3" w:rsidRPr="00BF20C3">
        <w:rPr>
          <w:rFonts w:cstheme="minorHAnsi"/>
          <w:sz w:val="21"/>
          <w:szCs w:val="21"/>
        </w:rPr>
        <w:t xml:space="preserve">shows </w:t>
      </w:r>
      <w:r w:rsidR="002D2D95">
        <w:rPr>
          <w:rFonts w:cstheme="minorHAnsi"/>
          <w:sz w:val="21"/>
          <w:szCs w:val="21"/>
        </w:rPr>
        <w:t xml:space="preserve">that </w:t>
      </w:r>
      <w:r w:rsidR="00DD0CA3" w:rsidRPr="00BF20C3">
        <w:rPr>
          <w:rFonts w:cstheme="minorHAnsi"/>
          <w:sz w:val="21"/>
          <w:szCs w:val="21"/>
        </w:rPr>
        <w:t>under the proposed interventions</w:t>
      </w:r>
      <w:r w:rsidR="00DC2DF4">
        <w:rPr>
          <w:rFonts w:cstheme="minorHAnsi"/>
          <w:sz w:val="21"/>
          <w:szCs w:val="21"/>
        </w:rPr>
        <w:t>,</w:t>
      </w:r>
      <w:r w:rsidR="00DD0CA3" w:rsidRPr="00BF20C3">
        <w:rPr>
          <w:rFonts w:cstheme="minorHAnsi"/>
          <w:sz w:val="21"/>
          <w:szCs w:val="21"/>
        </w:rPr>
        <w:t xml:space="preserve"> consumers will be worse off as they face higher rates and fees</w:t>
      </w:r>
      <w:r w:rsidR="00DD0CA3">
        <w:rPr>
          <w:rStyle w:val="FootnoteReference"/>
          <w:rFonts w:cstheme="minorHAnsi"/>
          <w:sz w:val="21"/>
          <w:szCs w:val="21"/>
        </w:rPr>
        <w:footnoteReference w:id="18"/>
      </w:r>
      <w:r w:rsidR="00DD0CA3" w:rsidRPr="00BF20C3">
        <w:rPr>
          <w:rFonts w:cstheme="minorHAnsi"/>
          <w:sz w:val="21"/>
          <w:szCs w:val="21"/>
        </w:rPr>
        <w:t>, less access to credit, and loss of benefits including rewards</w:t>
      </w:r>
      <w:r w:rsidR="00DC2DF4">
        <w:rPr>
          <w:rFonts w:cstheme="minorHAnsi"/>
          <w:sz w:val="21"/>
          <w:szCs w:val="21"/>
        </w:rPr>
        <w:t xml:space="preserve">. </w:t>
      </w:r>
      <w:r w:rsidR="00A13E57">
        <w:rPr>
          <w:rFonts w:cstheme="minorHAnsi"/>
          <w:sz w:val="21"/>
          <w:szCs w:val="21"/>
        </w:rPr>
        <w:t xml:space="preserve">These costs </w:t>
      </w:r>
      <w:r w:rsidR="00B45E05">
        <w:rPr>
          <w:rFonts w:cstheme="minorHAnsi"/>
          <w:sz w:val="21"/>
          <w:szCs w:val="21"/>
        </w:rPr>
        <w:t xml:space="preserve">more than </w:t>
      </w:r>
      <w:r w:rsidR="0041271B">
        <w:rPr>
          <w:rFonts w:cstheme="minorHAnsi"/>
          <w:sz w:val="21"/>
          <w:szCs w:val="21"/>
        </w:rPr>
        <w:t xml:space="preserve">offset </w:t>
      </w:r>
      <w:r w:rsidR="00A13E57">
        <w:rPr>
          <w:rFonts w:cstheme="minorHAnsi"/>
          <w:sz w:val="21"/>
          <w:szCs w:val="21"/>
        </w:rPr>
        <w:t xml:space="preserve">any </w:t>
      </w:r>
      <w:r w:rsidR="00DD0CA3" w:rsidRPr="00BF20C3">
        <w:rPr>
          <w:rFonts w:cstheme="minorHAnsi"/>
          <w:sz w:val="21"/>
          <w:szCs w:val="21"/>
        </w:rPr>
        <w:t xml:space="preserve">benefits </w:t>
      </w:r>
      <w:r w:rsidR="00DD0CA3">
        <w:rPr>
          <w:rFonts w:cstheme="minorHAnsi"/>
          <w:sz w:val="21"/>
          <w:szCs w:val="21"/>
        </w:rPr>
        <w:t xml:space="preserve">from </w:t>
      </w:r>
      <w:r w:rsidR="00DD0CA3" w:rsidRPr="00BF20C3">
        <w:rPr>
          <w:rFonts w:cstheme="minorHAnsi"/>
          <w:sz w:val="21"/>
          <w:szCs w:val="21"/>
        </w:rPr>
        <w:t>banning surcharging</w:t>
      </w:r>
      <w:r w:rsidR="000C480D">
        <w:rPr>
          <w:rFonts w:cstheme="minorHAnsi"/>
          <w:sz w:val="21"/>
          <w:szCs w:val="21"/>
        </w:rPr>
        <w:t xml:space="preserve">, which we estimate </w:t>
      </w:r>
      <w:r w:rsidR="002B60BD">
        <w:rPr>
          <w:rFonts w:cstheme="minorHAnsi"/>
          <w:sz w:val="21"/>
          <w:szCs w:val="21"/>
        </w:rPr>
        <w:t xml:space="preserve">based on experience in other markets </w:t>
      </w:r>
      <w:r w:rsidR="000C480D">
        <w:rPr>
          <w:rFonts w:cstheme="minorHAnsi"/>
          <w:sz w:val="21"/>
          <w:szCs w:val="21"/>
        </w:rPr>
        <w:t xml:space="preserve">will be largely </w:t>
      </w:r>
      <w:r w:rsidR="006900B0">
        <w:rPr>
          <w:rFonts w:cstheme="minorHAnsi"/>
          <w:sz w:val="21"/>
          <w:szCs w:val="21"/>
        </w:rPr>
        <w:t>passed on</w:t>
      </w:r>
      <w:r w:rsidR="00704CA3">
        <w:rPr>
          <w:rFonts w:cstheme="minorHAnsi"/>
          <w:sz w:val="21"/>
          <w:szCs w:val="21"/>
        </w:rPr>
        <w:t xml:space="preserve"> by merchants incorporating payments costs in their end consumer price.</w:t>
      </w:r>
      <w:r w:rsidR="00D802C7">
        <w:rPr>
          <w:rStyle w:val="FootnoteReference"/>
          <w:rFonts w:cstheme="minorHAnsi"/>
          <w:sz w:val="21"/>
          <w:szCs w:val="21"/>
        </w:rPr>
        <w:footnoteReference w:id="19"/>
      </w:r>
      <w:r w:rsidR="00DD0CA3" w:rsidRPr="00BF20C3">
        <w:rPr>
          <w:rFonts w:cstheme="minorHAnsi"/>
          <w:sz w:val="21"/>
          <w:szCs w:val="21"/>
        </w:rPr>
        <w:t xml:space="preserve"> </w:t>
      </w:r>
      <w:r>
        <w:rPr>
          <w:rFonts w:cstheme="minorHAnsi"/>
          <w:sz w:val="21"/>
          <w:szCs w:val="21"/>
        </w:rPr>
        <w:t>Some merchants will be unable to pass on these costs and will experience reduced margins.</w:t>
      </w:r>
      <w:r w:rsidR="004E6D66">
        <w:rPr>
          <w:rFonts w:cstheme="minorHAnsi"/>
          <w:sz w:val="21"/>
          <w:szCs w:val="21"/>
        </w:rPr>
        <w:t xml:space="preserve"> </w:t>
      </w:r>
    </w:p>
    <w:p w14:paraId="4BFE6C5B" w14:textId="3186CFFE" w:rsidR="00DD0CA3" w:rsidRPr="00BF20C3" w:rsidRDefault="00DD0CA3" w:rsidP="00DD0CA3">
      <w:pPr>
        <w:rPr>
          <w:rFonts w:cstheme="minorHAnsi"/>
          <w:sz w:val="21"/>
          <w:szCs w:val="21"/>
        </w:rPr>
      </w:pPr>
      <w:r>
        <w:rPr>
          <w:rFonts w:cstheme="minorHAnsi"/>
          <w:sz w:val="21"/>
          <w:szCs w:val="21"/>
        </w:rPr>
        <w:t>Further</w:t>
      </w:r>
      <w:r w:rsidRPr="00BF20C3">
        <w:rPr>
          <w:rFonts w:cstheme="minorHAnsi"/>
          <w:sz w:val="21"/>
          <w:szCs w:val="21"/>
        </w:rPr>
        <w:t xml:space="preserve">, small businesses will be worse off as regulated card interchange reductions </w:t>
      </w:r>
      <w:r w:rsidR="006B153C">
        <w:rPr>
          <w:rFonts w:cstheme="minorHAnsi"/>
          <w:sz w:val="21"/>
          <w:szCs w:val="21"/>
        </w:rPr>
        <w:t>are</w:t>
      </w:r>
      <w:r w:rsidRPr="00BF20C3">
        <w:rPr>
          <w:rFonts w:cstheme="minorHAnsi"/>
          <w:sz w:val="21"/>
          <w:szCs w:val="21"/>
        </w:rPr>
        <w:t xml:space="preserve"> not </w:t>
      </w:r>
      <w:r w:rsidR="006B153C">
        <w:rPr>
          <w:rFonts w:cstheme="minorHAnsi"/>
          <w:sz w:val="21"/>
          <w:szCs w:val="21"/>
        </w:rPr>
        <w:t>passed on by</w:t>
      </w:r>
      <w:r w:rsidR="00CF65C6">
        <w:rPr>
          <w:rFonts w:cstheme="minorHAnsi"/>
          <w:sz w:val="21"/>
          <w:szCs w:val="21"/>
        </w:rPr>
        <w:t xml:space="preserve"> acquirers</w:t>
      </w:r>
      <w:r w:rsidRPr="00BF20C3">
        <w:rPr>
          <w:rFonts w:cstheme="minorHAnsi"/>
          <w:sz w:val="21"/>
          <w:szCs w:val="21"/>
        </w:rPr>
        <w:t xml:space="preserve">, </w:t>
      </w:r>
      <w:r w:rsidR="001F24D9">
        <w:rPr>
          <w:rFonts w:cstheme="minorHAnsi"/>
          <w:sz w:val="21"/>
          <w:szCs w:val="21"/>
        </w:rPr>
        <w:t xml:space="preserve">card </w:t>
      </w:r>
      <w:r w:rsidRPr="00BF20C3">
        <w:rPr>
          <w:rFonts w:cstheme="minorHAnsi"/>
          <w:sz w:val="21"/>
          <w:szCs w:val="21"/>
        </w:rPr>
        <w:t xml:space="preserve">mix shifts to more expensive unregulated payments, and </w:t>
      </w:r>
      <w:r w:rsidR="00D45D3F">
        <w:rPr>
          <w:rFonts w:cstheme="minorHAnsi"/>
          <w:sz w:val="21"/>
          <w:szCs w:val="21"/>
        </w:rPr>
        <w:t xml:space="preserve">small businesses </w:t>
      </w:r>
      <w:r w:rsidRPr="00BF20C3">
        <w:rPr>
          <w:rFonts w:cstheme="minorHAnsi"/>
          <w:sz w:val="21"/>
          <w:szCs w:val="21"/>
        </w:rPr>
        <w:t>lose the benefits of commercial cards that play a key role in their management of working capital.</w:t>
      </w:r>
    </w:p>
    <w:p w14:paraId="17EC57FD" w14:textId="4CE1EFEB" w:rsidR="00E842D7" w:rsidRPr="00BF20C3" w:rsidRDefault="00E842D7" w:rsidP="00DD0CA3">
      <w:pPr>
        <w:rPr>
          <w:rFonts w:cstheme="minorHAnsi"/>
          <w:sz w:val="21"/>
          <w:szCs w:val="21"/>
        </w:rPr>
      </w:pPr>
      <w:bookmarkStart w:id="3" w:name="_Hlk208175605"/>
      <w:r>
        <w:rPr>
          <w:rFonts w:cstheme="minorHAnsi"/>
          <w:sz w:val="21"/>
          <w:szCs w:val="21"/>
        </w:rPr>
        <w:t xml:space="preserve">Almost </w:t>
      </w:r>
      <w:proofErr w:type="gramStart"/>
      <w:r>
        <w:rPr>
          <w:rFonts w:cstheme="minorHAnsi"/>
          <w:sz w:val="21"/>
          <w:szCs w:val="21"/>
        </w:rPr>
        <w:t>all of</w:t>
      </w:r>
      <w:proofErr w:type="gramEnd"/>
      <w:r>
        <w:rPr>
          <w:rFonts w:cstheme="minorHAnsi"/>
          <w:sz w:val="21"/>
          <w:szCs w:val="21"/>
        </w:rPr>
        <w:t xml:space="preserve"> the costs will be borne by the </w:t>
      </w:r>
      <w:r w:rsidR="001A20EA">
        <w:rPr>
          <w:rFonts w:cstheme="minorHAnsi"/>
          <w:sz w:val="21"/>
          <w:szCs w:val="21"/>
        </w:rPr>
        <w:t xml:space="preserve">domestic card issuers. These are the entities that </w:t>
      </w:r>
      <w:r w:rsidR="00BA68B2">
        <w:rPr>
          <w:rFonts w:cstheme="minorHAnsi"/>
          <w:sz w:val="21"/>
          <w:szCs w:val="21"/>
        </w:rPr>
        <w:t>fund</w:t>
      </w:r>
      <w:r w:rsidR="00861707">
        <w:rPr>
          <w:rFonts w:cstheme="minorHAnsi"/>
          <w:sz w:val="21"/>
          <w:szCs w:val="21"/>
        </w:rPr>
        <w:t xml:space="preserve"> the</w:t>
      </w:r>
      <w:r w:rsidR="00A95C65">
        <w:rPr>
          <w:rFonts w:cstheme="minorHAnsi"/>
          <w:sz w:val="21"/>
          <w:szCs w:val="21"/>
        </w:rPr>
        <w:t xml:space="preserve"> </w:t>
      </w:r>
      <w:r w:rsidR="00A05360">
        <w:rPr>
          <w:rFonts w:cstheme="minorHAnsi"/>
          <w:sz w:val="21"/>
          <w:szCs w:val="21"/>
        </w:rPr>
        <w:t xml:space="preserve">domestic </w:t>
      </w:r>
      <w:r w:rsidR="00BA68B2">
        <w:rPr>
          <w:rFonts w:cstheme="minorHAnsi"/>
          <w:sz w:val="21"/>
          <w:szCs w:val="21"/>
        </w:rPr>
        <w:t xml:space="preserve">infrastructure, </w:t>
      </w:r>
      <w:r w:rsidR="00C41CD6">
        <w:rPr>
          <w:rFonts w:cstheme="minorHAnsi"/>
          <w:sz w:val="21"/>
          <w:szCs w:val="21"/>
        </w:rPr>
        <w:t xml:space="preserve">risk, regulatory </w:t>
      </w:r>
      <w:r w:rsidR="00A05360">
        <w:rPr>
          <w:rFonts w:cstheme="minorHAnsi"/>
          <w:sz w:val="21"/>
          <w:szCs w:val="21"/>
        </w:rPr>
        <w:t xml:space="preserve">and operational costs </w:t>
      </w:r>
      <w:r w:rsidR="00C41CD6">
        <w:rPr>
          <w:rFonts w:cstheme="minorHAnsi"/>
          <w:sz w:val="21"/>
          <w:szCs w:val="21"/>
        </w:rPr>
        <w:t xml:space="preserve">of the system. </w:t>
      </w:r>
      <w:r w:rsidR="005838D8">
        <w:rPr>
          <w:rFonts w:cstheme="minorHAnsi"/>
          <w:sz w:val="21"/>
          <w:szCs w:val="21"/>
        </w:rPr>
        <w:t xml:space="preserve">It will be these entities that will need to support the national agenda in the event of a crisis. </w:t>
      </w:r>
      <w:bookmarkEnd w:id="3"/>
    </w:p>
    <w:p w14:paraId="35469FC3" w14:textId="77777777" w:rsidR="006411FF" w:rsidRDefault="00DD0CA3" w:rsidP="00FF7930">
      <w:pPr>
        <w:rPr>
          <w:rFonts w:cstheme="minorHAnsi"/>
          <w:sz w:val="21"/>
          <w:szCs w:val="21"/>
        </w:rPr>
      </w:pPr>
      <w:r w:rsidRPr="00BF20C3">
        <w:rPr>
          <w:rFonts w:cstheme="minorHAnsi"/>
          <w:sz w:val="21"/>
          <w:szCs w:val="21"/>
        </w:rPr>
        <w:t>More notable are the unintended beneficiaries of this policy. The three-party schemes have no wholesale cost to regulate</w:t>
      </w:r>
      <w:r w:rsidR="00F130E6">
        <w:rPr>
          <w:rFonts w:cstheme="minorHAnsi"/>
          <w:sz w:val="21"/>
          <w:szCs w:val="21"/>
        </w:rPr>
        <w:t xml:space="preserve">, and </w:t>
      </w:r>
      <w:r w:rsidR="004763C3">
        <w:rPr>
          <w:rFonts w:cstheme="minorHAnsi"/>
          <w:sz w:val="21"/>
          <w:szCs w:val="21"/>
        </w:rPr>
        <w:t xml:space="preserve">there is no certainty </w:t>
      </w:r>
      <w:r w:rsidR="000E5A36">
        <w:rPr>
          <w:rFonts w:cstheme="minorHAnsi"/>
          <w:sz w:val="21"/>
          <w:szCs w:val="21"/>
        </w:rPr>
        <w:t xml:space="preserve">of regulation </w:t>
      </w:r>
      <w:r w:rsidR="00003906">
        <w:rPr>
          <w:rFonts w:cstheme="minorHAnsi"/>
          <w:sz w:val="21"/>
          <w:szCs w:val="21"/>
        </w:rPr>
        <w:t xml:space="preserve">under the newly </w:t>
      </w:r>
      <w:r w:rsidR="000B17B5">
        <w:rPr>
          <w:rFonts w:cstheme="minorHAnsi"/>
          <w:sz w:val="21"/>
          <w:szCs w:val="21"/>
        </w:rPr>
        <w:t>amended</w:t>
      </w:r>
      <w:r w:rsidR="00003906">
        <w:rPr>
          <w:rFonts w:cstheme="minorHAnsi"/>
          <w:sz w:val="21"/>
          <w:szCs w:val="21"/>
        </w:rPr>
        <w:t xml:space="preserve"> </w:t>
      </w:r>
      <w:r w:rsidR="00ED4F67">
        <w:rPr>
          <w:rFonts w:cstheme="minorHAnsi"/>
          <w:sz w:val="21"/>
          <w:szCs w:val="21"/>
        </w:rPr>
        <w:t>PSRA</w:t>
      </w:r>
      <w:r w:rsidRPr="00BF20C3">
        <w:rPr>
          <w:rFonts w:cstheme="minorHAnsi"/>
          <w:sz w:val="21"/>
          <w:szCs w:val="21"/>
        </w:rPr>
        <w:t>. They are likely to be the single biggest beneficiary</w:t>
      </w:r>
      <w:r w:rsidR="007F3347">
        <w:rPr>
          <w:rFonts w:cstheme="minorHAnsi"/>
          <w:sz w:val="21"/>
          <w:szCs w:val="21"/>
        </w:rPr>
        <w:t>, extracting an extra</w:t>
      </w:r>
      <w:r w:rsidRPr="00BF20C3">
        <w:rPr>
          <w:rFonts w:cstheme="minorHAnsi"/>
          <w:sz w:val="21"/>
          <w:szCs w:val="21"/>
        </w:rPr>
        <w:t xml:space="preserve"> $</w:t>
      </w:r>
      <w:r w:rsidR="00F47832">
        <w:rPr>
          <w:rFonts w:cstheme="minorHAnsi"/>
          <w:sz w:val="21"/>
          <w:szCs w:val="21"/>
        </w:rPr>
        <w:t>370-</w:t>
      </w:r>
      <w:r w:rsidRPr="00BF20C3" w:rsidDel="00F47832">
        <w:rPr>
          <w:rFonts w:cstheme="minorHAnsi"/>
          <w:sz w:val="21"/>
          <w:szCs w:val="21"/>
        </w:rPr>
        <w:t>650</w:t>
      </w:r>
      <w:r w:rsidRPr="00BF20C3">
        <w:rPr>
          <w:rFonts w:cstheme="minorHAnsi"/>
          <w:sz w:val="21"/>
          <w:szCs w:val="21"/>
        </w:rPr>
        <w:t xml:space="preserve"> million from the payments system, largely from businesses paying higher payments costs</w:t>
      </w:r>
      <w:r>
        <w:rPr>
          <w:rFonts w:cstheme="minorHAnsi"/>
          <w:sz w:val="21"/>
          <w:szCs w:val="21"/>
        </w:rPr>
        <w:t xml:space="preserve"> as more consumers and businesses use these methods</w:t>
      </w:r>
      <w:r w:rsidRPr="00BF20C3">
        <w:rPr>
          <w:rFonts w:cstheme="minorHAnsi"/>
          <w:sz w:val="21"/>
          <w:szCs w:val="21"/>
        </w:rPr>
        <w:t>.</w:t>
      </w:r>
    </w:p>
    <w:p w14:paraId="7A8FAF27" w14:textId="0855029C" w:rsidR="00DD0CA3" w:rsidRDefault="00082F19" w:rsidP="00FF7930">
      <w:pPr>
        <w:rPr>
          <w:rFonts w:cstheme="minorHAnsi"/>
          <w:sz w:val="21"/>
          <w:szCs w:val="21"/>
        </w:rPr>
      </w:pPr>
      <w:r>
        <w:rPr>
          <w:rFonts w:cstheme="minorHAnsi"/>
          <w:sz w:val="21"/>
          <w:szCs w:val="21"/>
        </w:rPr>
        <w:t xml:space="preserve">Merchants </w:t>
      </w:r>
      <w:r w:rsidR="00571FB0">
        <w:rPr>
          <w:rFonts w:cstheme="minorHAnsi"/>
          <w:sz w:val="21"/>
          <w:szCs w:val="21"/>
        </w:rPr>
        <w:t xml:space="preserve">will be less able to </w:t>
      </w:r>
      <w:r w:rsidR="00E02AD2">
        <w:rPr>
          <w:rFonts w:cstheme="minorHAnsi"/>
          <w:sz w:val="21"/>
          <w:szCs w:val="21"/>
        </w:rPr>
        <w:t xml:space="preserve">cease acceptance of </w:t>
      </w:r>
      <w:r w:rsidR="00AA57C4">
        <w:rPr>
          <w:rFonts w:cstheme="minorHAnsi"/>
          <w:sz w:val="21"/>
          <w:szCs w:val="21"/>
        </w:rPr>
        <w:t>three-party schemes</w:t>
      </w:r>
      <w:r w:rsidR="00E02AD2">
        <w:rPr>
          <w:rFonts w:cstheme="minorHAnsi"/>
          <w:sz w:val="21"/>
          <w:szCs w:val="21"/>
        </w:rPr>
        <w:t xml:space="preserve"> as</w:t>
      </w:r>
      <w:r w:rsidR="00AA57C4">
        <w:rPr>
          <w:rFonts w:cstheme="minorHAnsi"/>
          <w:sz w:val="21"/>
          <w:szCs w:val="21"/>
        </w:rPr>
        <w:t xml:space="preserve"> they attract</w:t>
      </w:r>
      <w:r w:rsidR="0009712C">
        <w:rPr>
          <w:rFonts w:cstheme="minorHAnsi"/>
          <w:sz w:val="21"/>
          <w:szCs w:val="21"/>
        </w:rPr>
        <w:t xml:space="preserve"> </w:t>
      </w:r>
      <w:r w:rsidR="00A13385">
        <w:rPr>
          <w:rFonts w:cstheme="minorHAnsi"/>
          <w:sz w:val="21"/>
          <w:szCs w:val="21"/>
        </w:rPr>
        <w:t>high spending</w:t>
      </w:r>
      <w:r w:rsidR="0009712C">
        <w:rPr>
          <w:rFonts w:cstheme="minorHAnsi"/>
          <w:sz w:val="21"/>
          <w:szCs w:val="21"/>
        </w:rPr>
        <w:t xml:space="preserve"> customers </w:t>
      </w:r>
      <w:r w:rsidR="00EB7D53">
        <w:rPr>
          <w:rFonts w:cstheme="minorHAnsi"/>
          <w:sz w:val="21"/>
          <w:szCs w:val="21"/>
        </w:rPr>
        <w:t>and small businesses</w:t>
      </w:r>
      <w:r w:rsidR="0009712C">
        <w:rPr>
          <w:rFonts w:cstheme="minorHAnsi"/>
          <w:sz w:val="21"/>
          <w:szCs w:val="21"/>
        </w:rPr>
        <w:t xml:space="preserve"> who seek frequent flyer or other awards points</w:t>
      </w:r>
      <w:r w:rsidR="00424F0A">
        <w:rPr>
          <w:rFonts w:cstheme="minorHAnsi"/>
          <w:sz w:val="21"/>
          <w:szCs w:val="21"/>
        </w:rPr>
        <w:t xml:space="preserve">. </w:t>
      </w:r>
      <w:r w:rsidR="006B6480">
        <w:rPr>
          <w:rFonts w:cstheme="minorHAnsi"/>
          <w:sz w:val="21"/>
          <w:szCs w:val="21"/>
        </w:rPr>
        <w:t>T</w:t>
      </w:r>
      <w:r w:rsidR="00AA57C4">
        <w:rPr>
          <w:rFonts w:cstheme="minorHAnsi"/>
          <w:sz w:val="21"/>
          <w:szCs w:val="21"/>
        </w:rPr>
        <w:t>hi</w:t>
      </w:r>
      <w:r w:rsidR="00424F0A">
        <w:rPr>
          <w:rFonts w:cstheme="minorHAnsi"/>
          <w:sz w:val="21"/>
          <w:szCs w:val="21"/>
        </w:rPr>
        <w:t>s growth will accelerate as</w:t>
      </w:r>
      <w:r w:rsidR="00F5019E">
        <w:rPr>
          <w:rFonts w:cstheme="minorHAnsi"/>
          <w:sz w:val="21"/>
          <w:szCs w:val="21"/>
        </w:rPr>
        <w:t xml:space="preserve"> domestic issuers of regulated credit and charge cards degrade propositions to support unit economics as outlined above.</w:t>
      </w:r>
    </w:p>
    <w:p w14:paraId="24225756" w14:textId="4051D1E5" w:rsidR="00D656CB" w:rsidRPr="00BF20C3" w:rsidRDefault="00D656CB" w:rsidP="00D656CB">
      <w:pPr>
        <w:rPr>
          <w:rFonts w:cstheme="minorHAnsi"/>
          <w:sz w:val="21"/>
          <w:szCs w:val="21"/>
        </w:rPr>
      </w:pPr>
      <w:r>
        <w:rPr>
          <w:rFonts w:cstheme="minorHAnsi"/>
          <w:sz w:val="21"/>
          <w:szCs w:val="21"/>
        </w:rPr>
        <w:t>A</w:t>
      </w:r>
      <w:r w:rsidRPr="00BF20C3">
        <w:rPr>
          <w:rFonts w:cstheme="minorHAnsi"/>
          <w:sz w:val="21"/>
          <w:szCs w:val="21"/>
        </w:rPr>
        <w:t>cquirers that don’t pass on interchange savings</w:t>
      </w:r>
      <w:r>
        <w:rPr>
          <w:rFonts w:cstheme="minorHAnsi"/>
          <w:sz w:val="21"/>
          <w:szCs w:val="21"/>
        </w:rPr>
        <w:t xml:space="preserve"> will also benefit. These will predominantly be </w:t>
      </w:r>
      <w:r w:rsidRPr="00BF20C3">
        <w:rPr>
          <w:rFonts w:cstheme="minorHAnsi"/>
          <w:sz w:val="21"/>
          <w:szCs w:val="21"/>
        </w:rPr>
        <w:t>global acquirers that focus on small business</w:t>
      </w:r>
      <w:r w:rsidR="0009712C">
        <w:rPr>
          <w:rFonts w:cstheme="minorHAnsi"/>
          <w:sz w:val="21"/>
          <w:szCs w:val="21"/>
        </w:rPr>
        <w:t xml:space="preserve"> given that they bundle pricing. </w:t>
      </w:r>
    </w:p>
    <w:p w14:paraId="547D480C" w14:textId="04A62764" w:rsidR="00D656CB" w:rsidRPr="00BF20C3" w:rsidRDefault="007D3D9E" w:rsidP="4E279791">
      <w:pPr>
        <w:rPr>
          <w:sz w:val="21"/>
          <w:szCs w:val="21"/>
        </w:rPr>
      </w:pPr>
      <w:r w:rsidRPr="4E279791">
        <w:rPr>
          <w:sz w:val="21"/>
          <w:szCs w:val="21"/>
        </w:rPr>
        <w:t>Profitability for</w:t>
      </w:r>
      <w:r w:rsidR="00240D4F" w:rsidRPr="4E279791">
        <w:rPr>
          <w:sz w:val="21"/>
          <w:szCs w:val="21"/>
        </w:rPr>
        <w:t xml:space="preserve"> </w:t>
      </w:r>
      <w:r w:rsidR="00D656CB" w:rsidRPr="4E279791">
        <w:rPr>
          <w:sz w:val="21"/>
          <w:szCs w:val="21"/>
        </w:rPr>
        <w:t xml:space="preserve">schemes </w:t>
      </w:r>
      <w:r w:rsidR="00240D4F" w:rsidRPr="4E279791">
        <w:rPr>
          <w:sz w:val="21"/>
          <w:szCs w:val="21"/>
        </w:rPr>
        <w:t xml:space="preserve">and </w:t>
      </w:r>
      <w:r w:rsidR="00D656CB" w:rsidRPr="4E279791">
        <w:rPr>
          <w:sz w:val="21"/>
          <w:szCs w:val="21"/>
        </w:rPr>
        <w:t xml:space="preserve">digital wallet providers </w:t>
      </w:r>
      <w:r w:rsidR="00240D4F" w:rsidRPr="4E279791">
        <w:rPr>
          <w:sz w:val="21"/>
          <w:szCs w:val="21"/>
        </w:rPr>
        <w:t xml:space="preserve">will be </w:t>
      </w:r>
      <w:r w:rsidR="00D57B9A">
        <w:rPr>
          <w:sz w:val="21"/>
          <w:szCs w:val="21"/>
        </w:rPr>
        <w:t>preserved</w:t>
      </w:r>
      <w:r w:rsidR="00577445" w:rsidRPr="4E279791">
        <w:rPr>
          <w:sz w:val="21"/>
          <w:szCs w:val="21"/>
        </w:rPr>
        <w:t xml:space="preserve"> an</w:t>
      </w:r>
      <w:r w:rsidR="00F01CC2" w:rsidRPr="4E279791">
        <w:rPr>
          <w:sz w:val="21"/>
          <w:szCs w:val="21"/>
        </w:rPr>
        <w:t>d are likely to further expand</w:t>
      </w:r>
      <w:r w:rsidR="00D656CB" w:rsidRPr="4E279791">
        <w:rPr>
          <w:sz w:val="21"/>
          <w:szCs w:val="21"/>
        </w:rPr>
        <w:t xml:space="preserve">. </w:t>
      </w:r>
      <w:r w:rsidR="00467AEC" w:rsidRPr="4E279791">
        <w:rPr>
          <w:sz w:val="21"/>
          <w:szCs w:val="21"/>
        </w:rPr>
        <w:t>D</w:t>
      </w:r>
      <w:r w:rsidR="00D656CB" w:rsidRPr="4E279791">
        <w:rPr>
          <w:sz w:val="21"/>
          <w:szCs w:val="21"/>
        </w:rPr>
        <w:t xml:space="preserve">igital wallet providers represent a growing and new source of cost to </w:t>
      </w:r>
      <w:r w:rsidR="00467AEC" w:rsidRPr="4E279791">
        <w:rPr>
          <w:sz w:val="21"/>
          <w:szCs w:val="21"/>
        </w:rPr>
        <w:t xml:space="preserve">an </w:t>
      </w:r>
      <w:r w:rsidR="00D656CB" w:rsidRPr="4E279791">
        <w:rPr>
          <w:sz w:val="21"/>
          <w:szCs w:val="21"/>
        </w:rPr>
        <w:t xml:space="preserve">issuer. They contribute indirectly to merchant costs without the scrutiny that interchange faces, and there is no effective competition that might drive these costs down due to technical and other constraints. </w:t>
      </w:r>
      <w:r w:rsidR="00467AEC" w:rsidRPr="00DA298C">
        <w:rPr>
          <w:sz w:val="21"/>
          <w:szCs w:val="21"/>
        </w:rPr>
        <w:t xml:space="preserve">Some digital wallet providers will </w:t>
      </w:r>
      <w:r w:rsidR="008F6429" w:rsidRPr="00DA298C">
        <w:rPr>
          <w:sz w:val="21"/>
          <w:szCs w:val="21"/>
        </w:rPr>
        <w:t xml:space="preserve">absorb a larger and very </w:t>
      </w:r>
      <w:r w:rsidR="00160076" w:rsidRPr="00DA298C">
        <w:rPr>
          <w:sz w:val="21"/>
          <w:szCs w:val="21"/>
        </w:rPr>
        <w:t>material</w:t>
      </w:r>
      <w:r w:rsidR="00467AEC" w:rsidRPr="00DA298C">
        <w:rPr>
          <w:sz w:val="21"/>
          <w:szCs w:val="21"/>
        </w:rPr>
        <w:t xml:space="preserve"> </w:t>
      </w:r>
      <w:r w:rsidR="008F6429" w:rsidRPr="00DA298C">
        <w:rPr>
          <w:sz w:val="21"/>
          <w:szCs w:val="21"/>
        </w:rPr>
        <w:t xml:space="preserve">share of the </w:t>
      </w:r>
      <w:r w:rsidR="00467AEC" w:rsidRPr="00DA298C">
        <w:rPr>
          <w:sz w:val="21"/>
          <w:szCs w:val="21"/>
        </w:rPr>
        <w:t xml:space="preserve">interchange revenue cap for </w:t>
      </w:r>
      <w:r w:rsidR="00165872" w:rsidRPr="00DA298C">
        <w:rPr>
          <w:sz w:val="21"/>
          <w:szCs w:val="21"/>
        </w:rPr>
        <w:t xml:space="preserve">credit </w:t>
      </w:r>
      <w:r w:rsidR="00467AEC" w:rsidRPr="00DA298C">
        <w:rPr>
          <w:sz w:val="21"/>
          <w:szCs w:val="21"/>
        </w:rPr>
        <w:t>transactions.</w:t>
      </w:r>
    </w:p>
    <w:p w14:paraId="5B7559AD" w14:textId="77777777" w:rsidR="00FD6DA2" w:rsidRDefault="00FD6DA2" w:rsidP="4E279791">
      <w:pPr>
        <w:rPr>
          <w:sz w:val="21"/>
          <w:szCs w:val="21"/>
        </w:rPr>
      </w:pPr>
    </w:p>
    <w:p w14:paraId="7506C18C" w14:textId="77777777" w:rsidR="00E725CE" w:rsidRDefault="00493BAB" w:rsidP="00EA7A1A">
      <w:pPr>
        <w:jc w:val="center"/>
        <w:rPr>
          <w:noProof/>
        </w:rPr>
      </w:pPr>
      <w:r w:rsidRPr="00493BAB">
        <w:rPr>
          <w:noProof/>
        </w:rPr>
        <w:t xml:space="preserve"> </w:t>
      </w:r>
    </w:p>
    <w:p w14:paraId="665B5EFC" w14:textId="77777777" w:rsidR="000A7657" w:rsidRDefault="000A7657" w:rsidP="008F6F07">
      <w:pPr>
        <w:jc w:val="left"/>
        <w:rPr>
          <w:b/>
          <w:bCs/>
          <w:sz w:val="21"/>
          <w:szCs w:val="21"/>
        </w:rPr>
      </w:pPr>
    </w:p>
    <w:p w14:paraId="06FE478A" w14:textId="25631CFA" w:rsidR="006B1904" w:rsidDel="00BA192B" w:rsidRDefault="00626704" w:rsidP="008F6F07">
      <w:pPr>
        <w:jc w:val="left"/>
        <w:rPr>
          <w:noProof/>
        </w:rPr>
      </w:pPr>
      <w:r w:rsidRPr="00811B45">
        <w:rPr>
          <w:b/>
          <w:bCs/>
          <w:sz w:val="21"/>
          <w:szCs w:val="21"/>
        </w:rPr>
        <w:t xml:space="preserve">Assumed benefits </w:t>
      </w:r>
      <w:r w:rsidR="005952E1" w:rsidRPr="00811B45">
        <w:rPr>
          <w:b/>
          <w:bCs/>
          <w:sz w:val="21"/>
          <w:szCs w:val="21"/>
        </w:rPr>
        <w:t xml:space="preserve">from </w:t>
      </w:r>
      <w:r w:rsidR="005844A6" w:rsidRPr="00811B45">
        <w:rPr>
          <w:b/>
          <w:bCs/>
          <w:sz w:val="21"/>
          <w:szCs w:val="21"/>
        </w:rPr>
        <w:t xml:space="preserve">changes proposed in </w:t>
      </w:r>
      <w:r w:rsidR="00811B45" w:rsidRPr="00811B45">
        <w:rPr>
          <w:b/>
          <w:bCs/>
          <w:sz w:val="21"/>
          <w:szCs w:val="21"/>
        </w:rPr>
        <w:t>Consultation paper</w:t>
      </w:r>
      <w:r w:rsidR="00E66F93">
        <w:rPr>
          <w:b/>
          <w:bCs/>
          <w:sz w:val="21"/>
          <w:szCs w:val="21"/>
        </w:rPr>
        <w:t xml:space="preserve"> (per annum)</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61"/>
        <w:gridCol w:w="3260"/>
        <w:gridCol w:w="3117"/>
      </w:tblGrid>
      <w:tr w:rsidR="00D369E5" w:rsidRPr="006B1904" w14:paraId="21370BA0" w14:textId="77777777" w:rsidTr="003A7C09">
        <w:trPr>
          <w:trHeight w:val="555"/>
        </w:trPr>
        <w:tc>
          <w:tcPr>
            <w:tcW w:w="3261" w:type="dxa"/>
            <w:tcBorders>
              <w:top w:val="single" w:sz="6" w:space="0" w:color="auto"/>
              <w:left w:val="nil"/>
              <w:bottom w:val="single" w:sz="6" w:space="0" w:color="auto"/>
              <w:right w:val="nil"/>
            </w:tcBorders>
            <w:shd w:val="clear" w:color="auto" w:fill="0B769F"/>
            <w:hideMark/>
          </w:tcPr>
          <w:p w14:paraId="640B2125" w14:textId="77777777" w:rsidR="006B1904" w:rsidRPr="006B1904" w:rsidRDefault="006B1904" w:rsidP="006B1904">
            <w:pPr>
              <w:spacing w:after="0" w:line="240" w:lineRule="auto"/>
              <w:jc w:val="left"/>
              <w:textAlignment w:val="baseline"/>
              <w:rPr>
                <w:rFonts w:ascii="Segoe UI" w:eastAsia="Times New Roman" w:hAnsi="Segoe UI" w:cs="Segoe UI"/>
                <w:sz w:val="18"/>
                <w:szCs w:val="18"/>
                <w:lang w:eastAsia="en-AU"/>
              </w:rPr>
            </w:pPr>
            <w:r w:rsidRPr="006B1904">
              <w:rPr>
                <w:rFonts w:ascii="Aptos" w:eastAsia="Times New Roman" w:hAnsi="Aptos" w:cs="Segoe UI"/>
                <w:color w:val="FFFFFF"/>
                <w:sz w:val="22"/>
                <w:szCs w:val="22"/>
                <w:lang w:eastAsia="en-AU"/>
              </w:rPr>
              <w:lastRenderedPageBreak/>
              <w:t> </w:t>
            </w:r>
          </w:p>
        </w:tc>
        <w:tc>
          <w:tcPr>
            <w:tcW w:w="3260" w:type="dxa"/>
            <w:tcBorders>
              <w:top w:val="single" w:sz="6" w:space="0" w:color="auto"/>
              <w:left w:val="nil"/>
              <w:bottom w:val="single" w:sz="6" w:space="0" w:color="auto"/>
              <w:right w:val="nil"/>
            </w:tcBorders>
            <w:shd w:val="clear" w:color="auto" w:fill="0B769F"/>
            <w:hideMark/>
          </w:tcPr>
          <w:p w14:paraId="1A036222" w14:textId="6F886DAB" w:rsidR="006B1904" w:rsidRPr="002A1D27" w:rsidRDefault="006B1904" w:rsidP="006B1904">
            <w:pPr>
              <w:spacing w:after="0" w:line="240" w:lineRule="auto"/>
              <w:jc w:val="right"/>
              <w:textAlignment w:val="baseline"/>
              <w:rPr>
                <w:rFonts w:ascii="Segoe UI" w:eastAsia="Times New Roman" w:hAnsi="Segoe UI" w:cs="Segoe UI"/>
                <w:sz w:val="18"/>
                <w:szCs w:val="18"/>
                <w:lang w:eastAsia="en-AU"/>
              </w:rPr>
            </w:pPr>
            <w:r w:rsidRPr="002A1D27">
              <w:rPr>
                <w:rFonts w:ascii="Aptos" w:eastAsia="Times New Roman" w:hAnsi="Aptos" w:cs="Segoe UI"/>
                <w:color w:val="FFFFFF"/>
                <w:sz w:val="22"/>
                <w:szCs w:val="22"/>
                <w:lang w:eastAsia="en-AU"/>
              </w:rPr>
              <w:t>RBA proposal: </w:t>
            </w:r>
            <w:r w:rsidRPr="002A1D27">
              <w:rPr>
                <w:rFonts w:ascii="Aptos" w:eastAsia="Times New Roman" w:hAnsi="Aptos" w:cs="Segoe UI"/>
                <w:color w:val="FFFFFF"/>
                <w:sz w:val="22"/>
                <w:szCs w:val="22"/>
                <w:lang w:eastAsia="en-AU"/>
              </w:rPr>
              <w:br/>
              <w:t>Direct impacts – from Consultation Paper</w:t>
            </w:r>
            <w:r w:rsidR="001F08DF">
              <w:rPr>
                <w:rStyle w:val="FootnoteReference"/>
                <w:rFonts w:ascii="Aptos" w:eastAsia="Times New Roman" w:hAnsi="Aptos" w:cs="Segoe UI"/>
                <w:color w:val="FFFFFF"/>
                <w:sz w:val="22"/>
                <w:szCs w:val="22"/>
                <w:lang w:eastAsia="en-AU"/>
              </w:rPr>
              <w:footnoteReference w:id="20"/>
            </w:r>
            <w:r w:rsidRPr="002A1D27">
              <w:rPr>
                <w:rFonts w:ascii="Aptos" w:eastAsia="Times New Roman" w:hAnsi="Aptos" w:cs="Segoe UI"/>
                <w:color w:val="FFFFFF"/>
                <w:sz w:val="17"/>
                <w:szCs w:val="17"/>
                <w:lang w:eastAsia="en-AU"/>
              </w:rPr>
              <w:t> </w:t>
            </w:r>
          </w:p>
        </w:tc>
        <w:tc>
          <w:tcPr>
            <w:tcW w:w="3117" w:type="dxa"/>
            <w:tcBorders>
              <w:top w:val="single" w:sz="6" w:space="0" w:color="auto"/>
              <w:left w:val="nil"/>
              <w:bottom w:val="single" w:sz="6" w:space="0" w:color="auto"/>
              <w:right w:val="nil"/>
            </w:tcBorders>
            <w:shd w:val="clear" w:color="auto" w:fill="0B769F"/>
            <w:hideMark/>
          </w:tcPr>
          <w:p w14:paraId="0ED87617" w14:textId="77777777" w:rsidR="006B1904" w:rsidRPr="002A1D27" w:rsidRDefault="006B1904" w:rsidP="006B1904">
            <w:pPr>
              <w:spacing w:after="0" w:line="240" w:lineRule="auto"/>
              <w:jc w:val="right"/>
              <w:textAlignment w:val="baseline"/>
              <w:rPr>
                <w:rFonts w:ascii="Segoe UI" w:eastAsia="Times New Roman" w:hAnsi="Segoe UI" w:cs="Segoe UI"/>
                <w:sz w:val="18"/>
                <w:szCs w:val="18"/>
                <w:lang w:eastAsia="en-AU"/>
              </w:rPr>
            </w:pPr>
            <w:r w:rsidRPr="002A1D27">
              <w:rPr>
                <w:rFonts w:ascii="Aptos" w:eastAsia="Times New Roman" w:hAnsi="Aptos" w:cs="Segoe UI"/>
                <w:color w:val="FFFFFF"/>
                <w:sz w:val="22"/>
                <w:szCs w:val="22"/>
                <w:lang w:eastAsia="en-AU"/>
              </w:rPr>
              <w:t>RBA proposal: </w:t>
            </w:r>
            <w:r w:rsidRPr="002A1D27">
              <w:rPr>
                <w:rFonts w:ascii="Aptos" w:eastAsia="Times New Roman" w:hAnsi="Aptos" w:cs="Segoe UI"/>
                <w:color w:val="FFFFFF"/>
                <w:sz w:val="22"/>
                <w:szCs w:val="22"/>
                <w:lang w:eastAsia="en-AU"/>
              </w:rPr>
              <w:br/>
              <w:t>Including</w:t>
            </w:r>
            <w:r w:rsidR="002A1D27">
              <w:rPr>
                <w:rFonts w:ascii="Aptos" w:eastAsia="Times New Roman" w:hAnsi="Aptos" w:cs="Segoe UI"/>
                <w:color w:val="FFFFFF"/>
                <w:sz w:val="22"/>
                <w:szCs w:val="22"/>
                <w:lang w:eastAsia="en-AU"/>
              </w:rPr>
              <w:t xml:space="preserve"> </w:t>
            </w:r>
            <w:r w:rsidRPr="002A1D27">
              <w:rPr>
                <w:rFonts w:ascii="Aptos" w:eastAsia="Times New Roman" w:hAnsi="Aptos" w:cs="Segoe UI"/>
                <w:color w:val="FFFFFF"/>
                <w:sz w:val="22"/>
                <w:szCs w:val="22"/>
                <w:lang w:eastAsia="en-AU"/>
              </w:rPr>
              <w:t>modelled second order impacts </w:t>
            </w:r>
          </w:p>
        </w:tc>
      </w:tr>
      <w:tr w:rsidR="001F08DF" w:rsidRPr="006B1904" w14:paraId="6F40A0F7" w14:textId="77777777" w:rsidTr="003A7C09">
        <w:trPr>
          <w:trHeight w:val="195"/>
        </w:trPr>
        <w:tc>
          <w:tcPr>
            <w:tcW w:w="3261" w:type="dxa"/>
            <w:tcBorders>
              <w:top w:val="single" w:sz="6" w:space="0" w:color="auto"/>
              <w:left w:val="nil"/>
              <w:bottom w:val="single" w:sz="6" w:space="0" w:color="auto"/>
              <w:right w:val="nil"/>
            </w:tcBorders>
            <w:hideMark/>
          </w:tcPr>
          <w:p w14:paraId="57C5C69A" w14:textId="77777777" w:rsidR="006B1904" w:rsidRPr="006B1904" w:rsidRDefault="006B1904" w:rsidP="006B1904">
            <w:pPr>
              <w:spacing w:after="0" w:line="240" w:lineRule="auto"/>
              <w:jc w:val="lef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3260" w:type="dxa"/>
            <w:tcBorders>
              <w:top w:val="single" w:sz="6" w:space="0" w:color="auto"/>
              <w:left w:val="nil"/>
              <w:bottom w:val="single" w:sz="6" w:space="0" w:color="auto"/>
              <w:right w:val="nil"/>
            </w:tcBorders>
            <w:hideMark/>
          </w:tcPr>
          <w:p w14:paraId="5960D4BD"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million </w:t>
            </w:r>
          </w:p>
        </w:tc>
        <w:tc>
          <w:tcPr>
            <w:tcW w:w="3117" w:type="dxa"/>
            <w:tcBorders>
              <w:top w:val="single" w:sz="6" w:space="0" w:color="auto"/>
              <w:left w:val="nil"/>
              <w:bottom w:val="single" w:sz="6" w:space="0" w:color="auto"/>
              <w:right w:val="nil"/>
            </w:tcBorders>
            <w:hideMark/>
          </w:tcPr>
          <w:p w14:paraId="72CE4BD8"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million </w:t>
            </w:r>
          </w:p>
        </w:tc>
      </w:tr>
      <w:tr w:rsidR="00A32273" w:rsidRPr="006B1904" w14:paraId="343CFA73" w14:textId="77777777" w:rsidTr="003A7C09">
        <w:trPr>
          <w:trHeight w:val="330"/>
        </w:trPr>
        <w:tc>
          <w:tcPr>
            <w:tcW w:w="3261" w:type="dxa"/>
            <w:tcBorders>
              <w:top w:val="single" w:sz="6" w:space="0" w:color="auto"/>
              <w:left w:val="nil"/>
              <w:bottom w:val="single" w:sz="6" w:space="0" w:color="FFFFFF"/>
              <w:right w:val="nil"/>
            </w:tcBorders>
            <w:vAlign w:val="center"/>
            <w:hideMark/>
          </w:tcPr>
          <w:p w14:paraId="1D6C1B8B" w14:textId="14E296E2" w:rsidR="006B1904" w:rsidRPr="003A7C09" w:rsidRDefault="00120BAE" w:rsidP="00411A23">
            <w:pPr>
              <w:spacing w:after="0" w:line="240" w:lineRule="auto"/>
              <w:jc w:val="left"/>
              <w:textAlignment w:val="baseline"/>
              <w:rPr>
                <w:rFonts w:ascii="Segoe UI" w:eastAsia="Times New Roman" w:hAnsi="Segoe UI" w:cs="Segoe UI"/>
                <w:b/>
                <w:bCs/>
                <w:sz w:val="18"/>
                <w:szCs w:val="18"/>
                <w:lang w:eastAsia="en-AU"/>
              </w:rPr>
            </w:pPr>
            <w:r>
              <w:rPr>
                <w:rFonts w:ascii="Aptos" w:eastAsia="Times New Roman" w:hAnsi="Aptos" w:cs="Segoe UI"/>
                <w:b/>
                <w:bCs/>
                <w:sz w:val="22"/>
                <w:szCs w:val="22"/>
                <w:lang w:eastAsia="en-AU"/>
              </w:rPr>
              <w:t>Cardholders</w:t>
            </w:r>
            <w:r w:rsidR="006B1904" w:rsidRPr="003A7C09">
              <w:rPr>
                <w:rFonts w:ascii="Aptos" w:eastAsia="Times New Roman" w:hAnsi="Aptos" w:cs="Segoe UI"/>
                <w:b/>
                <w:bCs/>
                <w:sz w:val="22"/>
                <w:szCs w:val="22"/>
                <w:lang w:eastAsia="en-AU"/>
              </w:rPr>
              <w:t> </w:t>
            </w:r>
          </w:p>
        </w:tc>
        <w:tc>
          <w:tcPr>
            <w:tcW w:w="3260" w:type="dxa"/>
            <w:tcBorders>
              <w:top w:val="single" w:sz="6" w:space="0" w:color="auto"/>
              <w:left w:val="nil"/>
              <w:bottom w:val="single" w:sz="6" w:space="0" w:color="FFFFFF"/>
              <w:right w:val="nil"/>
            </w:tcBorders>
            <w:hideMark/>
          </w:tcPr>
          <w:p w14:paraId="5769680E"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3117" w:type="dxa"/>
            <w:tcBorders>
              <w:top w:val="single" w:sz="6" w:space="0" w:color="auto"/>
              <w:left w:val="nil"/>
              <w:bottom w:val="single" w:sz="6" w:space="0" w:color="FFFFFF"/>
              <w:right w:val="nil"/>
            </w:tcBorders>
            <w:hideMark/>
          </w:tcPr>
          <w:p w14:paraId="01C9C2A6"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r>
      <w:tr w:rsidR="00A32273" w:rsidRPr="006B1904" w14:paraId="440FF649" w14:textId="77777777" w:rsidTr="003A7C09">
        <w:trPr>
          <w:trHeight w:val="330"/>
        </w:trPr>
        <w:tc>
          <w:tcPr>
            <w:tcW w:w="3261" w:type="dxa"/>
            <w:tcBorders>
              <w:top w:val="single" w:sz="6" w:space="0" w:color="FFFFFF"/>
              <w:left w:val="nil"/>
              <w:bottom w:val="single" w:sz="6" w:space="0" w:color="FFFFFF"/>
              <w:right w:val="nil"/>
            </w:tcBorders>
            <w:vAlign w:val="center"/>
            <w:hideMark/>
          </w:tcPr>
          <w:p w14:paraId="2260E4B3" w14:textId="442949FD" w:rsidR="006B1904" w:rsidRPr="003A7C09" w:rsidRDefault="006B1904" w:rsidP="003A7C09">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sidRPr="003A7C09">
              <w:rPr>
                <w:rFonts w:ascii="Aptos" w:eastAsia="Times New Roman" w:hAnsi="Aptos" w:cs="Segoe UI"/>
                <w:sz w:val="22"/>
                <w:szCs w:val="22"/>
                <w:lang w:eastAsia="en-AU"/>
              </w:rPr>
              <w:t>Consumers </w:t>
            </w:r>
          </w:p>
        </w:tc>
        <w:tc>
          <w:tcPr>
            <w:tcW w:w="3260" w:type="dxa"/>
            <w:vMerge w:val="restart"/>
            <w:tcBorders>
              <w:top w:val="single" w:sz="6" w:space="0" w:color="FFFFFF"/>
              <w:left w:val="nil"/>
              <w:bottom w:val="single" w:sz="6" w:space="0" w:color="FFFFFF"/>
              <w:right w:val="nil"/>
            </w:tcBorders>
            <w:vAlign w:val="center"/>
            <w:hideMark/>
          </w:tcPr>
          <w:p w14:paraId="7A32661D" w14:textId="49EAC9F5" w:rsidR="006B1904" w:rsidRPr="006B1904" w:rsidRDefault="006B1904" w:rsidP="00411A23">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color w:val="4EA72E"/>
                <w:sz w:val="22"/>
                <w:szCs w:val="22"/>
                <w:lang w:eastAsia="en-AU"/>
              </w:rPr>
              <w:t>+1</w:t>
            </w:r>
            <w:r w:rsidR="00E66F93">
              <w:rPr>
                <w:rFonts w:ascii="Aptos" w:eastAsia="Times New Roman" w:hAnsi="Aptos" w:cs="Segoe UI"/>
                <w:color w:val="4EA72E"/>
                <w:sz w:val="22"/>
                <w:szCs w:val="22"/>
                <w:lang w:eastAsia="en-AU"/>
              </w:rPr>
              <w:t>,</w:t>
            </w:r>
            <w:r w:rsidRPr="006B1904">
              <w:rPr>
                <w:rFonts w:ascii="Aptos" w:eastAsia="Times New Roman" w:hAnsi="Aptos" w:cs="Segoe UI"/>
                <w:color w:val="4EA72E"/>
                <w:sz w:val="22"/>
                <w:szCs w:val="22"/>
                <w:lang w:eastAsia="en-AU"/>
              </w:rPr>
              <w:t>225</w:t>
            </w:r>
            <w:r w:rsidR="00A67FF5" w:rsidRPr="003A7C09">
              <w:rPr>
                <w:rStyle w:val="FootnoteReference"/>
                <w:rFonts w:ascii="Aptos" w:eastAsia="Times New Roman" w:hAnsi="Aptos" w:cs="Segoe UI"/>
                <w:sz w:val="22"/>
                <w:szCs w:val="22"/>
                <w:lang w:eastAsia="en-AU"/>
              </w:rPr>
              <w:footnoteReference w:id="21"/>
            </w:r>
            <w:r w:rsidRPr="00A67FF5">
              <w:rPr>
                <w:rFonts w:ascii="Aptos" w:eastAsia="Times New Roman" w:hAnsi="Aptos" w:cs="Segoe UI"/>
                <w:sz w:val="17"/>
                <w:szCs w:val="17"/>
                <w:lang w:eastAsia="en-AU"/>
              </w:rPr>
              <w:t> </w:t>
            </w:r>
          </w:p>
        </w:tc>
        <w:tc>
          <w:tcPr>
            <w:tcW w:w="3117" w:type="dxa"/>
            <w:tcBorders>
              <w:top w:val="single" w:sz="6" w:space="0" w:color="FFFFFF"/>
              <w:left w:val="nil"/>
              <w:bottom w:val="single" w:sz="6" w:space="0" w:color="FFFFFF"/>
              <w:right w:val="nil"/>
            </w:tcBorders>
            <w:vAlign w:val="center"/>
            <w:hideMark/>
          </w:tcPr>
          <w:p w14:paraId="7A84647D" w14:textId="77777777" w:rsidR="006B1904" w:rsidRPr="006B1904" w:rsidRDefault="006B1904" w:rsidP="00411A23">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i/>
                <w:iCs/>
                <w:color w:val="FF0000"/>
                <w:sz w:val="22"/>
                <w:szCs w:val="22"/>
                <w:lang w:eastAsia="en-AU"/>
              </w:rPr>
              <w:t>-200</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color w:val="4EA72E"/>
                <w:sz w:val="22"/>
                <w:szCs w:val="22"/>
                <w:lang w:eastAsia="en-AU"/>
              </w:rPr>
              <w:t>+5 </w:t>
            </w:r>
          </w:p>
        </w:tc>
      </w:tr>
      <w:tr w:rsidR="00A32273" w:rsidRPr="006B1904" w14:paraId="64C92E5B" w14:textId="77777777" w:rsidTr="003A7C09">
        <w:trPr>
          <w:trHeight w:val="330"/>
        </w:trPr>
        <w:tc>
          <w:tcPr>
            <w:tcW w:w="3261" w:type="dxa"/>
            <w:tcBorders>
              <w:top w:val="single" w:sz="6" w:space="0" w:color="FFFFFF"/>
              <w:left w:val="nil"/>
              <w:bottom w:val="single" w:sz="6" w:space="0" w:color="000000"/>
              <w:right w:val="nil"/>
            </w:tcBorders>
            <w:vAlign w:val="center"/>
            <w:hideMark/>
          </w:tcPr>
          <w:p w14:paraId="3368377F" w14:textId="73D54A25" w:rsidR="006B1904" w:rsidRPr="003A7C09" w:rsidRDefault="006B1904" w:rsidP="003A7C09">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sidRPr="003A7C09">
              <w:rPr>
                <w:rFonts w:ascii="Aptos" w:eastAsia="Times New Roman" w:hAnsi="Aptos" w:cs="Segoe UI"/>
                <w:sz w:val="22"/>
                <w:szCs w:val="22"/>
                <w:lang w:eastAsia="en-AU"/>
              </w:rPr>
              <w:t>Commercial </w:t>
            </w:r>
          </w:p>
        </w:tc>
        <w:tc>
          <w:tcPr>
            <w:tcW w:w="3260" w:type="dxa"/>
            <w:vMerge/>
            <w:tcBorders>
              <w:top w:val="single" w:sz="6" w:space="0" w:color="FFFFFF"/>
              <w:left w:val="nil"/>
              <w:bottom w:val="single" w:sz="6" w:space="0" w:color="FFFFFF"/>
              <w:right w:val="nil"/>
            </w:tcBorders>
            <w:vAlign w:val="center"/>
            <w:hideMark/>
          </w:tcPr>
          <w:p w14:paraId="4025C8F8" w14:textId="77777777" w:rsidR="006B1904" w:rsidRPr="006B1904" w:rsidRDefault="006B1904" w:rsidP="003A7C09">
            <w:pPr>
              <w:spacing w:after="0" w:line="240" w:lineRule="auto"/>
              <w:jc w:val="right"/>
              <w:rPr>
                <w:rFonts w:ascii="Segoe UI" w:eastAsia="Times New Roman" w:hAnsi="Segoe UI" w:cs="Segoe UI"/>
                <w:sz w:val="18"/>
                <w:szCs w:val="18"/>
                <w:lang w:eastAsia="en-AU"/>
              </w:rPr>
            </w:pPr>
          </w:p>
        </w:tc>
        <w:tc>
          <w:tcPr>
            <w:tcW w:w="3117" w:type="dxa"/>
            <w:tcBorders>
              <w:top w:val="single" w:sz="6" w:space="0" w:color="FFFFFF"/>
              <w:left w:val="nil"/>
              <w:bottom w:val="single" w:sz="6" w:space="0" w:color="000000"/>
              <w:right w:val="nil"/>
            </w:tcBorders>
            <w:vAlign w:val="center"/>
            <w:hideMark/>
          </w:tcPr>
          <w:p w14:paraId="049BB707" w14:textId="77777777" w:rsidR="006B1904" w:rsidRPr="006B1904" w:rsidRDefault="006B1904" w:rsidP="00411A23">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color w:val="4EA72E"/>
                <w:sz w:val="22"/>
                <w:szCs w:val="22"/>
                <w:lang w:eastAsia="en-AU"/>
              </w:rPr>
              <w:t>+45</w:t>
            </w:r>
            <w:r w:rsidRPr="006B1904">
              <w:rPr>
                <w:rFonts w:ascii="Aptos" w:eastAsia="Times New Roman" w:hAnsi="Aptos" w:cs="Segoe UI"/>
                <w:i/>
                <w:iCs/>
                <w:color w:val="FF0000"/>
                <w:sz w:val="22"/>
                <w:szCs w:val="22"/>
                <w:lang w:eastAsia="en-AU"/>
              </w:rPr>
              <w:t xml:space="preserve"> </w:t>
            </w:r>
            <w:r w:rsidRPr="003A7C09">
              <w:rPr>
                <w:rFonts w:ascii="Aptos" w:eastAsia="Times New Roman" w:hAnsi="Aptos" w:cs="Segoe UI"/>
                <w:sz w:val="22"/>
                <w:szCs w:val="22"/>
                <w:lang w:eastAsia="en-AU"/>
              </w:rPr>
              <w:t>to</w:t>
            </w:r>
            <w:r w:rsidRPr="006B1904">
              <w:rPr>
                <w:rFonts w:ascii="Aptos" w:eastAsia="Times New Roman" w:hAnsi="Aptos" w:cs="Segoe UI"/>
                <w:i/>
                <w:iCs/>
                <w:color w:val="FF0000"/>
                <w:sz w:val="22"/>
                <w:szCs w:val="22"/>
                <w:lang w:eastAsia="en-AU"/>
              </w:rPr>
              <w:t xml:space="preserve"> </w:t>
            </w:r>
            <w:r w:rsidRPr="006B1904">
              <w:rPr>
                <w:rFonts w:ascii="Aptos" w:eastAsia="Times New Roman" w:hAnsi="Aptos" w:cs="Segoe UI"/>
                <w:color w:val="4EA72E"/>
                <w:sz w:val="22"/>
                <w:szCs w:val="22"/>
                <w:lang w:eastAsia="en-AU"/>
              </w:rPr>
              <w:t>+60 </w:t>
            </w:r>
          </w:p>
        </w:tc>
      </w:tr>
      <w:tr w:rsidR="00896395" w:rsidRPr="006B1904" w14:paraId="357BDF3D" w14:textId="77777777" w:rsidTr="003A7C09">
        <w:trPr>
          <w:trHeight w:val="330"/>
        </w:trPr>
        <w:tc>
          <w:tcPr>
            <w:tcW w:w="3261" w:type="dxa"/>
            <w:tcBorders>
              <w:top w:val="single" w:sz="6" w:space="0" w:color="000000"/>
              <w:left w:val="nil"/>
              <w:bottom w:val="nil"/>
              <w:right w:val="nil"/>
            </w:tcBorders>
            <w:vAlign w:val="center"/>
            <w:hideMark/>
          </w:tcPr>
          <w:p w14:paraId="15043659" w14:textId="77777777" w:rsidR="006B1904" w:rsidRPr="003A7C09" w:rsidRDefault="006B1904" w:rsidP="006B1904">
            <w:pPr>
              <w:spacing w:after="0" w:line="240" w:lineRule="auto"/>
              <w:jc w:val="left"/>
              <w:textAlignment w:val="baseline"/>
              <w:rPr>
                <w:rFonts w:ascii="Segoe UI" w:eastAsia="Times New Roman" w:hAnsi="Segoe UI" w:cs="Segoe UI"/>
                <w:b/>
                <w:sz w:val="18"/>
                <w:szCs w:val="18"/>
                <w:lang w:eastAsia="en-AU"/>
              </w:rPr>
            </w:pPr>
            <w:r w:rsidRPr="003A7C09">
              <w:rPr>
                <w:rFonts w:ascii="Aptos" w:eastAsia="Times New Roman" w:hAnsi="Aptos" w:cs="Segoe UI"/>
                <w:b/>
                <w:sz w:val="22"/>
                <w:szCs w:val="22"/>
                <w:lang w:eastAsia="en-AU"/>
              </w:rPr>
              <w:t>Merchants </w:t>
            </w:r>
          </w:p>
        </w:tc>
        <w:tc>
          <w:tcPr>
            <w:tcW w:w="3260" w:type="dxa"/>
            <w:tcBorders>
              <w:top w:val="single" w:sz="6" w:space="0" w:color="000000"/>
              <w:left w:val="nil"/>
              <w:bottom w:val="nil"/>
              <w:right w:val="nil"/>
            </w:tcBorders>
            <w:vAlign w:val="center"/>
            <w:hideMark/>
          </w:tcPr>
          <w:p w14:paraId="5DA5AD47"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3117" w:type="dxa"/>
            <w:tcBorders>
              <w:top w:val="single" w:sz="6" w:space="0" w:color="000000"/>
              <w:left w:val="nil"/>
              <w:bottom w:val="nil"/>
              <w:right w:val="nil"/>
            </w:tcBorders>
            <w:vAlign w:val="center"/>
            <w:hideMark/>
          </w:tcPr>
          <w:p w14:paraId="37F5586E"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r>
      <w:tr w:rsidR="00A32273" w:rsidRPr="006B1904" w14:paraId="24CE66BD" w14:textId="77777777" w:rsidTr="003A7C09">
        <w:trPr>
          <w:trHeight w:val="330"/>
        </w:trPr>
        <w:tc>
          <w:tcPr>
            <w:tcW w:w="3261" w:type="dxa"/>
            <w:tcBorders>
              <w:top w:val="nil"/>
              <w:left w:val="nil"/>
              <w:bottom w:val="nil"/>
              <w:right w:val="nil"/>
            </w:tcBorders>
            <w:vAlign w:val="center"/>
            <w:hideMark/>
          </w:tcPr>
          <w:p w14:paraId="09E31973" w14:textId="75F6FC6B" w:rsidR="00CA6BA9" w:rsidRPr="003A7C09" w:rsidRDefault="006B1904" w:rsidP="003A7C09">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sidRPr="003A7C09">
              <w:rPr>
                <w:rFonts w:ascii="Aptos" w:eastAsia="Times New Roman" w:hAnsi="Aptos" w:cs="Segoe UI"/>
                <w:sz w:val="22"/>
                <w:szCs w:val="22"/>
                <w:lang w:eastAsia="en-AU"/>
              </w:rPr>
              <w:t>Small merchants </w:t>
            </w:r>
          </w:p>
        </w:tc>
        <w:tc>
          <w:tcPr>
            <w:tcW w:w="3260" w:type="dxa"/>
            <w:tcBorders>
              <w:top w:val="nil"/>
              <w:left w:val="nil"/>
              <w:bottom w:val="nil"/>
              <w:right w:val="nil"/>
            </w:tcBorders>
            <w:vAlign w:val="center"/>
            <w:hideMark/>
          </w:tcPr>
          <w:p w14:paraId="685401A1" w14:textId="77777777" w:rsidR="006B1904" w:rsidRPr="006B1904" w:rsidRDefault="006B1904" w:rsidP="00411A23">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color w:val="4EA72E"/>
                <w:sz w:val="22"/>
                <w:szCs w:val="22"/>
                <w:lang w:eastAsia="en-AU"/>
              </w:rPr>
              <w:t>+185 </w:t>
            </w:r>
          </w:p>
        </w:tc>
        <w:tc>
          <w:tcPr>
            <w:tcW w:w="3117" w:type="dxa"/>
            <w:tcBorders>
              <w:top w:val="nil"/>
              <w:left w:val="nil"/>
              <w:bottom w:val="nil"/>
              <w:right w:val="nil"/>
            </w:tcBorders>
            <w:vAlign w:val="center"/>
            <w:hideMark/>
          </w:tcPr>
          <w:p w14:paraId="79CF67CF" w14:textId="77777777" w:rsidR="006B1904" w:rsidRPr="006B1904" w:rsidRDefault="006B1904" w:rsidP="00411A23">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i/>
                <w:iCs/>
                <w:color w:val="FF0000"/>
                <w:sz w:val="22"/>
                <w:szCs w:val="22"/>
                <w:lang w:eastAsia="en-AU"/>
              </w:rPr>
              <w:t>-25</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color w:val="4EA72E"/>
                <w:sz w:val="22"/>
                <w:szCs w:val="22"/>
                <w:lang w:eastAsia="en-AU"/>
              </w:rPr>
              <w:t>+10 </w:t>
            </w:r>
          </w:p>
        </w:tc>
      </w:tr>
      <w:tr w:rsidR="00D73530" w:rsidRPr="006B1904" w14:paraId="2D58BA9A" w14:textId="77777777" w:rsidTr="003A7C09">
        <w:trPr>
          <w:trHeight w:val="330"/>
        </w:trPr>
        <w:tc>
          <w:tcPr>
            <w:tcW w:w="3261" w:type="dxa"/>
            <w:tcBorders>
              <w:top w:val="nil"/>
              <w:left w:val="nil"/>
              <w:bottom w:val="single" w:sz="6" w:space="0" w:color="000000"/>
              <w:right w:val="nil"/>
            </w:tcBorders>
            <w:vAlign w:val="center"/>
          </w:tcPr>
          <w:p w14:paraId="32346A70" w14:textId="21362217" w:rsidR="004C1795" w:rsidRPr="004C1795" w:rsidRDefault="004C1795" w:rsidP="00411A23">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Larger merchants</w:t>
            </w:r>
            <w:r>
              <w:rPr>
                <w:rFonts w:ascii="Aptos" w:eastAsia="Times New Roman" w:hAnsi="Aptos" w:cs="Segoe UI"/>
                <w:sz w:val="22"/>
                <w:szCs w:val="22"/>
                <w:lang w:eastAsia="en-AU"/>
              </w:rPr>
              <w:br/>
            </w:r>
            <w:r>
              <w:rPr>
                <w:rStyle w:val="normaltextrun"/>
                <w:rFonts w:ascii="Aptos" w:hAnsi="Aptos"/>
                <w:color w:val="808080"/>
                <w:sz w:val="16"/>
                <w:szCs w:val="16"/>
                <w:shd w:val="clear" w:color="auto" w:fill="FFFFFF"/>
              </w:rPr>
              <w:t>&gt;$10m in card transactions per year</w:t>
            </w:r>
            <w:r>
              <w:rPr>
                <w:rStyle w:val="eop"/>
                <w:rFonts w:ascii="Aptos" w:hAnsi="Aptos"/>
                <w:color w:val="808080"/>
                <w:szCs w:val="16"/>
                <w:shd w:val="clear" w:color="auto" w:fill="FFFFFF"/>
              </w:rPr>
              <w:t> </w:t>
            </w:r>
          </w:p>
        </w:tc>
        <w:tc>
          <w:tcPr>
            <w:tcW w:w="3260" w:type="dxa"/>
            <w:tcBorders>
              <w:top w:val="nil"/>
              <w:left w:val="nil"/>
              <w:bottom w:val="single" w:sz="6" w:space="0" w:color="000000"/>
              <w:right w:val="nil"/>
            </w:tcBorders>
            <w:vAlign w:val="center"/>
          </w:tcPr>
          <w:p w14:paraId="1FE414CB" w14:textId="171BAA5D" w:rsidR="004C1795" w:rsidRPr="006B1904" w:rsidRDefault="004C1795" w:rsidP="004C1795">
            <w:pPr>
              <w:spacing w:after="0" w:line="240" w:lineRule="auto"/>
              <w:jc w:val="right"/>
              <w:textAlignment w:val="baseline"/>
              <w:rPr>
                <w:rFonts w:ascii="Aptos" w:eastAsia="Times New Roman" w:hAnsi="Aptos" w:cs="Segoe UI"/>
                <w:color w:val="4EA72E"/>
                <w:sz w:val="22"/>
                <w:szCs w:val="22"/>
                <w:lang w:eastAsia="en-AU"/>
              </w:rPr>
            </w:pPr>
            <w:r w:rsidRPr="006B1904">
              <w:rPr>
                <w:rFonts w:ascii="Aptos" w:eastAsia="Times New Roman" w:hAnsi="Aptos" w:cs="Segoe UI"/>
                <w:i/>
                <w:iCs/>
                <w:color w:val="FF0000"/>
                <w:sz w:val="22"/>
                <w:szCs w:val="22"/>
                <w:lang w:eastAsia="en-AU"/>
              </w:rPr>
              <w:t>-260</w:t>
            </w:r>
            <w:r w:rsidRPr="006B1904">
              <w:rPr>
                <w:rFonts w:ascii="Aptos" w:eastAsia="Times New Roman" w:hAnsi="Aptos" w:cs="Segoe UI"/>
                <w:color w:val="FF0000"/>
                <w:sz w:val="22"/>
                <w:szCs w:val="22"/>
                <w:lang w:eastAsia="en-AU"/>
              </w:rPr>
              <w:t> </w:t>
            </w:r>
          </w:p>
        </w:tc>
        <w:tc>
          <w:tcPr>
            <w:tcW w:w="3117" w:type="dxa"/>
            <w:tcBorders>
              <w:top w:val="nil"/>
              <w:left w:val="nil"/>
              <w:bottom w:val="single" w:sz="6" w:space="0" w:color="000000"/>
              <w:right w:val="nil"/>
            </w:tcBorders>
            <w:vAlign w:val="center"/>
          </w:tcPr>
          <w:p w14:paraId="0BFE7BE0" w14:textId="1B6366E9" w:rsidR="004C1795" w:rsidRPr="006B1904" w:rsidRDefault="004C1795" w:rsidP="004C1795">
            <w:pPr>
              <w:spacing w:after="0" w:line="240" w:lineRule="auto"/>
              <w:jc w:val="right"/>
              <w:textAlignment w:val="baseline"/>
              <w:rPr>
                <w:rFonts w:ascii="Aptos" w:eastAsia="Times New Roman" w:hAnsi="Aptos" w:cs="Segoe UI"/>
                <w:i/>
                <w:iCs/>
                <w:color w:val="FF0000"/>
                <w:sz w:val="22"/>
                <w:szCs w:val="22"/>
                <w:lang w:eastAsia="en-AU"/>
              </w:rPr>
            </w:pPr>
            <w:r w:rsidRPr="006B1904">
              <w:rPr>
                <w:rFonts w:ascii="Aptos" w:eastAsia="Times New Roman" w:hAnsi="Aptos" w:cs="Segoe UI"/>
                <w:i/>
                <w:iCs/>
                <w:color w:val="FF0000"/>
                <w:sz w:val="22"/>
                <w:szCs w:val="22"/>
                <w:lang w:eastAsia="en-AU"/>
              </w:rPr>
              <w:t>-25</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color w:val="4EA72E"/>
                <w:sz w:val="22"/>
                <w:szCs w:val="22"/>
                <w:lang w:eastAsia="en-AU"/>
              </w:rPr>
              <w:t>+65 </w:t>
            </w:r>
          </w:p>
        </w:tc>
      </w:tr>
      <w:tr w:rsidR="00896395" w:rsidRPr="006B1904" w14:paraId="52D0654F" w14:textId="77777777" w:rsidTr="003A7C09">
        <w:trPr>
          <w:trHeight w:val="330"/>
        </w:trPr>
        <w:tc>
          <w:tcPr>
            <w:tcW w:w="3261" w:type="dxa"/>
            <w:tcBorders>
              <w:top w:val="single" w:sz="6" w:space="0" w:color="000000"/>
              <w:left w:val="nil"/>
              <w:bottom w:val="nil"/>
              <w:right w:val="nil"/>
            </w:tcBorders>
            <w:vAlign w:val="center"/>
            <w:hideMark/>
          </w:tcPr>
          <w:p w14:paraId="29C4800B" w14:textId="77777777" w:rsidR="006B1904" w:rsidRPr="003A7C09" w:rsidRDefault="006B1904" w:rsidP="006B1904">
            <w:pPr>
              <w:spacing w:after="0" w:line="240" w:lineRule="auto"/>
              <w:jc w:val="left"/>
              <w:textAlignment w:val="baseline"/>
              <w:rPr>
                <w:rFonts w:ascii="Segoe UI" w:eastAsia="Times New Roman" w:hAnsi="Segoe UI" w:cs="Segoe UI"/>
                <w:b/>
                <w:sz w:val="18"/>
                <w:szCs w:val="18"/>
                <w:lang w:eastAsia="en-AU"/>
              </w:rPr>
            </w:pPr>
            <w:r w:rsidRPr="003A7C09">
              <w:rPr>
                <w:rFonts w:ascii="Aptos" w:eastAsia="Times New Roman" w:hAnsi="Aptos" w:cs="Segoe UI"/>
                <w:b/>
                <w:sz w:val="22"/>
                <w:szCs w:val="22"/>
                <w:lang w:eastAsia="en-AU"/>
              </w:rPr>
              <w:t>Payments industry </w:t>
            </w:r>
          </w:p>
        </w:tc>
        <w:tc>
          <w:tcPr>
            <w:tcW w:w="3260" w:type="dxa"/>
            <w:tcBorders>
              <w:top w:val="single" w:sz="6" w:space="0" w:color="000000"/>
              <w:left w:val="nil"/>
              <w:bottom w:val="nil"/>
              <w:right w:val="nil"/>
            </w:tcBorders>
            <w:vAlign w:val="center"/>
            <w:hideMark/>
          </w:tcPr>
          <w:p w14:paraId="7270E515"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3117" w:type="dxa"/>
            <w:tcBorders>
              <w:top w:val="single" w:sz="6" w:space="0" w:color="000000"/>
              <w:left w:val="nil"/>
              <w:bottom w:val="nil"/>
              <w:right w:val="nil"/>
            </w:tcBorders>
            <w:vAlign w:val="center"/>
            <w:hideMark/>
          </w:tcPr>
          <w:p w14:paraId="70115495" w14:textId="77777777" w:rsidR="006B1904" w:rsidRPr="006B1904" w:rsidRDefault="006B1904" w:rsidP="006B1904">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r>
      <w:tr w:rsidR="0008629A" w:rsidRPr="006B1904" w14:paraId="788A3C64" w14:textId="77777777" w:rsidTr="003A7C09">
        <w:trPr>
          <w:trHeight w:val="330"/>
        </w:trPr>
        <w:tc>
          <w:tcPr>
            <w:tcW w:w="3261" w:type="dxa"/>
            <w:tcBorders>
              <w:top w:val="nil"/>
              <w:left w:val="nil"/>
              <w:bottom w:val="nil"/>
              <w:right w:val="nil"/>
            </w:tcBorders>
            <w:vAlign w:val="center"/>
          </w:tcPr>
          <w:p w14:paraId="18DF8CA7" w14:textId="14DB8100" w:rsidR="00411A23" w:rsidRPr="003A7C09" w:rsidRDefault="00411A23" w:rsidP="003A7C09">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Domestic issuers</w:t>
            </w:r>
            <w:r w:rsidR="002B061C">
              <w:rPr>
                <w:rStyle w:val="FootnoteReference"/>
                <w:rFonts w:ascii="Aptos" w:eastAsia="Times New Roman" w:hAnsi="Aptos" w:cs="Segoe UI"/>
                <w:sz w:val="22"/>
                <w:szCs w:val="22"/>
                <w:lang w:eastAsia="en-AU"/>
              </w:rPr>
              <w:footnoteReference w:id="22"/>
            </w:r>
          </w:p>
        </w:tc>
        <w:tc>
          <w:tcPr>
            <w:tcW w:w="3260" w:type="dxa"/>
            <w:tcBorders>
              <w:top w:val="nil"/>
              <w:left w:val="nil"/>
              <w:bottom w:val="nil"/>
              <w:right w:val="nil"/>
            </w:tcBorders>
            <w:vAlign w:val="center"/>
          </w:tcPr>
          <w:p w14:paraId="53239ED6" w14:textId="4472267C"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i/>
                <w:iCs/>
                <w:color w:val="FF0000"/>
                <w:sz w:val="22"/>
                <w:szCs w:val="22"/>
                <w:lang w:eastAsia="en-AU"/>
              </w:rPr>
              <w:t>-880</w:t>
            </w:r>
            <w:r w:rsidRPr="006B1904">
              <w:rPr>
                <w:rFonts w:ascii="Aptos" w:eastAsia="Times New Roman" w:hAnsi="Aptos" w:cs="Segoe UI"/>
                <w:color w:val="FF0000"/>
                <w:sz w:val="22"/>
                <w:szCs w:val="22"/>
                <w:lang w:eastAsia="en-AU"/>
              </w:rPr>
              <w:t> </w:t>
            </w:r>
          </w:p>
        </w:tc>
        <w:tc>
          <w:tcPr>
            <w:tcW w:w="3117" w:type="dxa"/>
            <w:tcBorders>
              <w:top w:val="nil"/>
              <w:left w:val="nil"/>
              <w:bottom w:val="nil"/>
              <w:right w:val="nil"/>
            </w:tcBorders>
            <w:vAlign w:val="center"/>
          </w:tcPr>
          <w:p w14:paraId="18914C1D" w14:textId="6A3B3E28"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i/>
                <w:iCs/>
                <w:color w:val="FF0000"/>
                <w:sz w:val="22"/>
                <w:szCs w:val="22"/>
                <w:lang w:eastAsia="en-AU"/>
              </w:rPr>
              <w:t>-730</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i/>
                <w:iCs/>
                <w:color w:val="FF0000"/>
                <w:sz w:val="22"/>
                <w:szCs w:val="22"/>
                <w:lang w:eastAsia="en-AU"/>
              </w:rPr>
              <w:t>-595</w:t>
            </w:r>
            <w:r w:rsidRPr="006B1904">
              <w:rPr>
                <w:rFonts w:ascii="Aptos" w:eastAsia="Times New Roman" w:hAnsi="Aptos" w:cs="Segoe UI"/>
                <w:color w:val="FF0000"/>
                <w:sz w:val="22"/>
                <w:szCs w:val="22"/>
                <w:lang w:eastAsia="en-AU"/>
              </w:rPr>
              <w:t> </w:t>
            </w:r>
          </w:p>
        </w:tc>
      </w:tr>
      <w:tr w:rsidR="0008629A" w:rsidRPr="006B1904" w14:paraId="093B61A7" w14:textId="77777777" w:rsidTr="003A7C09">
        <w:trPr>
          <w:trHeight w:val="330"/>
        </w:trPr>
        <w:tc>
          <w:tcPr>
            <w:tcW w:w="3261" w:type="dxa"/>
            <w:tcBorders>
              <w:top w:val="nil"/>
              <w:left w:val="nil"/>
              <w:bottom w:val="nil"/>
              <w:right w:val="nil"/>
            </w:tcBorders>
            <w:vAlign w:val="center"/>
          </w:tcPr>
          <w:p w14:paraId="07A0406A" w14:textId="29975280" w:rsidR="00411A23" w:rsidRPr="003A7C09" w:rsidRDefault="00411A23" w:rsidP="003A7C09">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Acquirers</w:t>
            </w:r>
            <w:r w:rsidR="002B061C">
              <w:rPr>
                <w:rStyle w:val="FootnoteReference"/>
                <w:rFonts w:ascii="Aptos" w:eastAsia="Times New Roman" w:hAnsi="Aptos" w:cs="Segoe UI"/>
                <w:sz w:val="22"/>
                <w:szCs w:val="22"/>
                <w:lang w:eastAsia="en-AU"/>
              </w:rPr>
              <w:footnoteReference w:id="23"/>
            </w:r>
          </w:p>
        </w:tc>
        <w:tc>
          <w:tcPr>
            <w:tcW w:w="3260" w:type="dxa"/>
            <w:tcBorders>
              <w:top w:val="nil"/>
              <w:left w:val="nil"/>
              <w:bottom w:val="nil"/>
              <w:right w:val="nil"/>
            </w:tcBorders>
            <w:vAlign w:val="center"/>
          </w:tcPr>
          <w:p w14:paraId="29D3C56D" w14:textId="500FA9CE"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3117" w:type="dxa"/>
            <w:tcBorders>
              <w:top w:val="nil"/>
              <w:left w:val="nil"/>
              <w:bottom w:val="nil"/>
              <w:right w:val="nil"/>
            </w:tcBorders>
            <w:vAlign w:val="center"/>
          </w:tcPr>
          <w:p w14:paraId="3C49B2CD" w14:textId="03F213B7"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color w:val="4EA72E"/>
                <w:sz w:val="22"/>
                <w:szCs w:val="22"/>
                <w:lang w:eastAsia="en-AU"/>
              </w:rPr>
              <w:t xml:space="preserve">+185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+220 </w:t>
            </w:r>
          </w:p>
        </w:tc>
      </w:tr>
      <w:tr w:rsidR="0008629A" w:rsidRPr="006B1904" w14:paraId="5906F352" w14:textId="77777777" w:rsidTr="003A7C09">
        <w:trPr>
          <w:trHeight w:val="330"/>
        </w:trPr>
        <w:tc>
          <w:tcPr>
            <w:tcW w:w="3261" w:type="dxa"/>
            <w:tcBorders>
              <w:top w:val="nil"/>
              <w:left w:val="nil"/>
              <w:bottom w:val="nil"/>
              <w:right w:val="nil"/>
            </w:tcBorders>
            <w:vAlign w:val="center"/>
          </w:tcPr>
          <w:p w14:paraId="555E1839" w14:textId="07FF4C77" w:rsidR="00411A23" w:rsidRPr="003A7C09" w:rsidRDefault="00411A23" w:rsidP="003A7C09">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Card networks – 4 party</w:t>
            </w:r>
          </w:p>
        </w:tc>
        <w:tc>
          <w:tcPr>
            <w:tcW w:w="3260" w:type="dxa"/>
            <w:tcBorders>
              <w:top w:val="nil"/>
              <w:left w:val="nil"/>
              <w:bottom w:val="nil"/>
              <w:right w:val="nil"/>
            </w:tcBorders>
            <w:vAlign w:val="center"/>
          </w:tcPr>
          <w:p w14:paraId="15D42757" w14:textId="3B5AE12C"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3117" w:type="dxa"/>
            <w:tcBorders>
              <w:top w:val="nil"/>
              <w:left w:val="nil"/>
              <w:bottom w:val="nil"/>
              <w:right w:val="nil"/>
            </w:tcBorders>
            <w:vAlign w:val="center"/>
          </w:tcPr>
          <w:p w14:paraId="06F5E5E9" w14:textId="287D1BDF"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color w:val="4EA72E"/>
                <w:sz w:val="22"/>
                <w:szCs w:val="22"/>
                <w:lang w:eastAsia="en-AU"/>
              </w:rPr>
              <w:t xml:space="preserve">+110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+145 </w:t>
            </w:r>
          </w:p>
        </w:tc>
      </w:tr>
      <w:tr w:rsidR="0008629A" w:rsidRPr="006B1904" w14:paraId="7976529F" w14:textId="77777777" w:rsidTr="003A7C09">
        <w:trPr>
          <w:trHeight w:val="330"/>
        </w:trPr>
        <w:tc>
          <w:tcPr>
            <w:tcW w:w="3261" w:type="dxa"/>
            <w:tcBorders>
              <w:top w:val="nil"/>
              <w:left w:val="nil"/>
              <w:bottom w:val="nil"/>
              <w:right w:val="nil"/>
            </w:tcBorders>
            <w:vAlign w:val="center"/>
          </w:tcPr>
          <w:p w14:paraId="5672E060" w14:textId="45D3593C" w:rsidR="00411A23" w:rsidRDefault="00411A23" w:rsidP="00411A23">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Card networks – 3 party</w:t>
            </w:r>
          </w:p>
        </w:tc>
        <w:tc>
          <w:tcPr>
            <w:tcW w:w="3260" w:type="dxa"/>
            <w:tcBorders>
              <w:top w:val="nil"/>
              <w:left w:val="nil"/>
              <w:bottom w:val="nil"/>
              <w:right w:val="nil"/>
            </w:tcBorders>
            <w:vAlign w:val="center"/>
          </w:tcPr>
          <w:p w14:paraId="1016AE2D" w14:textId="3B6BEFFA"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3117" w:type="dxa"/>
            <w:tcBorders>
              <w:top w:val="nil"/>
              <w:left w:val="nil"/>
              <w:bottom w:val="nil"/>
              <w:right w:val="nil"/>
            </w:tcBorders>
            <w:vAlign w:val="center"/>
          </w:tcPr>
          <w:p w14:paraId="5124AC05" w14:textId="36E21580" w:rsidR="00411A23" w:rsidRPr="006B1904" w:rsidRDefault="00411A23" w:rsidP="00411A23">
            <w:pPr>
              <w:spacing w:after="0" w:line="240" w:lineRule="auto"/>
              <w:jc w:val="right"/>
              <w:textAlignment w:val="baseline"/>
              <w:rPr>
                <w:rFonts w:ascii="Aptos" w:eastAsia="Times New Roman" w:hAnsi="Aptos" w:cs="Segoe UI"/>
                <w:color w:val="4EA72E"/>
                <w:sz w:val="22"/>
                <w:szCs w:val="22"/>
                <w:lang w:eastAsia="en-AU"/>
              </w:rPr>
            </w:pPr>
            <w:r w:rsidRPr="006B1904">
              <w:rPr>
                <w:rFonts w:ascii="Aptos" w:eastAsia="Times New Roman" w:hAnsi="Aptos" w:cs="Segoe UI"/>
                <w:color w:val="4EA72E"/>
                <w:sz w:val="22"/>
                <w:szCs w:val="22"/>
                <w:lang w:eastAsia="en-AU"/>
              </w:rPr>
              <w:t xml:space="preserve">+370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+650 </w:t>
            </w:r>
          </w:p>
        </w:tc>
      </w:tr>
      <w:tr w:rsidR="009D1733" w:rsidRPr="006B1904" w14:paraId="088AF797" w14:textId="77777777" w:rsidTr="003A7C09">
        <w:trPr>
          <w:trHeight w:val="330"/>
        </w:trPr>
        <w:tc>
          <w:tcPr>
            <w:tcW w:w="3261" w:type="dxa"/>
            <w:tcBorders>
              <w:top w:val="nil"/>
              <w:left w:val="nil"/>
              <w:bottom w:val="single" w:sz="4" w:space="0" w:color="auto"/>
              <w:right w:val="nil"/>
            </w:tcBorders>
            <w:vAlign w:val="center"/>
          </w:tcPr>
          <w:p w14:paraId="7CEE7651" w14:textId="16DD7936" w:rsidR="00411A23" w:rsidRDefault="00411A23" w:rsidP="00411A23">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BNPL</w:t>
            </w:r>
          </w:p>
        </w:tc>
        <w:tc>
          <w:tcPr>
            <w:tcW w:w="3260" w:type="dxa"/>
            <w:tcBorders>
              <w:top w:val="nil"/>
              <w:left w:val="nil"/>
              <w:bottom w:val="single" w:sz="4" w:space="0" w:color="auto"/>
              <w:right w:val="nil"/>
            </w:tcBorders>
            <w:vAlign w:val="center"/>
          </w:tcPr>
          <w:p w14:paraId="633DF7BC" w14:textId="02451FF1" w:rsidR="00411A23" w:rsidRPr="006B1904" w:rsidRDefault="00411A23" w:rsidP="00411A23">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3117" w:type="dxa"/>
            <w:tcBorders>
              <w:top w:val="nil"/>
              <w:left w:val="nil"/>
              <w:bottom w:val="single" w:sz="4" w:space="0" w:color="auto"/>
              <w:right w:val="nil"/>
            </w:tcBorders>
            <w:vAlign w:val="center"/>
          </w:tcPr>
          <w:p w14:paraId="5B55E04E" w14:textId="30E71514" w:rsidR="00411A23" w:rsidRPr="006B1904" w:rsidRDefault="00411A23" w:rsidP="00411A23">
            <w:pPr>
              <w:spacing w:after="0" w:line="240" w:lineRule="auto"/>
              <w:jc w:val="right"/>
              <w:textAlignment w:val="baseline"/>
              <w:rPr>
                <w:rFonts w:ascii="Aptos" w:eastAsia="Times New Roman" w:hAnsi="Aptos" w:cs="Segoe UI"/>
                <w:color w:val="4EA72E"/>
                <w:sz w:val="22"/>
                <w:szCs w:val="22"/>
                <w:lang w:eastAsia="en-AU"/>
              </w:rPr>
            </w:pPr>
            <w:r w:rsidRPr="006B1904">
              <w:rPr>
                <w:rFonts w:ascii="Aptos" w:eastAsia="Times New Roman" w:hAnsi="Aptos" w:cs="Segoe UI"/>
                <w:color w:val="4EA72E"/>
                <w:sz w:val="22"/>
                <w:szCs w:val="22"/>
                <w:lang w:eastAsia="en-AU"/>
              </w:rPr>
              <w:t xml:space="preserve">+90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+175 </w:t>
            </w:r>
          </w:p>
        </w:tc>
      </w:tr>
    </w:tbl>
    <w:p w14:paraId="74AB3D4F" w14:textId="1A56D1FB" w:rsidR="00FD6DA2" w:rsidRPr="00BF20C3" w:rsidRDefault="006B1904" w:rsidP="003A7C09">
      <w:pPr>
        <w:jc w:val="left"/>
        <w:rPr>
          <w:sz w:val="21"/>
          <w:szCs w:val="21"/>
        </w:rPr>
      </w:pPr>
      <w:r w:rsidDel="00BA192B">
        <w:rPr>
          <w:noProof/>
        </w:rPr>
        <w:t xml:space="preserve"> </w:t>
      </w:r>
    </w:p>
    <w:p w14:paraId="2814B1C3" w14:textId="6A43F5C9" w:rsidR="00D656CB" w:rsidRDefault="00727BFA" w:rsidP="00D656CB">
      <w:pPr>
        <w:rPr>
          <w:rFonts w:cstheme="minorHAnsi"/>
          <w:sz w:val="21"/>
          <w:szCs w:val="21"/>
        </w:rPr>
      </w:pPr>
      <w:r w:rsidRPr="009374FE">
        <w:rPr>
          <w:rFonts w:cstheme="minorHAnsi"/>
          <w:sz w:val="21"/>
          <w:szCs w:val="21"/>
        </w:rPr>
        <w:t xml:space="preserve">We describe below further detail </w:t>
      </w:r>
      <w:r>
        <w:rPr>
          <w:rFonts w:cstheme="minorHAnsi"/>
          <w:sz w:val="21"/>
          <w:szCs w:val="21"/>
        </w:rPr>
        <w:t xml:space="preserve">on the implications for various parties in the </w:t>
      </w:r>
      <w:r w:rsidR="00135087">
        <w:rPr>
          <w:rFonts w:cstheme="minorHAnsi"/>
          <w:sz w:val="21"/>
          <w:szCs w:val="21"/>
        </w:rPr>
        <w:t>value chain.</w:t>
      </w:r>
      <w:r>
        <w:rPr>
          <w:rFonts w:cstheme="minorHAnsi"/>
          <w:sz w:val="21"/>
          <w:szCs w:val="21"/>
        </w:rPr>
        <w:t xml:space="preserve"> </w:t>
      </w:r>
    </w:p>
    <w:p w14:paraId="45AD3DA9" w14:textId="63DA9339" w:rsidR="00266025" w:rsidRDefault="00266025" w:rsidP="00F83882">
      <w:pPr>
        <w:rPr>
          <w:rFonts w:cstheme="minorHAnsi"/>
          <w:b/>
          <w:bCs/>
          <w:sz w:val="21"/>
          <w:szCs w:val="21"/>
          <w:lang w:val="en-GB"/>
        </w:rPr>
      </w:pPr>
      <w:r>
        <w:rPr>
          <w:rFonts w:cstheme="minorHAnsi"/>
          <w:b/>
          <w:bCs/>
          <w:sz w:val="21"/>
          <w:szCs w:val="21"/>
          <w:lang w:val="en-GB"/>
        </w:rPr>
        <w:t xml:space="preserve">i) </w:t>
      </w:r>
      <w:r>
        <w:rPr>
          <w:rFonts w:cstheme="minorHAnsi"/>
          <w:b/>
          <w:bCs/>
          <w:sz w:val="21"/>
          <w:szCs w:val="21"/>
          <w:lang w:val="en-GB"/>
        </w:rPr>
        <w:tab/>
      </w:r>
      <w:proofErr w:type="gramStart"/>
      <w:r>
        <w:rPr>
          <w:rFonts w:cstheme="minorHAnsi"/>
          <w:b/>
          <w:bCs/>
          <w:sz w:val="21"/>
          <w:szCs w:val="21"/>
          <w:lang w:val="en-GB"/>
        </w:rPr>
        <w:t>Public</w:t>
      </w:r>
      <w:proofErr w:type="gramEnd"/>
      <w:r>
        <w:rPr>
          <w:rFonts w:cstheme="minorHAnsi"/>
          <w:b/>
          <w:bCs/>
          <w:sz w:val="21"/>
          <w:szCs w:val="21"/>
          <w:lang w:val="en-GB"/>
        </w:rPr>
        <w:t xml:space="preserve"> benefit – consumers and small businesses</w:t>
      </w:r>
    </w:p>
    <w:p w14:paraId="3B98454A" w14:textId="1108CA15" w:rsidR="00482EDF" w:rsidRDefault="00AC1A85" w:rsidP="00F122A6">
      <w:pPr>
        <w:rPr>
          <w:rFonts w:cstheme="minorHAnsi"/>
          <w:sz w:val="21"/>
          <w:szCs w:val="21"/>
          <w:lang w:val="en-GB"/>
        </w:rPr>
      </w:pPr>
      <w:r>
        <w:rPr>
          <w:rFonts w:cstheme="minorHAnsi"/>
          <w:sz w:val="21"/>
          <w:szCs w:val="21"/>
          <w:lang w:val="en-GB"/>
        </w:rPr>
        <w:t xml:space="preserve">We do not </w:t>
      </w:r>
      <w:r w:rsidR="007D4840">
        <w:rPr>
          <w:rFonts w:cstheme="minorHAnsi"/>
          <w:sz w:val="21"/>
          <w:szCs w:val="21"/>
          <w:lang w:val="en-GB"/>
        </w:rPr>
        <w:t xml:space="preserve">believe </w:t>
      </w:r>
      <w:r>
        <w:rPr>
          <w:rFonts w:cstheme="minorHAnsi"/>
          <w:sz w:val="21"/>
          <w:szCs w:val="21"/>
          <w:lang w:val="en-GB"/>
        </w:rPr>
        <w:t xml:space="preserve">that the estimated benefits to consumers will be realised. </w:t>
      </w:r>
      <w:r w:rsidR="00B8583D">
        <w:rPr>
          <w:rFonts w:cstheme="minorHAnsi"/>
          <w:sz w:val="21"/>
          <w:szCs w:val="21"/>
          <w:lang w:val="en-GB"/>
        </w:rPr>
        <w:t xml:space="preserve">Based on </w:t>
      </w:r>
      <w:r w:rsidR="000D306B" w:rsidRPr="000D306B">
        <w:rPr>
          <w:rFonts w:cstheme="minorHAnsi"/>
          <w:sz w:val="21"/>
          <w:szCs w:val="21"/>
          <w:lang w:val="en-GB"/>
        </w:rPr>
        <w:t>Mandala</w:t>
      </w:r>
      <w:r w:rsidR="00482EDF" w:rsidRPr="000D306B">
        <w:rPr>
          <w:rFonts w:cstheme="minorHAnsi"/>
          <w:sz w:val="21"/>
          <w:szCs w:val="21"/>
          <w:lang w:val="en-GB"/>
        </w:rPr>
        <w:t xml:space="preserve"> analysis,</w:t>
      </w:r>
      <w:r w:rsidR="00482EDF">
        <w:rPr>
          <w:rFonts w:cstheme="minorHAnsi"/>
          <w:sz w:val="21"/>
          <w:szCs w:val="21"/>
          <w:lang w:val="en-GB"/>
        </w:rPr>
        <w:t xml:space="preserve"> consumers could be </w:t>
      </w:r>
      <w:r w:rsidR="00EC598D">
        <w:rPr>
          <w:rFonts w:cstheme="minorHAnsi"/>
          <w:sz w:val="21"/>
          <w:szCs w:val="21"/>
          <w:lang w:val="en-GB"/>
        </w:rPr>
        <w:t>$</w:t>
      </w:r>
      <w:r w:rsidR="00482EDF">
        <w:rPr>
          <w:rFonts w:cstheme="minorHAnsi"/>
          <w:sz w:val="21"/>
          <w:szCs w:val="21"/>
          <w:lang w:val="en-GB"/>
        </w:rPr>
        <w:t>2</w:t>
      </w:r>
      <w:r w:rsidR="007E5853">
        <w:rPr>
          <w:rFonts w:cstheme="minorHAnsi"/>
          <w:sz w:val="21"/>
          <w:szCs w:val="21"/>
          <w:lang w:val="en-GB"/>
        </w:rPr>
        <w:t>0</w:t>
      </w:r>
      <w:r w:rsidR="00482EDF">
        <w:rPr>
          <w:rFonts w:cstheme="minorHAnsi"/>
          <w:sz w:val="21"/>
          <w:szCs w:val="21"/>
          <w:lang w:val="en-GB"/>
        </w:rPr>
        <w:t>0</w:t>
      </w:r>
      <w:r w:rsidR="00EC598D">
        <w:rPr>
          <w:rFonts w:cstheme="minorHAnsi"/>
          <w:sz w:val="21"/>
          <w:szCs w:val="21"/>
          <w:lang w:val="en-GB"/>
        </w:rPr>
        <w:t xml:space="preserve"> million p.a.</w:t>
      </w:r>
      <w:r w:rsidR="00482EDF">
        <w:rPr>
          <w:rFonts w:cstheme="minorHAnsi"/>
          <w:sz w:val="21"/>
          <w:szCs w:val="21"/>
          <w:lang w:val="en-GB"/>
        </w:rPr>
        <w:t xml:space="preserve"> worse off</w:t>
      </w:r>
      <w:r w:rsidR="007E5853">
        <w:rPr>
          <w:rFonts w:cstheme="minorHAnsi"/>
          <w:sz w:val="21"/>
          <w:szCs w:val="21"/>
          <w:lang w:val="en-GB"/>
        </w:rPr>
        <w:t xml:space="preserve"> to $5 million p.a. better off.</w:t>
      </w:r>
    </w:p>
    <w:p w14:paraId="52B7F54D" w14:textId="26997980" w:rsidR="00266025" w:rsidRDefault="00F0663C" w:rsidP="00F122A6">
      <w:r>
        <w:rPr>
          <w:sz w:val="21"/>
          <w:szCs w:val="21"/>
        </w:rPr>
        <w:t>Merchant p</w:t>
      </w:r>
      <w:r w:rsidRPr="005442DB">
        <w:rPr>
          <w:sz w:val="21"/>
          <w:szCs w:val="21"/>
        </w:rPr>
        <w:t xml:space="preserve">rice </w:t>
      </w:r>
      <w:r w:rsidR="005442DB" w:rsidRPr="005442DB">
        <w:rPr>
          <w:sz w:val="21"/>
          <w:szCs w:val="21"/>
        </w:rPr>
        <w:t>increases are likely to offset the removal of surcharges</w:t>
      </w:r>
      <w:r w:rsidR="003F6BB0">
        <w:rPr>
          <w:sz w:val="21"/>
          <w:szCs w:val="21"/>
        </w:rPr>
        <w:t>. T</w:t>
      </w:r>
      <w:r w:rsidR="00FC513F" w:rsidRPr="005442DB">
        <w:rPr>
          <w:sz w:val="21"/>
          <w:szCs w:val="21"/>
        </w:rPr>
        <w:t xml:space="preserve">here is </w:t>
      </w:r>
      <w:r w:rsidR="002A3754">
        <w:rPr>
          <w:sz w:val="21"/>
          <w:szCs w:val="21"/>
        </w:rPr>
        <w:t>limited</w:t>
      </w:r>
      <w:r w:rsidR="00FC513F" w:rsidRPr="005442DB">
        <w:rPr>
          <w:sz w:val="21"/>
          <w:szCs w:val="21"/>
        </w:rPr>
        <w:t xml:space="preserve"> evidence that lower interchange </w:t>
      </w:r>
      <w:r w:rsidR="00D42657">
        <w:rPr>
          <w:sz w:val="21"/>
          <w:szCs w:val="21"/>
        </w:rPr>
        <w:t xml:space="preserve">will be </w:t>
      </w:r>
      <w:r w:rsidR="00FC513F" w:rsidRPr="005442DB">
        <w:rPr>
          <w:sz w:val="21"/>
          <w:szCs w:val="21"/>
        </w:rPr>
        <w:t>passed on through lower prices</w:t>
      </w:r>
      <w:r w:rsidR="005442DB" w:rsidRPr="005442DB">
        <w:rPr>
          <w:sz w:val="21"/>
          <w:szCs w:val="21"/>
        </w:rPr>
        <w:t xml:space="preserve">. </w:t>
      </w:r>
      <w:r w:rsidR="007E276B" w:rsidRPr="00620AD8">
        <w:rPr>
          <w:sz w:val="21"/>
          <w:szCs w:val="21"/>
        </w:rPr>
        <w:t>The proposed credit interchange reductions will</w:t>
      </w:r>
      <w:r w:rsidR="007E276B" w:rsidRPr="00620AD8">
        <w:rPr>
          <w:rFonts w:cstheme="minorHAnsi"/>
          <w:sz w:val="21"/>
          <w:szCs w:val="21"/>
        </w:rPr>
        <w:t xml:space="preserve"> put at risk</w:t>
      </w:r>
      <w:r w:rsidR="005442DB" w:rsidRPr="00620AD8">
        <w:rPr>
          <w:rFonts w:cstheme="minorHAnsi"/>
          <w:sz w:val="21"/>
          <w:szCs w:val="21"/>
        </w:rPr>
        <w:t xml:space="preserve"> </w:t>
      </w:r>
      <w:r w:rsidR="005442DB" w:rsidRPr="00620AD8">
        <w:rPr>
          <w:sz w:val="21"/>
          <w:szCs w:val="21"/>
          <w:lang w:val="en-GB"/>
        </w:rPr>
        <w:t xml:space="preserve">the </w:t>
      </w:r>
      <w:r w:rsidR="007E276B" w:rsidRPr="00620AD8">
        <w:rPr>
          <w:sz w:val="21"/>
          <w:szCs w:val="21"/>
          <w:lang w:val="en-GB"/>
        </w:rPr>
        <w:t xml:space="preserve">flexibility in </w:t>
      </w:r>
      <w:r w:rsidR="005442DB" w:rsidRPr="00620AD8">
        <w:rPr>
          <w:sz w:val="21"/>
          <w:szCs w:val="21"/>
          <w:lang w:val="en-GB"/>
        </w:rPr>
        <w:t>interest</w:t>
      </w:r>
      <w:r w:rsidR="007E276B" w:rsidRPr="00620AD8">
        <w:rPr>
          <w:sz w:val="21"/>
          <w:szCs w:val="21"/>
          <w:lang w:val="en-GB"/>
        </w:rPr>
        <w:t>-free days, low interest</w:t>
      </w:r>
      <w:r w:rsidR="005442DB" w:rsidRPr="00620AD8">
        <w:rPr>
          <w:sz w:val="21"/>
          <w:szCs w:val="21"/>
          <w:lang w:val="en-GB"/>
        </w:rPr>
        <w:t xml:space="preserve">, and </w:t>
      </w:r>
      <w:r w:rsidR="007E276B" w:rsidRPr="00620AD8">
        <w:rPr>
          <w:sz w:val="21"/>
          <w:szCs w:val="21"/>
          <w:lang w:val="en-GB"/>
        </w:rPr>
        <w:t>comparable</w:t>
      </w:r>
      <w:r w:rsidR="00A553CD">
        <w:rPr>
          <w:sz w:val="21"/>
          <w:szCs w:val="21"/>
          <w:lang w:val="en-GB"/>
        </w:rPr>
        <w:t xml:space="preserve"> (or </w:t>
      </w:r>
      <w:r w:rsidR="007E276B" w:rsidRPr="00620AD8">
        <w:rPr>
          <w:sz w:val="21"/>
          <w:szCs w:val="21"/>
          <w:lang w:val="en-GB"/>
        </w:rPr>
        <w:t>lower</w:t>
      </w:r>
      <w:r w:rsidR="00A553CD">
        <w:rPr>
          <w:sz w:val="21"/>
          <w:szCs w:val="21"/>
          <w:lang w:val="en-GB"/>
        </w:rPr>
        <w:t>)</w:t>
      </w:r>
      <w:r w:rsidR="007E276B" w:rsidRPr="00620AD8">
        <w:rPr>
          <w:sz w:val="21"/>
          <w:szCs w:val="21"/>
          <w:lang w:val="en-GB"/>
        </w:rPr>
        <w:t xml:space="preserve"> annual fees </w:t>
      </w:r>
      <w:r w:rsidR="004C52B2">
        <w:rPr>
          <w:sz w:val="21"/>
          <w:szCs w:val="21"/>
          <w:lang w:val="en-GB"/>
        </w:rPr>
        <w:t xml:space="preserve">to the EU </w:t>
      </w:r>
      <w:r w:rsidR="00A72257">
        <w:rPr>
          <w:sz w:val="21"/>
          <w:szCs w:val="21"/>
          <w:lang w:val="en-GB"/>
        </w:rPr>
        <w:t xml:space="preserve">and US </w:t>
      </w:r>
      <w:r w:rsidR="007E276B" w:rsidRPr="00620AD8">
        <w:rPr>
          <w:sz w:val="21"/>
          <w:szCs w:val="21"/>
          <w:lang w:val="en-GB"/>
        </w:rPr>
        <w:t>that Australians currently enjoy</w:t>
      </w:r>
      <w:r w:rsidR="00620AD8" w:rsidRPr="00620AD8">
        <w:rPr>
          <w:sz w:val="21"/>
          <w:szCs w:val="21"/>
          <w:lang w:val="en-GB"/>
        </w:rPr>
        <w:t>.</w:t>
      </w:r>
      <w:r w:rsidR="005442DB" w:rsidRPr="005442DB">
        <w:rPr>
          <w:sz w:val="21"/>
          <w:szCs w:val="21"/>
        </w:rPr>
        <w:t xml:space="preserve"> </w:t>
      </w:r>
      <w:r w:rsidR="0060372B">
        <w:rPr>
          <w:sz w:val="21"/>
          <w:szCs w:val="21"/>
        </w:rPr>
        <w:t>For example</w:t>
      </w:r>
      <w:r w:rsidR="005442DB" w:rsidRPr="008151E7">
        <w:rPr>
          <w:sz w:val="21"/>
          <w:szCs w:val="21"/>
        </w:rPr>
        <w:t>,</w:t>
      </w:r>
      <w:r w:rsidR="005442DB" w:rsidRPr="005442DB">
        <w:rPr>
          <w:sz w:val="21"/>
          <w:szCs w:val="21"/>
        </w:rPr>
        <w:t xml:space="preserve"> </w:t>
      </w:r>
      <w:r w:rsidR="005442DB" w:rsidRPr="005442DB">
        <w:rPr>
          <w:sz w:val="21"/>
          <w:szCs w:val="21"/>
          <w:lang w:val="en-GB"/>
        </w:rPr>
        <w:t xml:space="preserve">interchange reductions </w:t>
      </w:r>
      <w:r w:rsidR="005442DB" w:rsidRPr="005442DB">
        <w:rPr>
          <w:sz w:val="21"/>
          <w:szCs w:val="21"/>
        </w:rPr>
        <w:t xml:space="preserve">in the US were followed by reduced access to fee-free accounts, </w:t>
      </w:r>
      <w:r w:rsidR="00975C33">
        <w:rPr>
          <w:sz w:val="21"/>
          <w:szCs w:val="21"/>
        </w:rPr>
        <w:t xml:space="preserve">and </w:t>
      </w:r>
      <w:r w:rsidR="000D5B0F" w:rsidRPr="003A7C09">
        <w:rPr>
          <w:i/>
          <w:iCs/>
          <w:sz w:val="21"/>
          <w:szCs w:val="21"/>
        </w:rPr>
        <w:t>‘contributed to</w:t>
      </w:r>
      <w:r w:rsidR="00A3341E" w:rsidRPr="003A7C09">
        <w:rPr>
          <w:i/>
          <w:iCs/>
          <w:sz w:val="21"/>
          <w:szCs w:val="21"/>
        </w:rPr>
        <w:t xml:space="preserve"> an increase in the unbanked population</w:t>
      </w:r>
      <w:r w:rsidR="00183F3A" w:rsidRPr="003A7C09">
        <w:rPr>
          <w:i/>
          <w:iCs/>
          <w:sz w:val="21"/>
          <w:szCs w:val="21"/>
        </w:rPr>
        <w:t xml:space="preserve"> of approximately 1 million people, mainly among low-income </w:t>
      </w:r>
      <w:proofErr w:type="gramStart"/>
      <w:r w:rsidR="00183F3A" w:rsidRPr="003A7C09">
        <w:rPr>
          <w:i/>
          <w:iCs/>
          <w:sz w:val="21"/>
          <w:szCs w:val="21"/>
        </w:rPr>
        <w:t>families’</w:t>
      </w:r>
      <w:proofErr w:type="gramEnd"/>
      <w:r w:rsidR="005442DB">
        <w:t>.</w:t>
      </w:r>
      <w:r w:rsidR="005442DB">
        <w:rPr>
          <w:rStyle w:val="FootnoteReference"/>
        </w:rPr>
        <w:footnoteReference w:id="24"/>
      </w:r>
    </w:p>
    <w:p w14:paraId="717E3BEC" w14:textId="515C253E" w:rsidR="00F02541" w:rsidRDefault="000439B8" w:rsidP="00F122A6">
      <w:pPr>
        <w:rPr>
          <w:sz w:val="21"/>
          <w:szCs w:val="21"/>
        </w:rPr>
      </w:pPr>
      <w:r w:rsidRPr="003A7C09">
        <w:rPr>
          <w:sz w:val="21"/>
          <w:szCs w:val="21"/>
        </w:rPr>
        <w:t xml:space="preserve">With average credit interchange reduced by ~40%, </w:t>
      </w:r>
      <w:proofErr w:type="gramStart"/>
      <w:r w:rsidRPr="003A7C09">
        <w:rPr>
          <w:sz w:val="21"/>
          <w:szCs w:val="21"/>
        </w:rPr>
        <w:t>low cost</w:t>
      </w:r>
      <w:proofErr w:type="gramEnd"/>
      <w:r w:rsidRPr="003A7C09">
        <w:rPr>
          <w:sz w:val="21"/>
          <w:szCs w:val="21"/>
        </w:rPr>
        <w:t xml:space="preserve"> credit propositions for consumers and small businesses, and charge cards for all businesses, will be unviable</w:t>
      </w:r>
      <w:r w:rsidR="004E34A0">
        <w:rPr>
          <w:sz w:val="21"/>
          <w:szCs w:val="21"/>
        </w:rPr>
        <w:t>, and</w:t>
      </w:r>
      <w:r w:rsidRPr="003A7C09">
        <w:rPr>
          <w:sz w:val="21"/>
          <w:szCs w:val="21"/>
        </w:rPr>
        <w:t xml:space="preserve"> these customers may turn to alternatives </w:t>
      </w:r>
      <w:r w:rsidR="009A006A">
        <w:rPr>
          <w:sz w:val="21"/>
          <w:szCs w:val="21"/>
        </w:rPr>
        <w:t xml:space="preserve">that are more costly for merchants </w:t>
      </w:r>
      <w:r w:rsidRPr="003A7C09">
        <w:rPr>
          <w:sz w:val="21"/>
          <w:szCs w:val="21"/>
        </w:rPr>
        <w:t>such as three-party schemes</w:t>
      </w:r>
      <w:r w:rsidR="00231269">
        <w:rPr>
          <w:sz w:val="21"/>
          <w:szCs w:val="21"/>
        </w:rPr>
        <w:t>,</w:t>
      </w:r>
      <w:r w:rsidRPr="003A7C09">
        <w:rPr>
          <w:sz w:val="21"/>
          <w:szCs w:val="21"/>
        </w:rPr>
        <w:t xml:space="preserve"> BNPL</w:t>
      </w:r>
      <w:r w:rsidR="003F37B9">
        <w:rPr>
          <w:sz w:val="21"/>
          <w:szCs w:val="21"/>
        </w:rPr>
        <w:t xml:space="preserve"> and</w:t>
      </w:r>
      <w:r w:rsidRPr="003A7C09">
        <w:rPr>
          <w:sz w:val="21"/>
          <w:szCs w:val="21"/>
        </w:rPr>
        <w:t xml:space="preserve"> payday lenders</w:t>
      </w:r>
      <w:r w:rsidR="003F37B9">
        <w:rPr>
          <w:sz w:val="21"/>
          <w:szCs w:val="21"/>
        </w:rPr>
        <w:t>.</w:t>
      </w:r>
      <w:r w:rsidR="007E7E9E">
        <w:rPr>
          <w:sz w:val="21"/>
          <w:szCs w:val="21"/>
        </w:rPr>
        <w:t xml:space="preserve"> </w:t>
      </w:r>
    </w:p>
    <w:p w14:paraId="45F08C16" w14:textId="411C12C0" w:rsidR="009A006A" w:rsidRDefault="003F37B9" w:rsidP="00F122A6">
      <w:pPr>
        <w:rPr>
          <w:sz w:val="21"/>
          <w:szCs w:val="21"/>
        </w:rPr>
      </w:pPr>
      <w:r>
        <w:rPr>
          <w:sz w:val="21"/>
          <w:szCs w:val="21"/>
        </w:rPr>
        <w:t>O</w:t>
      </w:r>
      <w:r w:rsidR="000439B8" w:rsidRPr="003A7C09">
        <w:rPr>
          <w:sz w:val="21"/>
          <w:szCs w:val="21"/>
        </w:rPr>
        <w:t>ther working capital options</w:t>
      </w:r>
      <w:r>
        <w:rPr>
          <w:sz w:val="21"/>
          <w:szCs w:val="21"/>
        </w:rPr>
        <w:t xml:space="preserve"> </w:t>
      </w:r>
      <w:r w:rsidR="007851A7">
        <w:rPr>
          <w:sz w:val="21"/>
          <w:szCs w:val="21"/>
        </w:rPr>
        <w:t xml:space="preserve">would also be more expensive for </w:t>
      </w:r>
      <w:r w:rsidR="00421BBF">
        <w:rPr>
          <w:sz w:val="21"/>
          <w:szCs w:val="21"/>
        </w:rPr>
        <w:t>businesses</w:t>
      </w:r>
      <w:r w:rsidR="00F02541">
        <w:rPr>
          <w:sz w:val="21"/>
          <w:szCs w:val="21"/>
        </w:rPr>
        <w:t>.</w:t>
      </w:r>
      <w:r w:rsidR="004B59D3">
        <w:rPr>
          <w:sz w:val="21"/>
          <w:szCs w:val="21"/>
        </w:rPr>
        <w:t xml:space="preserve"> </w:t>
      </w:r>
      <w:r w:rsidR="005F0C45" w:rsidRPr="00AD02C3">
        <w:rPr>
          <w:rFonts w:cstheme="minorHAnsi"/>
          <w:sz w:val="21"/>
          <w:szCs w:val="21"/>
        </w:rPr>
        <w:t>I</w:t>
      </w:r>
      <w:r w:rsidR="009A006A" w:rsidRPr="00AD02C3">
        <w:rPr>
          <w:rFonts w:cstheme="minorHAnsi"/>
          <w:sz w:val="21"/>
          <w:szCs w:val="21"/>
        </w:rPr>
        <w:t xml:space="preserve">t </w:t>
      </w:r>
      <w:r w:rsidR="009A0076">
        <w:rPr>
          <w:rFonts w:cstheme="minorHAnsi"/>
          <w:sz w:val="21"/>
          <w:szCs w:val="21"/>
        </w:rPr>
        <w:t>c</w:t>
      </w:r>
      <w:r w:rsidR="009A006A" w:rsidRPr="00AD02C3">
        <w:rPr>
          <w:rFonts w:cstheme="minorHAnsi"/>
          <w:sz w:val="21"/>
          <w:szCs w:val="21"/>
        </w:rPr>
        <w:t xml:space="preserve">ould cost </w:t>
      </w:r>
      <w:r w:rsidR="005F0C45" w:rsidRPr="00AD02C3">
        <w:rPr>
          <w:rFonts w:cstheme="minorHAnsi"/>
          <w:sz w:val="21"/>
          <w:szCs w:val="21"/>
        </w:rPr>
        <w:t xml:space="preserve">a </w:t>
      </w:r>
      <w:r w:rsidR="009A006A" w:rsidRPr="00AD02C3">
        <w:rPr>
          <w:rFonts w:cstheme="minorHAnsi"/>
          <w:sz w:val="21"/>
          <w:szCs w:val="21"/>
        </w:rPr>
        <w:t>median mid-</w:t>
      </w:r>
      <w:r w:rsidR="005F0C45" w:rsidRPr="00AD02C3">
        <w:rPr>
          <w:rFonts w:cstheme="minorHAnsi"/>
          <w:sz w:val="21"/>
          <w:szCs w:val="21"/>
        </w:rPr>
        <w:t>to -</w:t>
      </w:r>
      <w:r w:rsidR="009A006A" w:rsidRPr="00AD02C3">
        <w:rPr>
          <w:rFonts w:cstheme="minorHAnsi"/>
          <w:sz w:val="21"/>
          <w:szCs w:val="21"/>
        </w:rPr>
        <w:t>large sized merchant ~80</w:t>
      </w:r>
      <w:r w:rsidR="00396080">
        <w:rPr>
          <w:rFonts w:cstheme="minorHAnsi"/>
          <w:sz w:val="21"/>
          <w:szCs w:val="21"/>
        </w:rPr>
        <w:t xml:space="preserve"> </w:t>
      </w:r>
      <w:r w:rsidR="009A006A" w:rsidRPr="00AD02C3">
        <w:rPr>
          <w:rFonts w:cstheme="minorHAnsi"/>
          <w:sz w:val="21"/>
          <w:szCs w:val="21"/>
        </w:rPr>
        <w:t>bp</w:t>
      </w:r>
      <w:r w:rsidR="00396080">
        <w:rPr>
          <w:rFonts w:cstheme="minorHAnsi"/>
          <w:sz w:val="21"/>
          <w:szCs w:val="21"/>
        </w:rPr>
        <w:t>s</w:t>
      </w:r>
      <w:r w:rsidR="009A006A" w:rsidRPr="00AD02C3">
        <w:rPr>
          <w:rFonts w:cstheme="minorHAnsi"/>
          <w:sz w:val="21"/>
          <w:szCs w:val="21"/>
        </w:rPr>
        <w:t xml:space="preserve"> to fund a month</w:t>
      </w:r>
      <w:r w:rsidR="005F0C45" w:rsidRPr="00AD02C3">
        <w:rPr>
          <w:rFonts w:cstheme="minorHAnsi"/>
          <w:sz w:val="21"/>
          <w:szCs w:val="21"/>
        </w:rPr>
        <w:t>’</w:t>
      </w:r>
      <w:r w:rsidR="009A006A" w:rsidRPr="00AD02C3">
        <w:rPr>
          <w:rFonts w:cstheme="minorHAnsi"/>
          <w:sz w:val="21"/>
          <w:szCs w:val="21"/>
        </w:rPr>
        <w:t>s working capital facility, and for smaller merchants ~120</w:t>
      </w:r>
      <w:r w:rsidR="00396080">
        <w:rPr>
          <w:rFonts w:cstheme="minorHAnsi"/>
          <w:sz w:val="21"/>
          <w:szCs w:val="21"/>
        </w:rPr>
        <w:t xml:space="preserve"> </w:t>
      </w:r>
      <w:r w:rsidR="009A006A" w:rsidRPr="00AD02C3">
        <w:rPr>
          <w:rFonts w:cstheme="minorHAnsi"/>
          <w:sz w:val="21"/>
          <w:szCs w:val="21"/>
        </w:rPr>
        <w:t>bp</w:t>
      </w:r>
      <w:r w:rsidR="00396080">
        <w:rPr>
          <w:rFonts w:cstheme="minorHAnsi"/>
          <w:sz w:val="21"/>
          <w:szCs w:val="21"/>
        </w:rPr>
        <w:t>s</w:t>
      </w:r>
      <w:r w:rsidR="009A006A" w:rsidRPr="00AD02C3">
        <w:rPr>
          <w:rFonts w:cstheme="minorHAnsi"/>
          <w:sz w:val="21"/>
          <w:szCs w:val="21"/>
        </w:rPr>
        <w:t xml:space="preserve">. Cards </w:t>
      </w:r>
      <w:r w:rsidR="007E7E9E" w:rsidRPr="00AD02C3">
        <w:rPr>
          <w:rFonts w:cstheme="minorHAnsi"/>
          <w:sz w:val="21"/>
          <w:szCs w:val="21"/>
        </w:rPr>
        <w:t>additionally</w:t>
      </w:r>
      <w:r w:rsidR="009A006A" w:rsidRPr="00AD02C3">
        <w:rPr>
          <w:rFonts w:cstheme="minorHAnsi"/>
          <w:sz w:val="21"/>
          <w:szCs w:val="21"/>
        </w:rPr>
        <w:t xml:space="preserve"> come with extra benefits such as guaranteed settlement</w:t>
      </w:r>
      <w:r w:rsidR="007E7E9E" w:rsidRPr="00AD02C3">
        <w:rPr>
          <w:rFonts w:cstheme="minorHAnsi"/>
          <w:sz w:val="21"/>
          <w:szCs w:val="21"/>
        </w:rPr>
        <w:t xml:space="preserve"> and</w:t>
      </w:r>
      <w:r w:rsidR="009A006A" w:rsidRPr="00AD02C3">
        <w:rPr>
          <w:rFonts w:cstheme="minorHAnsi"/>
          <w:sz w:val="21"/>
          <w:szCs w:val="21"/>
        </w:rPr>
        <w:t xml:space="preserve"> lower operational overhead</w:t>
      </w:r>
      <w:r w:rsidR="007E7E9E" w:rsidRPr="00AD02C3">
        <w:rPr>
          <w:rFonts w:cstheme="minorHAnsi"/>
          <w:sz w:val="21"/>
          <w:szCs w:val="21"/>
        </w:rPr>
        <w:t>s</w:t>
      </w:r>
      <w:r w:rsidR="009A006A" w:rsidRPr="00AD02C3">
        <w:rPr>
          <w:rFonts w:cstheme="minorHAnsi"/>
          <w:sz w:val="21"/>
          <w:szCs w:val="21"/>
        </w:rPr>
        <w:t>.</w:t>
      </w:r>
    </w:p>
    <w:p w14:paraId="659B8151" w14:textId="440DB16F" w:rsidR="00BD4774" w:rsidRDefault="004B59D3" w:rsidP="00F122A6">
      <w:pPr>
        <w:rPr>
          <w:rFonts w:cstheme="minorHAnsi"/>
          <w:bCs/>
          <w:sz w:val="21"/>
          <w:szCs w:val="21"/>
          <w:lang w:val="en-GB"/>
        </w:rPr>
      </w:pPr>
      <w:r w:rsidRPr="003A7C09">
        <w:rPr>
          <w:rFonts w:cstheme="minorHAnsi"/>
          <w:sz w:val="21"/>
          <w:szCs w:val="21"/>
        </w:rPr>
        <w:t>While we agree with the Reserve Bank that customer rewards should not be included in the cost study for setting interchange, they are relevant for calculating the net benefit to consumers</w:t>
      </w:r>
      <w:r w:rsidR="00D5181C">
        <w:rPr>
          <w:rFonts w:cstheme="minorHAnsi"/>
          <w:sz w:val="21"/>
          <w:szCs w:val="21"/>
        </w:rPr>
        <w:t xml:space="preserve"> as</w:t>
      </w:r>
      <w:r w:rsidRPr="003A7C09">
        <w:rPr>
          <w:rFonts w:cstheme="minorHAnsi"/>
          <w:sz w:val="21"/>
          <w:szCs w:val="21"/>
        </w:rPr>
        <w:t xml:space="preserve"> it is reasonable to assume that rewards programs will be</w:t>
      </w:r>
      <w:r w:rsidR="00436F0D">
        <w:rPr>
          <w:rFonts w:cstheme="minorHAnsi"/>
          <w:sz w:val="21"/>
          <w:szCs w:val="21"/>
        </w:rPr>
        <w:t xml:space="preserve"> </w:t>
      </w:r>
      <w:r w:rsidRPr="003A7C09">
        <w:rPr>
          <w:rFonts w:cstheme="minorHAnsi"/>
          <w:sz w:val="21"/>
          <w:szCs w:val="21"/>
        </w:rPr>
        <w:t>reduced</w:t>
      </w:r>
      <w:r w:rsidR="00D5181C" w:rsidRPr="00D5181C">
        <w:rPr>
          <w:rFonts w:cstheme="minorHAnsi"/>
          <w:sz w:val="21"/>
          <w:szCs w:val="21"/>
        </w:rPr>
        <w:t xml:space="preserve"> </w:t>
      </w:r>
      <w:r w:rsidR="00D5181C">
        <w:rPr>
          <w:rFonts w:cstheme="minorHAnsi"/>
          <w:sz w:val="21"/>
          <w:szCs w:val="21"/>
        </w:rPr>
        <w:t>w</w:t>
      </w:r>
      <w:r w:rsidR="00D5181C" w:rsidRPr="00070F00">
        <w:rPr>
          <w:rFonts w:cstheme="minorHAnsi"/>
          <w:sz w:val="21"/>
          <w:szCs w:val="21"/>
        </w:rPr>
        <w:t>ith a materially reduced economic model supporting card payments</w:t>
      </w:r>
      <w:r w:rsidRPr="003A7C09">
        <w:rPr>
          <w:rFonts w:cstheme="minorHAnsi"/>
          <w:sz w:val="21"/>
          <w:szCs w:val="21"/>
        </w:rPr>
        <w:t>.</w:t>
      </w:r>
      <w:r w:rsidR="000426F1">
        <w:rPr>
          <w:rFonts w:cstheme="minorHAnsi"/>
          <w:sz w:val="21"/>
          <w:szCs w:val="21"/>
        </w:rPr>
        <w:t xml:space="preserve"> </w:t>
      </w:r>
      <w:r w:rsidR="00047823" w:rsidRPr="00047823">
        <w:rPr>
          <w:rFonts w:cstheme="minorHAnsi"/>
          <w:bCs/>
          <w:sz w:val="21"/>
          <w:szCs w:val="21"/>
          <w:lang w:val="en-GB"/>
        </w:rPr>
        <w:t xml:space="preserve">As interchange </w:t>
      </w:r>
      <w:r w:rsidR="00EF6EDD">
        <w:rPr>
          <w:rFonts w:cstheme="minorHAnsi"/>
          <w:bCs/>
          <w:sz w:val="21"/>
          <w:szCs w:val="21"/>
          <w:lang w:val="en-GB"/>
        </w:rPr>
        <w:t>reductions rely on acquirers passing on the savings, the benefit to small business is uncertain.</w:t>
      </w:r>
      <w:r w:rsidR="00436F0D">
        <w:rPr>
          <w:rFonts w:cstheme="minorHAnsi"/>
          <w:bCs/>
          <w:sz w:val="21"/>
          <w:szCs w:val="21"/>
          <w:lang w:val="en-GB"/>
        </w:rPr>
        <w:t xml:space="preserve"> </w:t>
      </w:r>
      <w:r w:rsidR="00755D5D">
        <w:rPr>
          <w:rFonts w:cstheme="minorHAnsi"/>
          <w:bCs/>
          <w:sz w:val="21"/>
          <w:szCs w:val="21"/>
          <w:lang w:val="en-GB"/>
        </w:rPr>
        <w:t xml:space="preserve">The </w:t>
      </w:r>
      <w:r w:rsidR="00B209A5">
        <w:rPr>
          <w:rFonts w:cstheme="minorHAnsi"/>
          <w:bCs/>
          <w:sz w:val="21"/>
          <w:szCs w:val="21"/>
          <w:lang w:val="en-GB"/>
        </w:rPr>
        <w:lastRenderedPageBreak/>
        <w:t>proposed changes,</w:t>
      </w:r>
      <w:r w:rsidR="00755D5D">
        <w:rPr>
          <w:rFonts w:cstheme="minorHAnsi"/>
          <w:bCs/>
          <w:sz w:val="21"/>
          <w:szCs w:val="21"/>
          <w:lang w:val="en-GB"/>
        </w:rPr>
        <w:t xml:space="preserve"> combined with </w:t>
      </w:r>
      <w:r w:rsidR="00BD4774">
        <w:rPr>
          <w:rFonts w:cstheme="minorHAnsi"/>
          <w:bCs/>
          <w:sz w:val="21"/>
          <w:szCs w:val="21"/>
          <w:lang w:val="en-GB"/>
        </w:rPr>
        <w:t>the</w:t>
      </w:r>
      <w:r w:rsidR="00755D5D">
        <w:rPr>
          <w:rFonts w:cstheme="minorHAnsi"/>
          <w:bCs/>
          <w:sz w:val="21"/>
          <w:szCs w:val="21"/>
          <w:lang w:val="en-GB"/>
        </w:rPr>
        <w:t xml:space="preserve"> shifts outlined below</w:t>
      </w:r>
      <w:r w:rsidR="00EF6EDD">
        <w:rPr>
          <w:rFonts w:cstheme="minorHAnsi"/>
          <w:bCs/>
          <w:sz w:val="21"/>
          <w:szCs w:val="21"/>
          <w:lang w:val="en-GB"/>
        </w:rPr>
        <w:t xml:space="preserve"> </w:t>
      </w:r>
      <w:r w:rsidR="00644A1D">
        <w:rPr>
          <w:rFonts w:cstheme="minorHAnsi"/>
          <w:bCs/>
          <w:sz w:val="21"/>
          <w:szCs w:val="21"/>
          <w:lang w:val="en-GB"/>
        </w:rPr>
        <w:t xml:space="preserve">will </w:t>
      </w:r>
      <w:r w:rsidR="00BD4774">
        <w:rPr>
          <w:rFonts w:cstheme="minorHAnsi"/>
          <w:bCs/>
          <w:sz w:val="21"/>
          <w:szCs w:val="21"/>
          <w:lang w:val="en-GB"/>
        </w:rPr>
        <w:t>result in small b</w:t>
      </w:r>
      <w:r w:rsidR="005C1B70">
        <w:rPr>
          <w:rFonts w:cstheme="minorHAnsi"/>
          <w:bCs/>
          <w:sz w:val="21"/>
          <w:szCs w:val="21"/>
          <w:lang w:val="en-GB"/>
        </w:rPr>
        <w:t>usinesses</w:t>
      </w:r>
      <w:r w:rsidR="00BD4774">
        <w:rPr>
          <w:rFonts w:cstheme="minorHAnsi"/>
          <w:bCs/>
          <w:sz w:val="21"/>
          <w:szCs w:val="21"/>
          <w:lang w:val="en-GB"/>
        </w:rPr>
        <w:t xml:space="preserve"> experiencing minimal benefits</w:t>
      </w:r>
      <w:r w:rsidR="005C1B70">
        <w:rPr>
          <w:rFonts w:cstheme="minorHAnsi"/>
          <w:bCs/>
          <w:sz w:val="21"/>
          <w:szCs w:val="21"/>
          <w:lang w:val="en-GB"/>
        </w:rPr>
        <w:t>,</w:t>
      </w:r>
      <w:r w:rsidR="00BD4774">
        <w:rPr>
          <w:rFonts w:cstheme="minorHAnsi"/>
          <w:bCs/>
          <w:sz w:val="21"/>
          <w:szCs w:val="21"/>
          <w:lang w:val="en-GB"/>
        </w:rPr>
        <w:t xml:space="preserve"> if at all (potential range of $25</w:t>
      </w:r>
      <w:r w:rsidR="005C1B70">
        <w:rPr>
          <w:rFonts w:cstheme="minorHAnsi"/>
          <w:bCs/>
          <w:sz w:val="21"/>
          <w:szCs w:val="21"/>
          <w:lang w:val="en-GB"/>
        </w:rPr>
        <w:t xml:space="preserve"> </w:t>
      </w:r>
      <w:r w:rsidR="00BD4774">
        <w:rPr>
          <w:rFonts w:cstheme="minorHAnsi"/>
          <w:bCs/>
          <w:sz w:val="21"/>
          <w:szCs w:val="21"/>
          <w:lang w:val="en-GB"/>
        </w:rPr>
        <w:t>m</w:t>
      </w:r>
      <w:r w:rsidR="005C1B70">
        <w:rPr>
          <w:rFonts w:cstheme="minorHAnsi"/>
          <w:bCs/>
          <w:sz w:val="21"/>
          <w:szCs w:val="21"/>
          <w:lang w:val="en-GB"/>
        </w:rPr>
        <w:t>illion</w:t>
      </w:r>
      <w:r w:rsidR="00BD4774">
        <w:rPr>
          <w:rFonts w:cstheme="minorHAnsi"/>
          <w:bCs/>
          <w:sz w:val="21"/>
          <w:szCs w:val="21"/>
          <w:lang w:val="en-GB"/>
        </w:rPr>
        <w:t xml:space="preserve"> worse of</w:t>
      </w:r>
      <w:r w:rsidR="005C1B70">
        <w:rPr>
          <w:rFonts w:cstheme="minorHAnsi"/>
          <w:bCs/>
          <w:sz w:val="21"/>
          <w:szCs w:val="21"/>
          <w:lang w:val="en-GB"/>
        </w:rPr>
        <w:t>f</w:t>
      </w:r>
      <w:r w:rsidR="00BD4774">
        <w:rPr>
          <w:rFonts w:cstheme="minorHAnsi"/>
          <w:bCs/>
          <w:sz w:val="21"/>
          <w:szCs w:val="21"/>
          <w:lang w:val="en-GB"/>
        </w:rPr>
        <w:t xml:space="preserve"> to </w:t>
      </w:r>
      <w:r w:rsidR="005C1B70">
        <w:rPr>
          <w:rFonts w:cstheme="minorHAnsi"/>
          <w:bCs/>
          <w:sz w:val="21"/>
          <w:szCs w:val="21"/>
          <w:lang w:val="en-GB"/>
        </w:rPr>
        <w:t>$</w:t>
      </w:r>
      <w:r w:rsidR="00BD4774">
        <w:rPr>
          <w:rFonts w:cstheme="minorHAnsi"/>
          <w:bCs/>
          <w:sz w:val="21"/>
          <w:szCs w:val="21"/>
          <w:lang w:val="en-GB"/>
        </w:rPr>
        <w:t>10</w:t>
      </w:r>
      <w:r w:rsidR="005C1B70">
        <w:rPr>
          <w:rFonts w:cstheme="minorHAnsi"/>
          <w:bCs/>
          <w:sz w:val="21"/>
          <w:szCs w:val="21"/>
          <w:lang w:val="en-GB"/>
        </w:rPr>
        <w:t xml:space="preserve"> </w:t>
      </w:r>
      <w:r w:rsidR="00BD4774">
        <w:rPr>
          <w:rFonts w:cstheme="minorHAnsi"/>
          <w:bCs/>
          <w:sz w:val="21"/>
          <w:szCs w:val="21"/>
          <w:lang w:val="en-GB"/>
        </w:rPr>
        <w:t>m</w:t>
      </w:r>
      <w:r w:rsidR="005C1B70">
        <w:rPr>
          <w:rFonts w:cstheme="minorHAnsi"/>
          <w:bCs/>
          <w:sz w:val="21"/>
          <w:szCs w:val="21"/>
          <w:lang w:val="en-GB"/>
        </w:rPr>
        <w:t>illion better off</w:t>
      </w:r>
      <w:r w:rsidR="00BD4774">
        <w:rPr>
          <w:rFonts w:cstheme="minorHAnsi"/>
          <w:bCs/>
          <w:sz w:val="21"/>
          <w:szCs w:val="21"/>
          <w:lang w:val="en-GB"/>
        </w:rPr>
        <w:t>).</w:t>
      </w:r>
    </w:p>
    <w:p w14:paraId="2165200E" w14:textId="77777777" w:rsidR="001D6F50" w:rsidRDefault="001D6F50" w:rsidP="00F122A6">
      <w:pPr>
        <w:rPr>
          <w:rFonts w:cstheme="minorHAnsi"/>
          <w:b/>
          <w:bCs/>
          <w:sz w:val="21"/>
          <w:szCs w:val="21"/>
          <w:lang w:val="en-GB"/>
        </w:rPr>
      </w:pPr>
    </w:p>
    <w:p w14:paraId="20803DD7" w14:textId="626043CC" w:rsidR="000206C9" w:rsidRPr="00F122A6" w:rsidRDefault="001D6F50" w:rsidP="00F122A6">
      <w:pPr>
        <w:rPr>
          <w:rFonts w:cstheme="minorHAnsi"/>
          <w:b/>
          <w:sz w:val="21"/>
          <w:szCs w:val="21"/>
          <w:lang w:val="en-GB"/>
        </w:rPr>
      </w:pPr>
      <w:r>
        <w:rPr>
          <w:rFonts w:cstheme="minorHAnsi"/>
          <w:b/>
          <w:bCs/>
          <w:sz w:val="21"/>
          <w:szCs w:val="21"/>
          <w:lang w:val="en-GB"/>
        </w:rPr>
        <w:t>ii)</w:t>
      </w:r>
      <w:r w:rsidR="00DD5925">
        <w:rPr>
          <w:rFonts w:cstheme="minorHAnsi"/>
          <w:b/>
          <w:bCs/>
          <w:sz w:val="21"/>
          <w:szCs w:val="21"/>
          <w:lang w:val="en-GB"/>
        </w:rPr>
        <w:tab/>
      </w:r>
      <w:r>
        <w:rPr>
          <w:rFonts w:cstheme="minorHAnsi"/>
          <w:b/>
          <w:bCs/>
          <w:sz w:val="21"/>
          <w:szCs w:val="21"/>
          <w:lang w:val="en-GB"/>
        </w:rPr>
        <w:t xml:space="preserve"> </w:t>
      </w:r>
      <w:r w:rsidR="00F34BE2">
        <w:rPr>
          <w:rFonts w:cstheme="minorHAnsi"/>
          <w:b/>
          <w:bCs/>
          <w:sz w:val="21"/>
          <w:szCs w:val="21"/>
          <w:lang w:val="en-GB"/>
        </w:rPr>
        <w:t>Three party schemes and BNPL</w:t>
      </w:r>
    </w:p>
    <w:p w14:paraId="76364F40" w14:textId="539E367D" w:rsidR="00D378C9" w:rsidRDefault="00394E6D" w:rsidP="00D629BD">
      <w:pPr>
        <w:rPr>
          <w:rFonts w:cstheme="minorHAnsi"/>
          <w:sz w:val="21"/>
          <w:szCs w:val="21"/>
        </w:rPr>
      </w:pPr>
      <w:r w:rsidRPr="006E5552">
        <w:rPr>
          <w:rFonts w:cstheme="minorHAnsi"/>
          <w:sz w:val="21"/>
          <w:szCs w:val="21"/>
        </w:rPr>
        <w:t xml:space="preserve">The reforms will </w:t>
      </w:r>
      <w:r w:rsidR="000E1211">
        <w:rPr>
          <w:rFonts w:cstheme="minorHAnsi"/>
          <w:sz w:val="21"/>
          <w:szCs w:val="21"/>
        </w:rPr>
        <w:t xml:space="preserve">benefit </w:t>
      </w:r>
      <w:r w:rsidRPr="006E5552">
        <w:rPr>
          <w:rFonts w:cstheme="minorHAnsi"/>
          <w:sz w:val="21"/>
          <w:szCs w:val="21"/>
        </w:rPr>
        <w:t>entities</w:t>
      </w:r>
      <w:r w:rsidR="00CC6497" w:rsidRPr="006E5552">
        <w:rPr>
          <w:rFonts w:cstheme="minorHAnsi"/>
          <w:sz w:val="21"/>
          <w:szCs w:val="21"/>
        </w:rPr>
        <w:t xml:space="preserve"> </w:t>
      </w:r>
      <w:r w:rsidR="00042EFB" w:rsidRPr="006E5552">
        <w:rPr>
          <w:rFonts w:ascii="CBA Beacon Sans" w:hAnsi="CBA Beacon Sans"/>
          <w:sz w:val="21"/>
          <w:szCs w:val="21"/>
        </w:rPr>
        <w:t>outside the RBA’s mandate</w:t>
      </w:r>
      <w:r w:rsidR="002C5C3C" w:rsidRPr="006E5552">
        <w:rPr>
          <w:rFonts w:cstheme="minorHAnsi"/>
          <w:sz w:val="21"/>
          <w:szCs w:val="21"/>
        </w:rPr>
        <w:t xml:space="preserve">, </w:t>
      </w:r>
      <w:r w:rsidRPr="007476CF">
        <w:rPr>
          <w:rFonts w:cstheme="minorHAnsi"/>
          <w:sz w:val="21"/>
          <w:szCs w:val="21"/>
        </w:rPr>
        <w:t xml:space="preserve">most notably three-party card schemes and </w:t>
      </w:r>
      <w:r w:rsidR="002C5C3C" w:rsidRPr="007476CF">
        <w:rPr>
          <w:rFonts w:cstheme="minorHAnsi"/>
          <w:sz w:val="21"/>
          <w:szCs w:val="21"/>
        </w:rPr>
        <w:t>BNPL</w:t>
      </w:r>
      <w:r w:rsidR="000E1211">
        <w:rPr>
          <w:rFonts w:cstheme="minorHAnsi"/>
          <w:sz w:val="21"/>
          <w:szCs w:val="21"/>
        </w:rPr>
        <w:t xml:space="preserve">, but </w:t>
      </w:r>
      <w:r w:rsidR="000E1211" w:rsidRPr="006E5552">
        <w:rPr>
          <w:rFonts w:cstheme="minorHAnsi"/>
          <w:sz w:val="21"/>
          <w:szCs w:val="21"/>
        </w:rPr>
        <w:t>negatively affect the regulated entities in the payments market</w:t>
      </w:r>
      <w:r w:rsidRPr="007476CF">
        <w:rPr>
          <w:rFonts w:cstheme="minorHAnsi"/>
          <w:sz w:val="21"/>
          <w:szCs w:val="21"/>
        </w:rPr>
        <w:t>.</w:t>
      </w:r>
      <w:r w:rsidR="001C0422" w:rsidRPr="007476CF">
        <w:rPr>
          <w:rFonts w:cstheme="minorHAnsi"/>
          <w:sz w:val="21"/>
          <w:szCs w:val="21"/>
        </w:rPr>
        <w:t xml:space="preserve"> </w:t>
      </w:r>
      <w:r w:rsidR="00B27AAB">
        <w:rPr>
          <w:rFonts w:cstheme="minorHAnsi"/>
          <w:sz w:val="21"/>
          <w:szCs w:val="21"/>
        </w:rPr>
        <w:t>We estimate t</w:t>
      </w:r>
      <w:r w:rsidR="00B27AAB" w:rsidRPr="006E5552">
        <w:rPr>
          <w:rFonts w:cstheme="minorHAnsi"/>
          <w:sz w:val="21"/>
          <w:szCs w:val="21"/>
        </w:rPr>
        <w:t>hree</w:t>
      </w:r>
      <w:r w:rsidR="00EA0B08">
        <w:rPr>
          <w:rFonts w:cstheme="minorHAnsi"/>
          <w:sz w:val="21"/>
          <w:szCs w:val="21"/>
        </w:rPr>
        <w:t>-</w:t>
      </w:r>
      <w:r w:rsidR="00B27AAB" w:rsidRPr="006E5552">
        <w:rPr>
          <w:rFonts w:cstheme="minorHAnsi"/>
          <w:sz w:val="21"/>
          <w:szCs w:val="21"/>
        </w:rPr>
        <w:t xml:space="preserve">party schemes </w:t>
      </w:r>
      <w:r w:rsidR="00B27AAB">
        <w:rPr>
          <w:rFonts w:cstheme="minorHAnsi"/>
          <w:sz w:val="21"/>
          <w:szCs w:val="21"/>
        </w:rPr>
        <w:t>will</w:t>
      </w:r>
      <w:r w:rsidR="00B27AAB" w:rsidRPr="006E5552">
        <w:rPr>
          <w:rFonts w:cstheme="minorHAnsi"/>
          <w:sz w:val="21"/>
          <w:szCs w:val="21"/>
        </w:rPr>
        <w:t xml:space="preserve"> </w:t>
      </w:r>
      <w:r w:rsidR="00B27AAB">
        <w:rPr>
          <w:rFonts w:cstheme="minorHAnsi"/>
          <w:sz w:val="21"/>
          <w:szCs w:val="21"/>
        </w:rPr>
        <w:t xml:space="preserve">benefit by </w:t>
      </w:r>
      <w:r w:rsidR="00B27AAB" w:rsidRPr="00BD4C8A">
        <w:rPr>
          <w:rFonts w:cstheme="minorHAnsi"/>
          <w:sz w:val="21"/>
          <w:szCs w:val="21"/>
        </w:rPr>
        <w:t xml:space="preserve">$370-650 million </w:t>
      </w:r>
      <w:r w:rsidR="00B27AAB">
        <w:rPr>
          <w:rFonts w:cstheme="minorHAnsi"/>
          <w:sz w:val="21"/>
          <w:szCs w:val="21"/>
        </w:rPr>
        <w:t xml:space="preserve">p.a. </w:t>
      </w:r>
      <w:r w:rsidR="00B27AAB" w:rsidRPr="006E5552">
        <w:rPr>
          <w:rFonts w:cstheme="minorHAnsi"/>
          <w:sz w:val="21"/>
          <w:szCs w:val="21"/>
        </w:rPr>
        <w:t xml:space="preserve">from the </w:t>
      </w:r>
      <w:r w:rsidR="00B27AAB">
        <w:rPr>
          <w:rFonts w:cstheme="minorHAnsi"/>
          <w:sz w:val="21"/>
          <w:szCs w:val="21"/>
        </w:rPr>
        <w:t>intervention</w:t>
      </w:r>
      <w:r w:rsidR="00B27AAB" w:rsidRPr="006E5552">
        <w:rPr>
          <w:rFonts w:cstheme="minorHAnsi"/>
          <w:sz w:val="21"/>
          <w:szCs w:val="21"/>
        </w:rPr>
        <w:t xml:space="preserve">, </w:t>
      </w:r>
      <w:r w:rsidR="00B27AAB">
        <w:rPr>
          <w:rFonts w:cstheme="minorHAnsi"/>
          <w:sz w:val="21"/>
          <w:szCs w:val="21"/>
        </w:rPr>
        <w:t xml:space="preserve">and BNPL an estimated </w:t>
      </w:r>
      <w:r w:rsidR="00B27AAB" w:rsidRPr="00BD4C8A">
        <w:rPr>
          <w:rFonts w:cstheme="minorHAnsi"/>
          <w:sz w:val="21"/>
          <w:szCs w:val="21"/>
        </w:rPr>
        <w:t>$90-175 million</w:t>
      </w:r>
      <w:r w:rsidR="00B27AAB">
        <w:rPr>
          <w:rFonts w:cstheme="minorHAnsi"/>
          <w:sz w:val="21"/>
          <w:szCs w:val="21"/>
        </w:rPr>
        <w:t xml:space="preserve"> p.a.</w:t>
      </w:r>
    </w:p>
    <w:p w14:paraId="03B883DB" w14:textId="4FFEB422" w:rsidR="00F66BB2" w:rsidRPr="006E5552" w:rsidRDefault="00744F24" w:rsidP="00D629BD">
      <w:pPr>
        <w:rPr>
          <w:rFonts w:cstheme="minorHAnsi"/>
          <w:sz w:val="21"/>
          <w:szCs w:val="21"/>
        </w:rPr>
      </w:pPr>
      <w:r>
        <w:rPr>
          <w:rFonts w:cstheme="minorHAnsi"/>
          <w:sz w:val="21"/>
          <w:szCs w:val="21"/>
        </w:rPr>
        <w:t xml:space="preserve">The RBA’s </w:t>
      </w:r>
      <w:r w:rsidR="007D144C" w:rsidRPr="007D144C">
        <w:rPr>
          <w:rFonts w:ascii="CBA Beacon Sans" w:hAnsi="CBA Beacon Sans"/>
          <w:sz w:val="21"/>
          <w:szCs w:val="21"/>
        </w:rPr>
        <w:t xml:space="preserve">conclusions from the 2021 </w:t>
      </w:r>
      <w:r w:rsidR="007D144C" w:rsidRPr="00DC00FA">
        <w:rPr>
          <w:rFonts w:ascii="CBA Beacon Sans" w:hAnsi="CBA Beacon Sans"/>
          <w:sz w:val="21"/>
          <w:szCs w:val="21"/>
        </w:rPr>
        <w:t xml:space="preserve">Review </w:t>
      </w:r>
      <w:r w:rsidR="007D144C" w:rsidRPr="007D144C">
        <w:rPr>
          <w:rFonts w:ascii="CBA Beacon Sans" w:hAnsi="CBA Beacon Sans"/>
          <w:sz w:val="21"/>
          <w:szCs w:val="21"/>
        </w:rPr>
        <w:t>remain relevant today</w:t>
      </w:r>
      <w:r w:rsidR="007D144C" w:rsidRPr="007D144C">
        <w:rPr>
          <w:sz w:val="21"/>
          <w:szCs w:val="21"/>
        </w:rPr>
        <w:t>:</w:t>
      </w:r>
      <w:r w:rsidR="00F33E83">
        <w:rPr>
          <w:sz w:val="21"/>
          <w:szCs w:val="21"/>
        </w:rPr>
        <w:t xml:space="preserve"> “</w:t>
      </w:r>
      <w:r w:rsidR="00F33E83" w:rsidRPr="00F33E83">
        <w:rPr>
          <w:rFonts w:ascii="CBA Beacon Sans" w:hAnsi="CBA Beacon Sans"/>
          <w:i/>
          <w:iCs/>
          <w:sz w:val="21"/>
          <w:szCs w:val="21"/>
        </w:rPr>
        <w:t>In relation to the credit card benchmark, a further reduction could provide an advantage to both the three-party card schemes and other three-party systems such as BNPL arrangements; this is because these arrangements are not subject to the Bank’s interchange regulations, which allows them to fund more benefits for consumers through higher merchant fees. The benefits from lower interchange rates on credit card transactions might therefore be offset by a longer-term shift towards more costly three-party systems</w:t>
      </w:r>
      <w:r w:rsidR="00F33E83" w:rsidRPr="00503639">
        <w:rPr>
          <w:rFonts w:ascii="CBA Beacon Sans" w:hAnsi="CBA Beacon Sans"/>
          <w:i/>
          <w:iCs/>
        </w:rPr>
        <w:t>.</w:t>
      </w:r>
      <w:r w:rsidR="00F33E83" w:rsidRPr="00503639">
        <w:rPr>
          <w:i/>
          <w:iCs/>
        </w:rPr>
        <w:t>“</w:t>
      </w:r>
      <w:r w:rsidR="00F33E83" w:rsidRPr="00503639">
        <w:rPr>
          <w:rStyle w:val="FootnoteReference"/>
          <w:i/>
          <w:iCs/>
        </w:rPr>
        <w:footnoteReference w:id="25"/>
      </w:r>
    </w:p>
    <w:p w14:paraId="1A59DA37" w14:textId="301082D0" w:rsidR="0009712C" w:rsidRDefault="0009712C" w:rsidP="0009712C">
      <w:pPr>
        <w:rPr>
          <w:rFonts w:cstheme="minorHAnsi"/>
          <w:sz w:val="21"/>
          <w:szCs w:val="21"/>
        </w:rPr>
      </w:pPr>
      <w:r>
        <w:rPr>
          <w:rFonts w:cstheme="minorHAnsi"/>
          <w:sz w:val="21"/>
          <w:szCs w:val="21"/>
        </w:rPr>
        <w:t xml:space="preserve">It is still unclear </w:t>
      </w:r>
      <w:r w:rsidR="00922910">
        <w:rPr>
          <w:rFonts w:cstheme="minorHAnsi"/>
          <w:sz w:val="21"/>
          <w:szCs w:val="21"/>
        </w:rPr>
        <w:t>exactly</w:t>
      </w:r>
      <w:r>
        <w:rPr>
          <w:rFonts w:cstheme="minorHAnsi"/>
          <w:sz w:val="21"/>
          <w:szCs w:val="21"/>
        </w:rPr>
        <w:t xml:space="preserve"> </w:t>
      </w:r>
      <w:r w:rsidR="00455144">
        <w:rPr>
          <w:rFonts w:cstheme="minorHAnsi"/>
          <w:sz w:val="21"/>
          <w:szCs w:val="21"/>
        </w:rPr>
        <w:t>how powers un</w:t>
      </w:r>
      <w:r w:rsidR="00F5475D">
        <w:rPr>
          <w:rFonts w:cstheme="minorHAnsi"/>
          <w:sz w:val="21"/>
          <w:szCs w:val="21"/>
        </w:rPr>
        <w:t>der</w:t>
      </w:r>
      <w:r>
        <w:rPr>
          <w:rFonts w:cstheme="minorHAnsi"/>
          <w:sz w:val="21"/>
          <w:szCs w:val="21"/>
        </w:rPr>
        <w:t xml:space="preserve"> </w:t>
      </w:r>
      <w:r w:rsidR="00F5475D">
        <w:rPr>
          <w:rFonts w:cstheme="minorHAnsi"/>
          <w:sz w:val="21"/>
          <w:szCs w:val="21"/>
        </w:rPr>
        <w:t>the updated</w:t>
      </w:r>
      <w:r>
        <w:rPr>
          <w:rFonts w:cstheme="minorHAnsi"/>
          <w:sz w:val="21"/>
          <w:szCs w:val="21"/>
        </w:rPr>
        <w:t xml:space="preserve"> PSRA would be used to address the regulatory arbitrage. </w:t>
      </w:r>
    </w:p>
    <w:p w14:paraId="4F652531" w14:textId="4BC3EE78" w:rsidR="00AE7B7C" w:rsidRDefault="00B022D4" w:rsidP="00CC24D6">
      <w:pPr>
        <w:rPr>
          <w:rFonts w:cstheme="minorHAnsi"/>
          <w:sz w:val="21"/>
          <w:szCs w:val="21"/>
        </w:rPr>
      </w:pPr>
      <w:r w:rsidRPr="006E5552">
        <w:rPr>
          <w:rFonts w:cstheme="minorHAnsi"/>
          <w:sz w:val="21"/>
          <w:szCs w:val="21"/>
        </w:rPr>
        <w:t xml:space="preserve">Credit interchange </w:t>
      </w:r>
      <w:r w:rsidR="00581483" w:rsidRPr="006E5552">
        <w:rPr>
          <w:rFonts w:cstheme="minorHAnsi"/>
          <w:sz w:val="21"/>
          <w:szCs w:val="21"/>
        </w:rPr>
        <w:t xml:space="preserve">proposals </w:t>
      </w:r>
      <w:r w:rsidRPr="006E5552">
        <w:rPr>
          <w:rFonts w:cstheme="minorHAnsi"/>
          <w:sz w:val="21"/>
          <w:szCs w:val="21"/>
        </w:rPr>
        <w:t xml:space="preserve">will significantly impact the ability of </w:t>
      </w:r>
      <w:r w:rsidR="00130666">
        <w:rPr>
          <w:rFonts w:cstheme="minorHAnsi"/>
          <w:sz w:val="21"/>
          <w:szCs w:val="21"/>
        </w:rPr>
        <w:t xml:space="preserve">regulated </w:t>
      </w:r>
      <w:r w:rsidRPr="006E5552">
        <w:rPr>
          <w:rFonts w:cstheme="minorHAnsi"/>
          <w:sz w:val="21"/>
          <w:szCs w:val="21"/>
        </w:rPr>
        <w:t xml:space="preserve">Australian </w:t>
      </w:r>
      <w:r w:rsidR="00424BB0">
        <w:rPr>
          <w:rFonts w:cstheme="minorHAnsi"/>
          <w:sz w:val="21"/>
          <w:szCs w:val="21"/>
        </w:rPr>
        <w:t>inst</w:t>
      </w:r>
      <w:r w:rsidR="0026363A">
        <w:rPr>
          <w:rFonts w:cstheme="minorHAnsi"/>
          <w:sz w:val="21"/>
          <w:szCs w:val="21"/>
        </w:rPr>
        <w:t>it</w:t>
      </w:r>
      <w:r w:rsidR="00424BB0">
        <w:rPr>
          <w:rFonts w:cstheme="minorHAnsi"/>
          <w:sz w:val="21"/>
          <w:szCs w:val="21"/>
        </w:rPr>
        <w:t>utions</w:t>
      </w:r>
      <w:r w:rsidRPr="006E5552">
        <w:rPr>
          <w:rFonts w:cstheme="minorHAnsi"/>
          <w:sz w:val="21"/>
          <w:szCs w:val="21"/>
        </w:rPr>
        <w:t xml:space="preserve"> to compete with the premium</w:t>
      </w:r>
      <w:r w:rsidR="002B4725">
        <w:rPr>
          <w:rFonts w:cstheme="minorHAnsi"/>
          <w:sz w:val="21"/>
          <w:szCs w:val="21"/>
        </w:rPr>
        <w:t xml:space="preserve"> </w:t>
      </w:r>
      <w:r w:rsidRPr="006E5552">
        <w:rPr>
          <w:rFonts w:cstheme="minorHAnsi"/>
          <w:sz w:val="21"/>
          <w:szCs w:val="21"/>
        </w:rPr>
        <w:t xml:space="preserve">cards of </w:t>
      </w:r>
      <w:r w:rsidR="009450A2">
        <w:rPr>
          <w:rFonts w:cstheme="minorHAnsi"/>
          <w:sz w:val="21"/>
          <w:szCs w:val="21"/>
        </w:rPr>
        <w:t xml:space="preserve">global </w:t>
      </w:r>
      <w:r w:rsidRPr="006E5552">
        <w:rPr>
          <w:rFonts w:cstheme="minorHAnsi"/>
          <w:sz w:val="21"/>
          <w:szCs w:val="21"/>
        </w:rPr>
        <w:t>three-party schemes</w:t>
      </w:r>
      <w:r w:rsidR="008D2CA4">
        <w:rPr>
          <w:rFonts w:cstheme="minorHAnsi"/>
          <w:sz w:val="21"/>
          <w:szCs w:val="21"/>
        </w:rPr>
        <w:t xml:space="preserve"> that are currently unregulated under the PSRA</w:t>
      </w:r>
      <w:r w:rsidR="00130751">
        <w:rPr>
          <w:rFonts w:cstheme="minorHAnsi"/>
          <w:sz w:val="21"/>
          <w:szCs w:val="21"/>
        </w:rPr>
        <w:t>.</w:t>
      </w:r>
      <w:r w:rsidR="00B55C47">
        <w:rPr>
          <w:rFonts w:cstheme="minorHAnsi"/>
          <w:sz w:val="21"/>
          <w:szCs w:val="21"/>
        </w:rPr>
        <w:t xml:space="preserve"> </w:t>
      </w:r>
      <w:r w:rsidR="001E07FB">
        <w:rPr>
          <w:rFonts w:cstheme="minorHAnsi"/>
          <w:sz w:val="21"/>
          <w:szCs w:val="21"/>
        </w:rPr>
        <w:t xml:space="preserve">In its 2016 Review the RBA </w:t>
      </w:r>
      <w:r w:rsidR="00AB1C44">
        <w:rPr>
          <w:rFonts w:cstheme="minorHAnsi"/>
          <w:sz w:val="21"/>
          <w:szCs w:val="21"/>
        </w:rPr>
        <w:t>refrained</w:t>
      </w:r>
      <w:r w:rsidR="00AA7346">
        <w:rPr>
          <w:rFonts w:cstheme="minorHAnsi"/>
          <w:sz w:val="21"/>
          <w:szCs w:val="21"/>
        </w:rPr>
        <w:t xml:space="preserve"> from </w:t>
      </w:r>
      <w:r w:rsidR="00F60EB6">
        <w:rPr>
          <w:rFonts w:cstheme="minorHAnsi"/>
          <w:sz w:val="21"/>
          <w:szCs w:val="21"/>
        </w:rPr>
        <w:t xml:space="preserve">further reductions in </w:t>
      </w:r>
      <w:r w:rsidR="004900FD">
        <w:rPr>
          <w:rFonts w:cstheme="minorHAnsi"/>
          <w:sz w:val="21"/>
          <w:szCs w:val="21"/>
        </w:rPr>
        <w:t>cred</w:t>
      </w:r>
      <w:r w:rsidR="00D61246">
        <w:rPr>
          <w:rFonts w:cstheme="minorHAnsi"/>
          <w:sz w:val="21"/>
          <w:szCs w:val="21"/>
        </w:rPr>
        <w:t>it interchange</w:t>
      </w:r>
      <w:r w:rsidR="0023407B">
        <w:rPr>
          <w:rFonts w:cstheme="minorHAnsi"/>
          <w:sz w:val="21"/>
          <w:szCs w:val="21"/>
        </w:rPr>
        <w:t xml:space="preserve"> in part</w:t>
      </w:r>
      <w:r w:rsidR="00D61246">
        <w:rPr>
          <w:rFonts w:cstheme="minorHAnsi"/>
          <w:sz w:val="21"/>
          <w:szCs w:val="21"/>
        </w:rPr>
        <w:t xml:space="preserve"> </w:t>
      </w:r>
      <w:r w:rsidR="00CB674B">
        <w:rPr>
          <w:rFonts w:cstheme="minorHAnsi"/>
          <w:sz w:val="21"/>
          <w:szCs w:val="21"/>
        </w:rPr>
        <w:t xml:space="preserve">due </w:t>
      </w:r>
      <w:r w:rsidR="005A7B5D">
        <w:rPr>
          <w:rFonts w:cstheme="minorHAnsi"/>
          <w:sz w:val="21"/>
          <w:szCs w:val="21"/>
        </w:rPr>
        <w:t>to</w:t>
      </w:r>
      <w:r w:rsidR="00CB674B">
        <w:rPr>
          <w:rFonts w:cstheme="minorHAnsi"/>
          <w:sz w:val="21"/>
          <w:szCs w:val="21"/>
        </w:rPr>
        <w:t xml:space="preserve"> </w:t>
      </w:r>
      <w:r w:rsidR="002C76EB">
        <w:rPr>
          <w:rFonts w:cstheme="minorHAnsi"/>
          <w:sz w:val="21"/>
          <w:szCs w:val="21"/>
        </w:rPr>
        <w:t xml:space="preserve">concerns </w:t>
      </w:r>
      <w:r w:rsidR="00A7769C">
        <w:rPr>
          <w:rFonts w:cstheme="minorHAnsi"/>
          <w:sz w:val="21"/>
          <w:szCs w:val="21"/>
        </w:rPr>
        <w:t xml:space="preserve">about </w:t>
      </w:r>
      <w:r w:rsidR="002B46B5">
        <w:rPr>
          <w:rFonts w:cstheme="minorHAnsi"/>
          <w:sz w:val="21"/>
          <w:szCs w:val="21"/>
        </w:rPr>
        <w:t>this risk</w:t>
      </w:r>
      <w:r w:rsidR="00CB674B">
        <w:rPr>
          <w:rFonts w:cstheme="minorHAnsi"/>
          <w:sz w:val="21"/>
          <w:szCs w:val="21"/>
        </w:rPr>
        <w:t>.</w:t>
      </w:r>
      <w:r w:rsidR="001C3BCC">
        <w:rPr>
          <w:rStyle w:val="FootnoteReference"/>
          <w:rFonts w:cstheme="minorHAnsi"/>
          <w:sz w:val="21"/>
          <w:szCs w:val="21"/>
        </w:rPr>
        <w:footnoteReference w:id="26"/>
      </w:r>
    </w:p>
    <w:p w14:paraId="74E3CDC4" w14:textId="70CD4B9D" w:rsidR="00FD4E81" w:rsidRDefault="002B4725" w:rsidP="00CC24D6">
      <w:pPr>
        <w:rPr>
          <w:rFonts w:cstheme="minorHAnsi"/>
          <w:sz w:val="21"/>
          <w:szCs w:val="21"/>
        </w:rPr>
      </w:pPr>
      <w:r>
        <w:rPr>
          <w:rFonts w:cstheme="minorHAnsi"/>
          <w:sz w:val="21"/>
          <w:szCs w:val="21"/>
        </w:rPr>
        <w:t>T</w:t>
      </w:r>
      <w:r w:rsidR="00F10414">
        <w:rPr>
          <w:rFonts w:cstheme="minorHAnsi"/>
          <w:sz w:val="21"/>
          <w:szCs w:val="21"/>
        </w:rPr>
        <w:t>he current Review</w:t>
      </w:r>
      <w:r w:rsidR="00607933">
        <w:rPr>
          <w:rFonts w:cstheme="minorHAnsi"/>
          <w:sz w:val="21"/>
          <w:szCs w:val="21"/>
        </w:rPr>
        <w:t xml:space="preserve"> has </w:t>
      </w:r>
      <w:r w:rsidR="00BE62A0" w:rsidRPr="00264064">
        <w:rPr>
          <w:rFonts w:cstheme="minorHAnsi"/>
          <w:sz w:val="21"/>
          <w:szCs w:val="21"/>
        </w:rPr>
        <w:t xml:space="preserve">only </w:t>
      </w:r>
      <w:r w:rsidR="00BE62A0">
        <w:rPr>
          <w:rFonts w:cstheme="minorHAnsi"/>
          <w:sz w:val="21"/>
          <w:szCs w:val="21"/>
        </w:rPr>
        <w:t>refer</w:t>
      </w:r>
      <w:r w:rsidR="006756B8">
        <w:rPr>
          <w:rFonts w:cstheme="minorHAnsi"/>
          <w:sz w:val="21"/>
          <w:szCs w:val="21"/>
        </w:rPr>
        <w:t>enced</w:t>
      </w:r>
      <w:r w:rsidR="00607933">
        <w:rPr>
          <w:rFonts w:cstheme="minorHAnsi"/>
          <w:sz w:val="21"/>
          <w:szCs w:val="21"/>
        </w:rPr>
        <w:t xml:space="preserve"> competition concerns</w:t>
      </w:r>
      <w:r w:rsidR="00BE62A0">
        <w:rPr>
          <w:rFonts w:cstheme="minorHAnsi"/>
          <w:sz w:val="21"/>
          <w:szCs w:val="21"/>
        </w:rPr>
        <w:t xml:space="preserve"> in relation</w:t>
      </w:r>
      <w:r w:rsidR="00BE62A0" w:rsidRPr="00264064">
        <w:rPr>
          <w:rFonts w:cstheme="minorHAnsi"/>
          <w:sz w:val="21"/>
          <w:szCs w:val="21"/>
        </w:rPr>
        <w:t xml:space="preserve"> </w:t>
      </w:r>
      <w:r w:rsidR="00BE62A0">
        <w:rPr>
          <w:rFonts w:cstheme="minorHAnsi"/>
          <w:sz w:val="21"/>
          <w:szCs w:val="21"/>
        </w:rPr>
        <w:t xml:space="preserve">to </w:t>
      </w:r>
      <w:r w:rsidR="00BE62A0" w:rsidRPr="00264064">
        <w:rPr>
          <w:rFonts w:cstheme="minorHAnsi"/>
          <w:sz w:val="21"/>
          <w:szCs w:val="21"/>
        </w:rPr>
        <w:t>commercial cards</w:t>
      </w:r>
      <w:r w:rsidR="00BE62A0">
        <w:rPr>
          <w:rStyle w:val="FootnoteReference"/>
          <w:rFonts w:cstheme="minorHAnsi"/>
          <w:sz w:val="21"/>
          <w:szCs w:val="21"/>
        </w:rPr>
        <w:footnoteReference w:id="27"/>
      </w:r>
      <w:r w:rsidR="00BE62A0">
        <w:rPr>
          <w:rFonts w:cstheme="minorHAnsi"/>
          <w:sz w:val="21"/>
          <w:szCs w:val="21"/>
        </w:rPr>
        <w:t>.</w:t>
      </w:r>
      <w:r w:rsidR="00E87B4B">
        <w:rPr>
          <w:rFonts w:cstheme="minorHAnsi"/>
          <w:sz w:val="21"/>
          <w:szCs w:val="21"/>
        </w:rPr>
        <w:t xml:space="preserve"> </w:t>
      </w:r>
      <w:r w:rsidR="00C964F3">
        <w:rPr>
          <w:rFonts w:cstheme="minorHAnsi"/>
          <w:sz w:val="21"/>
          <w:szCs w:val="21"/>
        </w:rPr>
        <w:t xml:space="preserve">As </w:t>
      </w:r>
      <w:r w:rsidR="00A30FC8">
        <w:rPr>
          <w:rFonts w:cstheme="minorHAnsi"/>
          <w:sz w:val="21"/>
          <w:szCs w:val="21"/>
        </w:rPr>
        <w:t>three-party</w:t>
      </w:r>
      <w:r w:rsidR="00393466">
        <w:rPr>
          <w:rFonts w:cstheme="minorHAnsi"/>
          <w:sz w:val="21"/>
          <w:szCs w:val="21"/>
        </w:rPr>
        <w:t xml:space="preserve"> schemes </w:t>
      </w:r>
      <w:r w:rsidR="0018514F">
        <w:rPr>
          <w:rFonts w:cstheme="minorHAnsi"/>
          <w:sz w:val="21"/>
          <w:szCs w:val="21"/>
        </w:rPr>
        <w:t>have</w:t>
      </w:r>
      <w:r w:rsidR="00393466">
        <w:rPr>
          <w:rFonts w:cstheme="minorHAnsi"/>
          <w:sz w:val="21"/>
          <w:szCs w:val="21"/>
        </w:rPr>
        <w:t xml:space="preserve"> </w:t>
      </w:r>
      <w:r w:rsidR="00A562ED">
        <w:rPr>
          <w:rFonts w:cstheme="minorHAnsi"/>
          <w:sz w:val="21"/>
          <w:szCs w:val="21"/>
        </w:rPr>
        <w:t>14</w:t>
      </w:r>
      <w:r w:rsidR="00CB3625">
        <w:rPr>
          <w:rFonts w:cstheme="minorHAnsi"/>
          <w:sz w:val="21"/>
          <w:szCs w:val="21"/>
        </w:rPr>
        <w:t xml:space="preserve">% </w:t>
      </w:r>
      <w:r w:rsidR="009E561A">
        <w:rPr>
          <w:rFonts w:cstheme="minorHAnsi"/>
          <w:sz w:val="21"/>
          <w:szCs w:val="21"/>
        </w:rPr>
        <w:t>market share</w:t>
      </w:r>
      <w:r w:rsidR="00393466">
        <w:rPr>
          <w:rFonts w:cstheme="minorHAnsi"/>
          <w:sz w:val="21"/>
          <w:szCs w:val="21"/>
        </w:rPr>
        <w:t xml:space="preserve"> of </w:t>
      </w:r>
      <w:r w:rsidR="0018514F">
        <w:rPr>
          <w:rFonts w:cstheme="minorHAnsi"/>
          <w:sz w:val="21"/>
          <w:szCs w:val="21"/>
        </w:rPr>
        <w:t>personal credit cards</w:t>
      </w:r>
      <w:r w:rsidR="005923AE">
        <w:rPr>
          <w:rFonts w:cstheme="minorHAnsi"/>
          <w:sz w:val="21"/>
          <w:szCs w:val="21"/>
        </w:rPr>
        <w:t xml:space="preserve">, </w:t>
      </w:r>
      <w:r w:rsidR="00B10438">
        <w:rPr>
          <w:rFonts w:cstheme="minorHAnsi"/>
          <w:sz w:val="21"/>
          <w:szCs w:val="21"/>
        </w:rPr>
        <w:t xml:space="preserve">the implications for </w:t>
      </w:r>
      <w:r w:rsidR="005923AE">
        <w:rPr>
          <w:rFonts w:cstheme="minorHAnsi"/>
          <w:sz w:val="21"/>
          <w:szCs w:val="21"/>
        </w:rPr>
        <w:t>competition in</w:t>
      </w:r>
      <w:r w:rsidR="00B10438">
        <w:rPr>
          <w:rFonts w:cstheme="minorHAnsi"/>
          <w:sz w:val="21"/>
          <w:szCs w:val="21"/>
        </w:rPr>
        <w:t xml:space="preserve"> </w:t>
      </w:r>
      <w:r w:rsidR="00CB3625">
        <w:rPr>
          <w:rFonts w:cstheme="minorHAnsi"/>
          <w:sz w:val="21"/>
          <w:szCs w:val="21"/>
        </w:rPr>
        <w:t xml:space="preserve">both commercial and </w:t>
      </w:r>
      <w:r w:rsidR="000F523B">
        <w:rPr>
          <w:rFonts w:cstheme="minorHAnsi"/>
          <w:sz w:val="21"/>
          <w:szCs w:val="21"/>
        </w:rPr>
        <w:t xml:space="preserve">consumer credit cards </w:t>
      </w:r>
      <w:r w:rsidR="00200D10">
        <w:rPr>
          <w:rFonts w:cstheme="minorHAnsi"/>
          <w:sz w:val="21"/>
          <w:szCs w:val="21"/>
        </w:rPr>
        <w:t>should be considered</w:t>
      </w:r>
      <w:r w:rsidR="00B20510">
        <w:rPr>
          <w:rFonts w:cstheme="minorHAnsi"/>
          <w:sz w:val="21"/>
          <w:szCs w:val="21"/>
        </w:rPr>
        <w:t>.</w:t>
      </w:r>
      <w:r w:rsidR="007C1B1E" w:rsidDel="007C1B1E">
        <w:rPr>
          <w:rFonts w:cstheme="minorHAnsi"/>
          <w:sz w:val="21"/>
          <w:szCs w:val="21"/>
        </w:rPr>
        <w:t xml:space="preserve"> </w:t>
      </w:r>
    </w:p>
    <w:p w14:paraId="7DEF2C86" w14:textId="79C6D7C9" w:rsidR="005923AE" w:rsidRDefault="00200D10" w:rsidP="00CC24D6">
      <w:pPr>
        <w:rPr>
          <w:rFonts w:cstheme="minorHAnsi"/>
          <w:sz w:val="21"/>
          <w:szCs w:val="21"/>
        </w:rPr>
      </w:pPr>
      <w:r>
        <w:rPr>
          <w:rFonts w:cstheme="minorHAnsi"/>
          <w:sz w:val="21"/>
          <w:szCs w:val="21"/>
        </w:rPr>
        <w:t>T</w:t>
      </w:r>
      <w:r w:rsidR="005923AE">
        <w:rPr>
          <w:rFonts w:cstheme="minorHAnsi"/>
          <w:sz w:val="21"/>
          <w:szCs w:val="21"/>
        </w:rPr>
        <w:t xml:space="preserve">he </w:t>
      </w:r>
      <w:r w:rsidR="00757155">
        <w:rPr>
          <w:rFonts w:cstheme="minorHAnsi"/>
          <w:sz w:val="21"/>
          <w:szCs w:val="21"/>
        </w:rPr>
        <w:t>implications for</w:t>
      </w:r>
      <w:r w:rsidR="005923AE">
        <w:rPr>
          <w:rFonts w:cstheme="minorHAnsi"/>
          <w:sz w:val="21"/>
          <w:szCs w:val="21"/>
        </w:rPr>
        <w:t xml:space="preserve"> the commercial card market,</w:t>
      </w:r>
      <w:r>
        <w:rPr>
          <w:rFonts w:cstheme="minorHAnsi"/>
          <w:sz w:val="21"/>
          <w:szCs w:val="21"/>
        </w:rPr>
        <w:t xml:space="preserve"> of</w:t>
      </w:r>
      <w:r w:rsidR="007A6B8A">
        <w:rPr>
          <w:rFonts w:cstheme="minorHAnsi"/>
          <w:sz w:val="21"/>
          <w:szCs w:val="21"/>
        </w:rPr>
        <w:t xml:space="preserve"> which</w:t>
      </w:r>
      <w:r>
        <w:rPr>
          <w:rFonts w:cstheme="minorHAnsi"/>
          <w:sz w:val="21"/>
          <w:szCs w:val="21"/>
        </w:rPr>
        <w:t xml:space="preserve"> </w:t>
      </w:r>
      <w:r w:rsidR="007A6B8A" w:rsidRPr="007A6B8A">
        <w:rPr>
          <w:rFonts w:cstheme="minorHAnsi"/>
          <w:sz w:val="21"/>
          <w:szCs w:val="21"/>
        </w:rPr>
        <w:t xml:space="preserve">three-party card schemes have around a 50 </w:t>
      </w:r>
      <w:r w:rsidR="00C54141">
        <w:rPr>
          <w:rFonts w:cstheme="minorHAnsi"/>
          <w:sz w:val="21"/>
          <w:szCs w:val="21"/>
        </w:rPr>
        <w:t>%</w:t>
      </w:r>
      <w:r w:rsidR="007A6B8A" w:rsidRPr="007A6B8A">
        <w:rPr>
          <w:rFonts w:cstheme="minorHAnsi"/>
          <w:sz w:val="21"/>
          <w:szCs w:val="21"/>
        </w:rPr>
        <w:t xml:space="preserve"> share</w:t>
      </w:r>
      <w:r w:rsidR="007A6B8A">
        <w:rPr>
          <w:rStyle w:val="FootnoteReference"/>
          <w:rFonts w:cstheme="minorHAnsi"/>
          <w:sz w:val="21"/>
          <w:szCs w:val="21"/>
        </w:rPr>
        <w:footnoteReference w:id="28"/>
      </w:r>
      <w:r w:rsidR="00E0695E">
        <w:rPr>
          <w:rFonts w:cstheme="minorHAnsi"/>
          <w:sz w:val="21"/>
          <w:szCs w:val="21"/>
        </w:rPr>
        <w:t xml:space="preserve"> </w:t>
      </w:r>
      <w:r w:rsidR="00293C1A">
        <w:rPr>
          <w:rFonts w:cstheme="minorHAnsi"/>
          <w:sz w:val="21"/>
          <w:szCs w:val="21"/>
        </w:rPr>
        <w:t xml:space="preserve">be </w:t>
      </w:r>
      <w:r w:rsidR="00CA29ED">
        <w:rPr>
          <w:rFonts w:cstheme="minorHAnsi"/>
          <w:sz w:val="21"/>
          <w:szCs w:val="21"/>
        </w:rPr>
        <w:t xml:space="preserve">even </w:t>
      </w:r>
      <w:r w:rsidR="00293C1A">
        <w:rPr>
          <w:rFonts w:cstheme="minorHAnsi"/>
          <w:sz w:val="21"/>
          <w:szCs w:val="21"/>
        </w:rPr>
        <w:t xml:space="preserve">more </w:t>
      </w:r>
      <w:r w:rsidR="00293C1A" w:rsidRPr="008A41B2">
        <w:rPr>
          <w:rFonts w:cstheme="minorHAnsi"/>
          <w:sz w:val="21"/>
          <w:szCs w:val="21"/>
        </w:rPr>
        <w:t xml:space="preserve">pronounced. </w:t>
      </w:r>
      <w:r w:rsidR="000252A5" w:rsidRPr="008A41B2">
        <w:rPr>
          <w:rFonts w:cstheme="minorHAnsi"/>
          <w:sz w:val="21"/>
          <w:szCs w:val="21"/>
        </w:rPr>
        <w:t xml:space="preserve">As </w:t>
      </w:r>
      <w:r w:rsidR="001F5208" w:rsidRPr="008A41B2">
        <w:rPr>
          <w:rFonts w:cstheme="minorHAnsi"/>
          <w:sz w:val="21"/>
          <w:szCs w:val="21"/>
        </w:rPr>
        <w:t xml:space="preserve">four-party </w:t>
      </w:r>
      <w:r w:rsidR="000252A5" w:rsidRPr="008A41B2">
        <w:rPr>
          <w:rFonts w:cstheme="minorHAnsi"/>
          <w:sz w:val="21"/>
          <w:szCs w:val="21"/>
        </w:rPr>
        <w:t>c</w:t>
      </w:r>
      <w:r w:rsidR="00F4562C" w:rsidRPr="008A41B2">
        <w:rPr>
          <w:rFonts w:cstheme="minorHAnsi"/>
          <w:sz w:val="21"/>
          <w:szCs w:val="21"/>
        </w:rPr>
        <w:t xml:space="preserve">orporate cards are </w:t>
      </w:r>
      <w:r w:rsidR="005741F0" w:rsidRPr="008A41B2">
        <w:rPr>
          <w:rFonts w:cstheme="minorHAnsi"/>
          <w:sz w:val="21"/>
          <w:szCs w:val="21"/>
        </w:rPr>
        <w:t>almost entirely funded by interch</w:t>
      </w:r>
      <w:r w:rsidR="009E345D" w:rsidRPr="008A41B2">
        <w:rPr>
          <w:rFonts w:cstheme="minorHAnsi"/>
          <w:sz w:val="21"/>
          <w:szCs w:val="21"/>
        </w:rPr>
        <w:t>ange</w:t>
      </w:r>
      <w:r w:rsidR="00865CCE" w:rsidRPr="008A41B2">
        <w:rPr>
          <w:rStyle w:val="FootnoteReference"/>
          <w:rFonts w:cstheme="minorHAnsi"/>
          <w:sz w:val="21"/>
          <w:szCs w:val="21"/>
        </w:rPr>
        <w:footnoteReference w:id="29"/>
      </w:r>
      <w:r w:rsidR="004000C8" w:rsidRPr="008A41B2">
        <w:rPr>
          <w:rFonts w:cstheme="minorHAnsi"/>
          <w:sz w:val="21"/>
          <w:szCs w:val="21"/>
        </w:rPr>
        <w:t xml:space="preserve">, </w:t>
      </w:r>
      <w:r w:rsidR="00FB6A86" w:rsidRPr="008A41B2">
        <w:rPr>
          <w:rFonts w:cstheme="minorHAnsi"/>
          <w:sz w:val="21"/>
          <w:szCs w:val="21"/>
        </w:rPr>
        <w:t>a</w:t>
      </w:r>
      <w:r w:rsidR="00F62C23" w:rsidRPr="008A41B2">
        <w:rPr>
          <w:rFonts w:cstheme="minorHAnsi"/>
          <w:sz w:val="21"/>
          <w:szCs w:val="21"/>
        </w:rPr>
        <w:t xml:space="preserve"> </w:t>
      </w:r>
      <w:r w:rsidR="00FB6A86" w:rsidRPr="008A41B2">
        <w:rPr>
          <w:rFonts w:cstheme="minorHAnsi"/>
          <w:sz w:val="21"/>
          <w:szCs w:val="21"/>
        </w:rPr>
        <w:t xml:space="preserve">reduction </w:t>
      </w:r>
      <w:r w:rsidR="001F5208" w:rsidRPr="008A41B2">
        <w:rPr>
          <w:rFonts w:cstheme="minorHAnsi"/>
          <w:sz w:val="21"/>
          <w:szCs w:val="21"/>
        </w:rPr>
        <w:t>to the exten</w:t>
      </w:r>
      <w:r w:rsidR="00F62C23" w:rsidRPr="008A41B2">
        <w:rPr>
          <w:rFonts w:cstheme="minorHAnsi"/>
          <w:sz w:val="21"/>
          <w:szCs w:val="21"/>
        </w:rPr>
        <w:t>t</w:t>
      </w:r>
      <w:r w:rsidR="001F5208" w:rsidRPr="008A41B2">
        <w:rPr>
          <w:rFonts w:cstheme="minorHAnsi"/>
          <w:sz w:val="21"/>
          <w:szCs w:val="21"/>
        </w:rPr>
        <w:t xml:space="preserve"> proposed will threaten </w:t>
      </w:r>
      <w:r w:rsidR="001C4E33" w:rsidRPr="008A41B2">
        <w:rPr>
          <w:rFonts w:cstheme="minorHAnsi"/>
          <w:sz w:val="21"/>
          <w:szCs w:val="21"/>
        </w:rPr>
        <w:t xml:space="preserve">their </w:t>
      </w:r>
      <w:r w:rsidR="001F5208" w:rsidRPr="008A41B2">
        <w:rPr>
          <w:rFonts w:cstheme="minorHAnsi"/>
          <w:sz w:val="21"/>
          <w:szCs w:val="21"/>
        </w:rPr>
        <w:t>viability.</w:t>
      </w:r>
      <w:r w:rsidR="0018475F" w:rsidRPr="008A41B2">
        <w:rPr>
          <w:rFonts w:cstheme="minorHAnsi"/>
          <w:sz w:val="21"/>
          <w:szCs w:val="21"/>
        </w:rPr>
        <w:t xml:space="preserve"> </w:t>
      </w:r>
      <w:r w:rsidR="00A87A7F" w:rsidRPr="008A41B2">
        <w:rPr>
          <w:rFonts w:cstheme="minorHAnsi"/>
          <w:sz w:val="21"/>
          <w:szCs w:val="21"/>
        </w:rPr>
        <w:t>CBA</w:t>
      </w:r>
      <w:r w:rsidR="00A87A7F">
        <w:rPr>
          <w:rFonts w:cstheme="minorHAnsi"/>
          <w:sz w:val="21"/>
          <w:szCs w:val="21"/>
        </w:rPr>
        <w:t xml:space="preserve"> believes that </w:t>
      </w:r>
      <w:r w:rsidR="000B10E7">
        <w:rPr>
          <w:rFonts w:cstheme="minorHAnsi"/>
          <w:sz w:val="21"/>
          <w:szCs w:val="21"/>
        </w:rPr>
        <w:t>the estimate</w:t>
      </w:r>
      <w:r w:rsidR="00B15E5A">
        <w:rPr>
          <w:rFonts w:cstheme="minorHAnsi"/>
          <w:sz w:val="21"/>
          <w:szCs w:val="21"/>
        </w:rPr>
        <w:t>d c</w:t>
      </w:r>
      <w:r w:rsidR="00B15E5A" w:rsidRPr="00B15E5A">
        <w:rPr>
          <w:rFonts w:cstheme="minorHAnsi"/>
          <w:sz w:val="21"/>
          <w:szCs w:val="21"/>
        </w:rPr>
        <w:t xml:space="preserve">osts of issuing commercial credit </w:t>
      </w:r>
      <w:r w:rsidR="005372CE">
        <w:rPr>
          <w:rFonts w:cstheme="minorHAnsi"/>
          <w:sz w:val="21"/>
          <w:szCs w:val="21"/>
        </w:rPr>
        <w:t xml:space="preserve">and charge </w:t>
      </w:r>
      <w:r w:rsidR="00B15E5A" w:rsidRPr="00B15E5A">
        <w:rPr>
          <w:rFonts w:cstheme="minorHAnsi"/>
          <w:sz w:val="21"/>
          <w:szCs w:val="21"/>
        </w:rPr>
        <w:t>cards</w:t>
      </w:r>
      <w:r w:rsidR="0042671C">
        <w:rPr>
          <w:rFonts w:cstheme="minorHAnsi"/>
          <w:sz w:val="21"/>
          <w:szCs w:val="21"/>
        </w:rPr>
        <w:t xml:space="preserve"> are </w:t>
      </w:r>
      <w:r w:rsidR="00DD5698">
        <w:rPr>
          <w:rFonts w:cstheme="minorHAnsi"/>
          <w:sz w:val="21"/>
          <w:szCs w:val="21"/>
        </w:rPr>
        <w:t>not correct</w:t>
      </w:r>
      <w:r w:rsidR="00284784">
        <w:rPr>
          <w:rFonts w:cstheme="minorHAnsi"/>
          <w:sz w:val="21"/>
          <w:szCs w:val="21"/>
        </w:rPr>
        <w:t>.</w:t>
      </w:r>
    </w:p>
    <w:p w14:paraId="612E75B5" w14:textId="5B7BA49E" w:rsidR="00885377" w:rsidRDefault="00AF7CCA" w:rsidP="00B63C21">
      <w:pPr>
        <w:rPr>
          <w:rFonts w:cstheme="minorHAnsi"/>
          <w:sz w:val="21"/>
          <w:szCs w:val="21"/>
        </w:rPr>
      </w:pPr>
      <w:r>
        <w:rPr>
          <w:rFonts w:cstheme="minorHAnsi"/>
          <w:sz w:val="21"/>
          <w:szCs w:val="21"/>
        </w:rPr>
        <w:t xml:space="preserve">The </w:t>
      </w:r>
      <w:r w:rsidR="00B63C21" w:rsidRPr="00B63C21">
        <w:rPr>
          <w:rFonts w:cstheme="minorHAnsi"/>
          <w:sz w:val="21"/>
          <w:szCs w:val="21"/>
        </w:rPr>
        <w:t xml:space="preserve">most recent data </w:t>
      </w:r>
      <w:r w:rsidR="00F1159C">
        <w:rPr>
          <w:rFonts w:cstheme="minorHAnsi"/>
          <w:sz w:val="21"/>
          <w:szCs w:val="21"/>
        </w:rPr>
        <w:t>published by the RBA</w:t>
      </w:r>
      <w:r w:rsidR="004A0FC4">
        <w:rPr>
          <w:rFonts w:cstheme="minorHAnsi"/>
          <w:sz w:val="21"/>
          <w:szCs w:val="21"/>
        </w:rPr>
        <w:t xml:space="preserve"> </w:t>
      </w:r>
      <w:r w:rsidR="00B63C21" w:rsidRPr="00B63C21">
        <w:rPr>
          <w:rFonts w:cstheme="minorHAnsi"/>
          <w:sz w:val="21"/>
          <w:szCs w:val="21"/>
        </w:rPr>
        <w:t xml:space="preserve">showed that the share of three-party schemes in the total value of credit and </w:t>
      </w:r>
      <w:r w:rsidR="006D15A8">
        <w:rPr>
          <w:rFonts w:cstheme="minorHAnsi"/>
          <w:sz w:val="21"/>
          <w:szCs w:val="21"/>
        </w:rPr>
        <w:t xml:space="preserve">charge </w:t>
      </w:r>
      <w:r w:rsidR="00B63C21" w:rsidRPr="00B63C21">
        <w:rPr>
          <w:rFonts w:cstheme="minorHAnsi"/>
          <w:sz w:val="21"/>
          <w:szCs w:val="21"/>
        </w:rPr>
        <w:t>card transactions had increased by around 8 percentage points between 2020 and 2024, to 23 per cent.</w:t>
      </w:r>
      <w:r w:rsidR="009760A8">
        <w:rPr>
          <w:rStyle w:val="FootnoteReference"/>
          <w:rFonts w:cstheme="minorHAnsi"/>
          <w:sz w:val="21"/>
          <w:szCs w:val="21"/>
        </w:rPr>
        <w:footnoteReference w:id="30"/>
      </w:r>
      <w:r w:rsidR="00B63C21" w:rsidRPr="00B63C21">
        <w:rPr>
          <w:rFonts w:cstheme="minorHAnsi"/>
          <w:sz w:val="21"/>
          <w:szCs w:val="21"/>
        </w:rPr>
        <w:t xml:space="preserve"> This was the highest </w:t>
      </w:r>
      <w:r w:rsidR="00B50B12">
        <w:rPr>
          <w:rFonts w:cstheme="minorHAnsi"/>
          <w:sz w:val="21"/>
          <w:szCs w:val="21"/>
        </w:rPr>
        <w:t xml:space="preserve">ever </w:t>
      </w:r>
      <w:r w:rsidR="000064A4">
        <w:rPr>
          <w:rFonts w:cstheme="minorHAnsi"/>
          <w:sz w:val="21"/>
          <w:szCs w:val="21"/>
        </w:rPr>
        <w:t>recorded</w:t>
      </w:r>
      <w:r w:rsidR="00B63C21" w:rsidRPr="00B63C21">
        <w:rPr>
          <w:rFonts w:cstheme="minorHAnsi"/>
          <w:sz w:val="21"/>
          <w:szCs w:val="21"/>
        </w:rPr>
        <w:t xml:space="preserve"> market share </w:t>
      </w:r>
      <w:r w:rsidR="00B50B12">
        <w:rPr>
          <w:rFonts w:cstheme="minorHAnsi"/>
          <w:sz w:val="21"/>
          <w:szCs w:val="21"/>
        </w:rPr>
        <w:t xml:space="preserve">and we believe is in large part due to the regulatory arbitrage that exists today and will be </w:t>
      </w:r>
      <w:r w:rsidR="00080724">
        <w:rPr>
          <w:rFonts w:cstheme="minorHAnsi"/>
          <w:sz w:val="21"/>
          <w:szCs w:val="21"/>
        </w:rPr>
        <w:t xml:space="preserve">significantly </w:t>
      </w:r>
      <w:r w:rsidR="00B50B12">
        <w:rPr>
          <w:rFonts w:cstheme="minorHAnsi"/>
          <w:sz w:val="21"/>
          <w:szCs w:val="21"/>
        </w:rPr>
        <w:t>amplified by the proposal</w:t>
      </w:r>
      <w:r w:rsidR="00B63C21" w:rsidRPr="00B63C21">
        <w:rPr>
          <w:rFonts w:cstheme="minorHAnsi"/>
          <w:sz w:val="21"/>
          <w:szCs w:val="21"/>
        </w:rPr>
        <w:t>.</w:t>
      </w:r>
    </w:p>
    <w:p w14:paraId="694B269F" w14:textId="77777777" w:rsidR="00C439DB" w:rsidRDefault="00C439DB">
      <w:pPr>
        <w:spacing w:after="160"/>
        <w:jc w:val="left"/>
        <w:rPr>
          <w:rFonts w:cstheme="minorHAnsi"/>
          <w:b/>
          <w:bCs/>
          <w:sz w:val="21"/>
          <w:szCs w:val="21"/>
        </w:rPr>
      </w:pPr>
      <w:r>
        <w:rPr>
          <w:rFonts w:cstheme="minorHAnsi"/>
          <w:b/>
          <w:bCs/>
          <w:sz w:val="21"/>
          <w:szCs w:val="21"/>
        </w:rPr>
        <w:br w:type="page"/>
      </w:r>
    </w:p>
    <w:p w14:paraId="7D7E704F" w14:textId="1AB4E6C7" w:rsidR="00B21454" w:rsidRDefault="00C31DD2" w:rsidP="00B63C21">
      <w:pPr>
        <w:rPr>
          <w:rFonts w:cstheme="minorHAnsi"/>
          <w:b/>
          <w:bCs/>
          <w:sz w:val="21"/>
          <w:szCs w:val="21"/>
        </w:rPr>
      </w:pPr>
      <w:r>
        <w:rPr>
          <w:rFonts w:cstheme="minorHAnsi"/>
          <w:b/>
          <w:bCs/>
          <w:sz w:val="21"/>
          <w:szCs w:val="21"/>
        </w:rPr>
        <w:lastRenderedPageBreak/>
        <w:t>Three party</w:t>
      </w:r>
      <w:r w:rsidR="00C66C80" w:rsidRPr="003A7C09">
        <w:rPr>
          <w:rFonts w:cstheme="minorHAnsi"/>
          <w:b/>
          <w:bCs/>
          <w:sz w:val="21"/>
          <w:szCs w:val="21"/>
        </w:rPr>
        <w:t xml:space="preserve"> </w:t>
      </w:r>
      <w:proofErr w:type="gramStart"/>
      <w:r w:rsidR="00C66C80" w:rsidRPr="003A7C09">
        <w:rPr>
          <w:rFonts w:cstheme="minorHAnsi"/>
          <w:b/>
          <w:bCs/>
          <w:sz w:val="21"/>
          <w:szCs w:val="21"/>
        </w:rPr>
        <w:t>share</w:t>
      </w:r>
      <w:proofErr w:type="gramEnd"/>
      <w:r w:rsidR="00C66C80" w:rsidRPr="003A7C09">
        <w:rPr>
          <w:rFonts w:cstheme="minorHAnsi"/>
          <w:b/>
          <w:bCs/>
          <w:sz w:val="21"/>
          <w:szCs w:val="21"/>
        </w:rPr>
        <w:t xml:space="preserve"> of credit and charge card purchases</w:t>
      </w:r>
      <w:r w:rsidR="00414B91">
        <w:rPr>
          <w:rStyle w:val="FootnoteReference"/>
          <w:rFonts w:cstheme="minorHAnsi"/>
          <w:b/>
          <w:bCs/>
          <w:sz w:val="21"/>
          <w:szCs w:val="21"/>
        </w:rPr>
        <w:footnoteReference w:id="31"/>
      </w:r>
    </w:p>
    <w:p w14:paraId="2419E85C" w14:textId="22E8EBA5" w:rsidR="00D622DC" w:rsidRPr="003A7C09" w:rsidRDefault="00D622DC" w:rsidP="003A7C09">
      <w:pPr>
        <w:jc w:val="center"/>
        <w:rPr>
          <w:rFonts w:cstheme="minorHAnsi"/>
          <w:b/>
          <w:bCs/>
          <w:sz w:val="21"/>
          <w:szCs w:val="21"/>
        </w:rPr>
      </w:pPr>
      <w:r w:rsidRPr="008A7445">
        <w:rPr>
          <w:noProof/>
        </w:rPr>
        <w:drawing>
          <wp:inline distT="0" distB="0" distL="0" distR="0" wp14:anchorId="5CA4D6C1" wp14:editId="7F4C6001">
            <wp:extent cx="5276628" cy="2384756"/>
            <wp:effectExtent l="0" t="0" r="0" b="0"/>
            <wp:docPr id="15311493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r="24570"/>
                    <a:stretch>
                      <a:fillRect/>
                    </a:stretch>
                  </pic:blipFill>
                  <pic:spPr bwMode="auto">
                    <a:xfrm>
                      <a:off x="0" y="0"/>
                      <a:ext cx="5284247" cy="2388199"/>
                    </a:xfrm>
                    <a:prstGeom prst="rect">
                      <a:avLst/>
                    </a:prstGeom>
                    <a:noFill/>
                    <a:ln>
                      <a:noFill/>
                    </a:ln>
                    <a:extLst>
                      <a:ext uri="{53640926-AAD7-44D8-BBD7-CCE9431645EC}">
                        <a14:shadowObscured xmlns:a14="http://schemas.microsoft.com/office/drawing/2010/main"/>
                      </a:ext>
                    </a:extLst>
                  </pic:spPr>
                </pic:pic>
              </a:graphicData>
            </a:graphic>
          </wp:inline>
        </w:drawing>
      </w:r>
    </w:p>
    <w:p w14:paraId="3D2EB833" w14:textId="3739BEA7" w:rsidR="003F13C9" w:rsidRDefault="003F13C9" w:rsidP="00F56946">
      <w:pPr>
        <w:jc w:val="center"/>
        <w:rPr>
          <w:rFonts w:cstheme="minorHAnsi"/>
          <w:sz w:val="21"/>
          <w:szCs w:val="21"/>
        </w:rPr>
      </w:pPr>
    </w:p>
    <w:p w14:paraId="3C5F2CEA" w14:textId="57B88109" w:rsidR="00407DC4" w:rsidRPr="003C4022" w:rsidRDefault="006673AB" w:rsidP="0062610A">
      <w:pPr>
        <w:rPr>
          <w:rFonts w:cstheme="minorHAnsi"/>
          <w:sz w:val="21"/>
          <w:szCs w:val="21"/>
        </w:rPr>
      </w:pPr>
      <w:r w:rsidRPr="00B420E7">
        <w:rPr>
          <w:rFonts w:cstheme="minorHAnsi"/>
          <w:sz w:val="21"/>
          <w:szCs w:val="21"/>
        </w:rPr>
        <w:t>There is clear evidence</w:t>
      </w:r>
      <w:r w:rsidR="00B00E0A" w:rsidRPr="00B420E7">
        <w:rPr>
          <w:rFonts w:cstheme="minorHAnsi"/>
          <w:sz w:val="21"/>
          <w:szCs w:val="21"/>
        </w:rPr>
        <w:t xml:space="preserve"> that </w:t>
      </w:r>
      <w:r w:rsidR="004E7FAB" w:rsidRPr="00B420E7">
        <w:rPr>
          <w:rFonts w:cstheme="minorHAnsi"/>
          <w:sz w:val="21"/>
          <w:szCs w:val="21"/>
        </w:rPr>
        <w:t>American Express is a ‘must-</w:t>
      </w:r>
      <w:r w:rsidR="0009712C" w:rsidRPr="00B420E7">
        <w:rPr>
          <w:rFonts w:cstheme="minorHAnsi"/>
          <w:sz w:val="21"/>
          <w:szCs w:val="21"/>
        </w:rPr>
        <w:t xml:space="preserve">accept’ </w:t>
      </w:r>
      <w:r w:rsidR="004E7FAB" w:rsidRPr="00B420E7">
        <w:rPr>
          <w:rFonts w:cstheme="minorHAnsi"/>
          <w:sz w:val="21"/>
          <w:szCs w:val="21"/>
        </w:rPr>
        <w:t xml:space="preserve">card </w:t>
      </w:r>
      <w:r w:rsidR="00001A39" w:rsidRPr="00B420E7">
        <w:rPr>
          <w:rFonts w:cstheme="minorHAnsi"/>
          <w:sz w:val="21"/>
          <w:szCs w:val="21"/>
        </w:rPr>
        <w:t xml:space="preserve">for </w:t>
      </w:r>
      <w:r w:rsidR="00172213" w:rsidRPr="00B420E7">
        <w:rPr>
          <w:rFonts w:cstheme="minorHAnsi"/>
          <w:sz w:val="21"/>
          <w:szCs w:val="21"/>
        </w:rPr>
        <w:t>both consumer and commercial credit cards</w:t>
      </w:r>
      <w:r w:rsidR="004E7FAB" w:rsidRPr="00B420E7">
        <w:rPr>
          <w:rFonts w:cstheme="minorHAnsi"/>
          <w:sz w:val="21"/>
          <w:szCs w:val="21"/>
        </w:rPr>
        <w:t>.</w:t>
      </w:r>
      <w:r w:rsidR="005A54E0" w:rsidRPr="00B420E7">
        <w:rPr>
          <w:rFonts w:cstheme="minorHAnsi"/>
          <w:sz w:val="21"/>
          <w:szCs w:val="21"/>
        </w:rPr>
        <w:t xml:space="preserve"> </w:t>
      </w:r>
      <w:r w:rsidR="00464939" w:rsidRPr="00B420E7">
        <w:rPr>
          <w:rFonts w:cstheme="minorHAnsi"/>
          <w:sz w:val="21"/>
          <w:szCs w:val="21"/>
        </w:rPr>
        <w:t xml:space="preserve">It is accepted by </w:t>
      </w:r>
      <w:r w:rsidR="0043161A" w:rsidRPr="00B420E7">
        <w:rPr>
          <w:sz w:val="21"/>
          <w:szCs w:val="21"/>
        </w:rPr>
        <w:t>95</w:t>
      </w:r>
      <w:r w:rsidR="0066324A" w:rsidRPr="00B420E7">
        <w:rPr>
          <w:sz w:val="21"/>
          <w:szCs w:val="21"/>
        </w:rPr>
        <w:t>% of Australia’s top retailers</w:t>
      </w:r>
      <w:r w:rsidR="00F42CF1" w:rsidRPr="00B420E7">
        <w:rPr>
          <w:sz w:val="21"/>
          <w:szCs w:val="21"/>
        </w:rPr>
        <w:t xml:space="preserve"> </w:t>
      </w:r>
      <w:r w:rsidR="00996F4E" w:rsidRPr="00B420E7">
        <w:rPr>
          <w:sz w:val="21"/>
          <w:szCs w:val="21"/>
        </w:rPr>
        <w:t>and acceptance has grown dramatically since 2022.</w:t>
      </w:r>
      <w:r w:rsidR="0009712C" w:rsidRPr="00B420E7">
        <w:rPr>
          <w:sz w:val="21"/>
          <w:szCs w:val="21"/>
        </w:rPr>
        <w:t xml:space="preserve"> </w:t>
      </w:r>
      <w:r w:rsidR="00365461" w:rsidRPr="00B420E7">
        <w:rPr>
          <w:rFonts w:cstheme="minorHAnsi"/>
          <w:sz w:val="21"/>
          <w:szCs w:val="21"/>
        </w:rPr>
        <w:t>These</w:t>
      </w:r>
      <w:r w:rsidR="0009712C" w:rsidRPr="00B420E7">
        <w:rPr>
          <w:rFonts w:cstheme="minorHAnsi"/>
          <w:sz w:val="21"/>
          <w:szCs w:val="21"/>
        </w:rPr>
        <w:t xml:space="preserve"> customers are overwhelmingly affluent</w:t>
      </w:r>
      <w:r w:rsidR="004B6C22" w:rsidRPr="00B420E7">
        <w:rPr>
          <w:rFonts w:cstheme="minorHAnsi"/>
          <w:sz w:val="21"/>
          <w:szCs w:val="21"/>
        </w:rPr>
        <w:t>, and attractive to businesses</w:t>
      </w:r>
      <w:r w:rsidR="0009712C" w:rsidRPr="00B420E7">
        <w:rPr>
          <w:rFonts w:cstheme="minorHAnsi"/>
          <w:sz w:val="21"/>
          <w:szCs w:val="21"/>
        </w:rPr>
        <w:t>.</w:t>
      </w:r>
    </w:p>
    <w:p w14:paraId="57626E00" w14:textId="7FC8F7A1" w:rsidR="0067721A" w:rsidRDefault="00CE6F3E" w:rsidP="000267E1">
      <w:pPr>
        <w:rPr>
          <w:rFonts w:cstheme="minorHAnsi"/>
          <w:sz w:val="21"/>
          <w:szCs w:val="21"/>
        </w:rPr>
      </w:pPr>
      <w:r w:rsidRPr="006E5552">
        <w:rPr>
          <w:rFonts w:cstheme="minorHAnsi"/>
          <w:sz w:val="21"/>
          <w:szCs w:val="21"/>
        </w:rPr>
        <w:t xml:space="preserve">The RBA has previously acknowledged that </w:t>
      </w:r>
      <w:r w:rsidRPr="006E5552">
        <w:rPr>
          <w:rFonts w:ascii="CBA Beacon Sans" w:hAnsi="CBA Beacon Sans"/>
          <w:sz w:val="21"/>
          <w:szCs w:val="21"/>
        </w:rPr>
        <w:t>“</w:t>
      </w:r>
      <w:r w:rsidR="00DD641C">
        <w:rPr>
          <w:rFonts w:ascii="CBA Beacon Sans" w:hAnsi="CBA Beacon Sans"/>
          <w:sz w:val="21"/>
          <w:szCs w:val="21"/>
        </w:rPr>
        <w:t>…</w:t>
      </w:r>
      <w:r w:rsidRPr="006E5552">
        <w:rPr>
          <w:rFonts w:ascii="CBA Beacon Sans" w:hAnsi="CBA Beacon Sans"/>
          <w:i/>
          <w:iCs/>
          <w:sz w:val="21"/>
          <w:szCs w:val="21"/>
        </w:rPr>
        <w:t>lower interchange rates on credit card transactions might therefore be offset by a longer-term shift towards more costly three-party systems.“</w:t>
      </w:r>
      <w:r w:rsidRPr="006225DE">
        <w:rPr>
          <w:rStyle w:val="FootnoteReference"/>
          <w:rFonts w:ascii="CBA Beacon Sans" w:hAnsi="CBA Beacon Sans"/>
          <w:sz w:val="21"/>
          <w:szCs w:val="21"/>
        </w:rPr>
        <w:footnoteReference w:id="32"/>
      </w:r>
    </w:p>
    <w:p w14:paraId="1E9910AF" w14:textId="253146C3" w:rsidR="00553ACE" w:rsidRPr="00510897" w:rsidRDefault="0093383D" w:rsidP="000267E1">
      <w:pPr>
        <w:rPr>
          <w:rFonts w:cstheme="minorHAnsi"/>
          <w:sz w:val="21"/>
          <w:szCs w:val="21"/>
        </w:rPr>
      </w:pPr>
      <w:r w:rsidRPr="00047531">
        <w:rPr>
          <w:rFonts w:cstheme="minorHAnsi"/>
          <w:sz w:val="21"/>
          <w:szCs w:val="21"/>
        </w:rPr>
        <w:t>With fee</w:t>
      </w:r>
      <w:r w:rsidR="00BA2252" w:rsidRPr="00047531">
        <w:rPr>
          <w:rFonts w:cstheme="minorHAnsi"/>
          <w:sz w:val="21"/>
          <w:szCs w:val="21"/>
        </w:rPr>
        <w:t>-</w:t>
      </w:r>
      <w:r w:rsidRPr="00047531">
        <w:rPr>
          <w:rFonts w:cstheme="minorHAnsi"/>
          <w:sz w:val="21"/>
          <w:szCs w:val="21"/>
        </w:rPr>
        <w:t xml:space="preserve">regulated credit less attractive and available, customers will shift to </w:t>
      </w:r>
      <w:r w:rsidR="00025A99" w:rsidRPr="00047531">
        <w:rPr>
          <w:rFonts w:cstheme="minorHAnsi"/>
          <w:sz w:val="21"/>
          <w:szCs w:val="21"/>
        </w:rPr>
        <w:t>three-party schemes</w:t>
      </w:r>
      <w:r w:rsidR="00FB31F8" w:rsidRPr="00047531">
        <w:rPr>
          <w:rFonts w:cstheme="minorHAnsi"/>
          <w:sz w:val="21"/>
          <w:szCs w:val="21"/>
        </w:rPr>
        <w:t xml:space="preserve">. This will increase merchant fees </w:t>
      </w:r>
      <w:r w:rsidRPr="00047531">
        <w:rPr>
          <w:rFonts w:cstheme="minorHAnsi"/>
          <w:sz w:val="21"/>
          <w:szCs w:val="21"/>
        </w:rPr>
        <w:t>(</w:t>
      </w:r>
      <w:r w:rsidR="00DA7F9C" w:rsidRPr="00047531">
        <w:rPr>
          <w:rFonts w:cstheme="minorHAnsi"/>
          <w:sz w:val="21"/>
          <w:szCs w:val="21"/>
        </w:rPr>
        <w:t>Average merchant fees</w:t>
      </w:r>
      <w:r w:rsidR="009C1829" w:rsidRPr="00047531">
        <w:rPr>
          <w:rFonts w:cstheme="minorHAnsi"/>
          <w:sz w:val="21"/>
          <w:szCs w:val="21"/>
        </w:rPr>
        <w:t xml:space="preserve"> according to RBA</w:t>
      </w:r>
      <w:r w:rsidR="00876A64" w:rsidRPr="00047531">
        <w:rPr>
          <w:rFonts w:cstheme="minorHAnsi"/>
          <w:sz w:val="21"/>
          <w:szCs w:val="21"/>
        </w:rPr>
        <w:t xml:space="preserve"> analysis</w:t>
      </w:r>
      <w:r w:rsidR="00DA7F9C" w:rsidRPr="00047531">
        <w:rPr>
          <w:rFonts w:cstheme="minorHAnsi"/>
          <w:sz w:val="21"/>
          <w:szCs w:val="21"/>
        </w:rPr>
        <w:t xml:space="preserve">: </w:t>
      </w:r>
      <w:r w:rsidR="00630A76" w:rsidRPr="00047531">
        <w:rPr>
          <w:rFonts w:cstheme="minorHAnsi"/>
          <w:sz w:val="21"/>
          <w:szCs w:val="21"/>
        </w:rPr>
        <w:t>American Express</w:t>
      </w:r>
      <w:r w:rsidR="00FB31F8" w:rsidRPr="00047531">
        <w:rPr>
          <w:rFonts w:cstheme="minorHAnsi"/>
          <w:sz w:val="21"/>
          <w:szCs w:val="21"/>
        </w:rPr>
        <w:t xml:space="preserve"> </w:t>
      </w:r>
      <w:r w:rsidRPr="00047531">
        <w:rPr>
          <w:rFonts w:cstheme="minorHAnsi"/>
          <w:sz w:val="21"/>
          <w:szCs w:val="21"/>
        </w:rPr>
        <w:t>1.3</w:t>
      </w:r>
      <w:r w:rsidR="00DA7F9C" w:rsidRPr="00047531">
        <w:rPr>
          <w:rFonts w:cstheme="minorHAnsi"/>
          <w:sz w:val="21"/>
          <w:szCs w:val="21"/>
        </w:rPr>
        <w:t xml:space="preserve">% and BNPL ~3.5% </w:t>
      </w:r>
      <w:r w:rsidRPr="00047531">
        <w:rPr>
          <w:rFonts w:cstheme="minorHAnsi"/>
          <w:sz w:val="21"/>
          <w:szCs w:val="21"/>
        </w:rPr>
        <w:t xml:space="preserve">compared to </w:t>
      </w:r>
      <w:r w:rsidR="00DA7F9C" w:rsidRPr="00047531">
        <w:rPr>
          <w:rFonts w:cstheme="minorHAnsi"/>
          <w:sz w:val="21"/>
          <w:szCs w:val="21"/>
        </w:rPr>
        <w:t xml:space="preserve">debit cards </w:t>
      </w:r>
      <w:r w:rsidRPr="00047531">
        <w:rPr>
          <w:rFonts w:cstheme="minorHAnsi"/>
          <w:sz w:val="21"/>
          <w:szCs w:val="21"/>
        </w:rPr>
        <w:t xml:space="preserve">0.4% </w:t>
      </w:r>
      <w:r w:rsidR="00DA7F9C" w:rsidRPr="00047531">
        <w:rPr>
          <w:rFonts w:cstheme="minorHAnsi"/>
          <w:sz w:val="21"/>
          <w:szCs w:val="21"/>
        </w:rPr>
        <w:t xml:space="preserve">and credit cards </w:t>
      </w:r>
      <w:r w:rsidRPr="00047531">
        <w:rPr>
          <w:rFonts w:cstheme="minorHAnsi"/>
          <w:sz w:val="21"/>
          <w:szCs w:val="21"/>
        </w:rPr>
        <w:t>0.8%)</w:t>
      </w:r>
      <w:r w:rsidR="00FE0809" w:rsidRPr="00047531">
        <w:rPr>
          <w:rFonts w:cstheme="minorHAnsi"/>
          <w:sz w:val="21"/>
          <w:szCs w:val="21"/>
        </w:rPr>
        <w:t>.</w:t>
      </w:r>
      <w:r w:rsidR="006225DE" w:rsidRPr="00047531">
        <w:rPr>
          <w:rStyle w:val="FootnoteReference"/>
          <w:rFonts w:cstheme="minorHAnsi"/>
          <w:sz w:val="21"/>
          <w:szCs w:val="21"/>
        </w:rPr>
        <w:footnoteReference w:id="33"/>
      </w:r>
      <w:r w:rsidR="00FE0809">
        <w:rPr>
          <w:rFonts w:cstheme="minorHAnsi"/>
          <w:sz w:val="21"/>
          <w:szCs w:val="21"/>
        </w:rPr>
        <w:t xml:space="preserve"> </w:t>
      </w:r>
    </w:p>
    <w:p w14:paraId="3C370ABF" w14:textId="77777777" w:rsidR="00510897" w:rsidRPr="005A7BF9" w:rsidRDefault="00510897" w:rsidP="005A7BF9">
      <w:pPr>
        <w:rPr>
          <w:rFonts w:cstheme="minorHAnsi"/>
          <w:sz w:val="21"/>
          <w:szCs w:val="21"/>
        </w:rPr>
      </w:pPr>
    </w:p>
    <w:p w14:paraId="4527999E" w14:textId="0953E65F" w:rsidR="00FB4A29" w:rsidRPr="00F122A6" w:rsidRDefault="00FB4A29" w:rsidP="00FB4A29">
      <w:pPr>
        <w:rPr>
          <w:rFonts w:cstheme="minorHAnsi"/>
          <w:b/>
          <w:sz w:val="21"/>
          <w:szCs w:val="21"/>
          <w:lang w:val="en-GB"/>
        </w:rPr>
      </w:pPr>
      <w:r>
        <w:rPr>
          <w:rFonts w:cstheme="minorHAnsi"/>
          <w:b/>
          <w:bCs/>
          <w:sz w:val="21"/>
          <w:szCs w:val="21"/>
          <w:lang w:val="en-GB"/>
        </w:rPr>
        <w:t>i</w:t>
      </w:r>
      <w:r w:rsidR="00266025">
        <w:rPr>
          <w:rFonts w:cstheme="minorHAnsi"/>
          <w:b/>
          <w:bCs/>
          <w:sz w:val="21"/>
          <w:szCs w:val="21"/>
          <w:lang w:val="en-GB"/>
        </w:rPr>
        <w:t>i</w:t>
      </w:r>
      <w:r>
        <w:rPr>
          <w:rFonts w:cstheme="minorHAnsi"/>
          <w:b/>
          <w:bCs/>
          <w:sz w:val="21"/>
          <w:szCs w:val="21"/>
          <w:lang w:val="en-GB"/>
        </w:rPr>
        <w:t xml:space="preserve">i) </w:t>
      </w:r>
      <w:r>
        <w:rPr>
          <w:rFonts w:cstheme="minorHAnsi"/>
          <w:b/>
          <w:bCs/>
          <w:sz w:val="21"/>
          <w:szCs w:val="21"/>
          <w:lang w:val="en-GB"/>
        </w:rPr>
        <w:tab/>
        <w:t>Global Acquirers</w:t>
      </w:r>
    </w:p>
    <w:p w14:paraId="057862E2" w14:textId="442A989F" w:rsidR="00052913" w:rsidRDefault="0009712C" w:rsidP="00FB4A29">
      <w:pPr>
        <w:rPr>
          <w:rFonts w:cstheme="minorHAnsi"/>
        </w:rPr>
      </w:pPr>
      <w:r>
        <w:rPr>
          <w:rFonts w:cstheme="minorHAnsi"/>
        </w:rPr>
        <w:t xml:space="preserve">The </w:t>
      </w:r>
      <w:r w:rsidR="00052913">
        <w:rPr>
          <w:rFonts w:cstheme="minorHAnsi"/>
        </w:rPr>
        <w:t>economic modelling would see a $185-220</w:t>
      </w:r>
      <w:r w:rsidR="003C5F38">
        <w:rPr>
          <w:rFonts w:cstheme="minorHAnsi"/>
        </w:rPr>
        <w:t xml:space="preserve"> </w:t>
      </w:r>
      <w:r w:rsidR="00052913">
        <w:rPr>
          <w:rFonts w:cstheme="minorHAnsi"/>
        </w:rPr>
        <w:t>m</w:t>
      </w:r>
      <w:r w:rsidR="003C5F38">
        <w:rPr>
          <w:rFonts w:cstheme="minorHAnsi"/>
        </w:rPr>
        <w:t>illion</w:t>
      </w:r>
      <w:r w:rsidR="00052913">
        <w:rPr>
          <w:rFonts w:cstheme="minorHAnsi"/>
        </w:rPr>
        <w:t xml:space="preserve"> p.a. benefit delivered to acquirers, </w:t>
      </w:r>
      <w:r w:rsidR="007E33CA">
        <w:rPr>
          <w:rFonts w:cstheme="minorHAnsi"/>
        </w:rPr>
        <w:t>heavily skewed towards</w:t>
      </w:r>
      <w:r w:rsidR="00052913">
        <w:rPr>
          <w:rFonts w:cstheme="minorHAnsi"/>
        </w:rPr>
        <w:t xml:space="preserve"> global acquirers. </w:t>
      </w:r>
    </w:p>
    <w:p w14:paraId="1B3D27C7" w14:textId="482BB780" w:rsidR="00FB4A29" w:rsidRDefault="00FB4A29" w:rsidP="00FB4A29">
      <w:pPr>
        <w:rPr>
          <w:rFonts w:cstheme="minorHAnsi"/>
        </w:rPr>
      </w:pPr>
      <w:r>
        <w:rPr>
          <w:rFonts w:cstheme="minorHAnsi"/>
        </w:rPr>
        <w:t>Global acquirers have become a feature of the Australian card payments landscape</w:t>
      </w:r>
      <w:r w:rsidR="007226EB">
        <w:rPr>
          <w:rFonts w:cstheme="minorHAnsi"/>
        </w:rPr>
        <w:t xml:space="preserve">. </w:t>
      </w:r>
      <w:r w:rsidRPr="00486844">
        <w:rPr>
          <w:rFonts w:cstheme="minorHAnsi"/>
        </w:rPr>
        <w:t xml:space="preserve">CBA internal data </w:t>
      </w:r>
      <w:r w:rsidR="00B551EA">
        <w:rPr>
          <w:rFonts w:cstheme="minorHAnsi"/>
        </w:rPr>
        <w:t>shows that</w:t>
      </w:r>
      <w:r w:rsidRPr="00486844">
        <w:rPr>
          <w:rFonts w:cstheme="minorHAnsi"/>
        </w:rPr>
        <w:t xml:space="preserve"> </w:t>
      </w:r>
      <w:r>
        <w:rPr>
          <w:rFonts w:cstheme="minorHAnsi"/>
        </w:rPr>
        <w:t xml:space="preserve">these participants have grown </w:t>
      </w:r>
      <w:r w:rsidR="00E72000">
        <w:rPr>
          <w:rFonts w:cstheme="minorHAnsi"/>
        </w:rPr>
        <w:t>well above</w:t>
      </w:r>
      <w:r w:rsidRPr="00486844">
        <w:rPr>
          <w:rFonts w:cstheme="minorHAnsi"/>
        </w:rPr>
        <w:t xml:space="preserve"> system </w:t>
      </w:r>
      <w:r>
        <w:rPr>
          <w:rFonts w:cstheme="minorHAnsi"/>
        </w:rPr>
        <w:t xml:space="preserve">over the last two years. This growth is most concentrated in industries that surcharge at higher rates for both in-person and online acquiring, and where pricing is more likely to be bundled with </w:t>
      </w:r>
      <w:r w:rsidR="00E155DA">
        <w:rPr>
          <w:rFonts w:cstheme="minorHAnsi"/>
        </w:rPr>
        <w:t>other services which</w:t>
      </w:r>
      <w:r>
        <w:rPr>
          <w:rFonts w:cstheme="minorHAnsi"/>
        </w:rPr>
        <w:t xml:space="preserve"> </w:t>
      </w:r>
      <w:r w:rsidR="00E155DA">
        <w:rPr>
          <w:rFonts w:cstheme="minorHAnsi"/>
        </w:rPr>
        <w:t xml:space="preserve">obscures </w:t>
      </w:r>
      <w:r>
        <w:rPr>
          <w:rFonts w:cstheme="minorHAnsi"/>
        </w:rPr>
        <w:t>the wholesale cost.</w:t>
      </w:r>
    </w:p>
    <w:p w14:paraId="65EAA1F6" w14:textId="6FB3F9C0" w:rsidR="001C3E2E" w:rsidRDefault="00FB4A29" w:rsidP="00FB4A29">
      <w:pPr>
        <w:rPr>
          <w:rFonts w:cstheme="minorHAnsi"/>
        </w:rPr>
      </w:pPr>
      <w:r>
        <w:rPr>
          <w:rFonts w:cstheme="minorHAnsi"/>
        </w:rPr>
        <w:t xml:space="preserve">Small businesses are heavy users of </w:t>
      </w:r>
      <w:proofErr w:type="gramStart"/>
      <w:r>
        <w:rPr>
          <w:rFonts w:cstheme="minorHAnsi"/>
        </w:rPr>
        <w:t>single-rate</w:t>
      </w:r>
      <w:proofErr w:type="gramEnd"/>
      <w:r>
        <w:rPr>
          <w:rFonts w:cstheme="minorHAnsi"/>
        </w:rPr>
        <w:t xml:space="preserve"> acquiring plans, which will be unaffected by interchange regulation unless acquirers choose to pass on the reduction. In the EU, acquirers passed on only 50% of their net cost savings to merchants and in the UK only </w:t>
      </w:r>
      <w:r w:rsidRPr="00E974F0">
        <w:rPr>
          <w:rFonts w:cstheme="minorHAnsi"/>
        </w:rPr>
        <w:t>12%</w:t>
      </w:r>
      <w:r>
        <w:rPr>
          <w:rFonts w:cstheme="minorHAnsi"/>
        </w:rPr>
        <w:t>.</w:t>
      </w:r>
      <w:r>
        <w:rPr>
          <w:rStyle w:val="FootnoteReference"/>
          <w:rFonts w:cstheme="minorHAnsi"/>
        </w:rPr>
        <w:footnoteReference w:id="34"/>
      </w:r>
      <w:r>
        <w:rPr>
          <w:rFonts w:cstheme="minorHAnsi"/>
        </w:rPr>
        <w:t xml:space="preserve"> </w:t>
      </w:r>
    </w:p>
    <w:p w14:paraId="142BCDEB" w14:textId="774C5E40" w:rsidR="00FB4A29" w:rsidRDefault="00FB4A29" w:rsidP="00FB4A29">
      <w:pPr>
        <w:rPr>
          <w:rFonts w:cstheme="minorHAnsi"/>
        </w:rPr>
      </w:pPr>
      <w:r>
        <w:rPr>
          <w:rFonts w:cstheme="minorHAnsi"/>
        </w:rPr>
        <w:t>Although the PSB</w:t>
      </w:r>
      <w:r w:rsidRPr="00282A1E">
        <w:t xml:space="preserve"> </w:t>
      </w:r>
      <w:r w:rsidRPr="00282A1E">
        <w:rPr>
          <w:rFonts w:cstheme="minorHAnsi"/>
        </w:rPr>
        <w:t>expects P</w:t>
      </w:r>
      <w:r w:rsidR="0053562F">
        <w:rPr>
          <w:rFonts w:cstheme="minorHAnsi"/>
        </w:rPr>
        <w:t xml:space="preserve">ayment </w:t>
      </w:r>
      <w:r w:rsidRPr="00282A1E">
        <w:rPr>
          <w:rFonts w:cstheme="minorHAnsi"/>
        </w:rPr>
        <w:t>S</w:t>
      </w:r>
      <w:r w:rsidR="0053562F">
        <w:rPr>
          <w:rFonts w:cstheme="minorHAnsi"/>
        </w:rPr>
        <w:t xml:space="preserve">ervice </w:t>
      </w:r>
      <w:r w:rsidRPr="00282A1E">
        <w:rPr>
          <w:rFonts w:cstheme="minorHAnsi"/>
        </w:rPr>
        <w:t>P</w:t>
      </w:r>
      <w:r w:rsidR="0053562F">
        <w:rPr>
          <w:rFonts w:cstheme="minorHAnsi"/>
        </w:rPr>
        <w:t>rovider</w:t>
      </w:r>
      <w:r w:rsidRPr="00282A1E">
        <w:rPr>
          <w:rFonts w:cstheme="minorHAnsi"/>
        </w:rPr>
        <w:t>s to pass on savings to merchants</w:t>
      </w:r>
      <w:r>
        <w:rPr>
          <w:rFonts w:cstheme="minorHAnsi"/>
        </w:rPr>
        <w:t xml:space="preserve">, we note the experience in Canada, where </w:t>
      </w:r>
      <w:r w:rsidR="00515744">
        <w:rPr>
          <w:rFonts w:cstheme="minorHAnsi"/>
        </w:rPr>
        <w:t xml:space="preserve">a </w:t>
      </w:r>
      <w:r w:rsidRPr="00935642">
        <w:rPr>
          <w:rFonts w:cstheme="minorHAnsi"/>
        </w:rPr>
        <w:t xml:space="preserve">multinational e-commerce payments processor </w:t>
      </w:r>
      <w:r>
        <w:rPr>
          <w:rFonts w:cstheme="minorHAnsi"/>
        </w:rPr>
        <w:t>declined to pass on savings despite the clearly stated expectations of the federal government.</w:t>
      </w:r>
      <w:r>
        <w:rPr>
          <w:rStyle w:val="FootnoteReference"/>
          <w:rFonts w:cstheme="minorHAnsi"/>
        </w:rPr>
        <w:footnoteReference w:id="35"/>
      </w:r>
    </w:p>
    <w:p w14:paraId="62E90BE7" w14:textId="77777777" w:rsidR="00DF58B4" w:rsidRDefault="00DF58B4" w:rsidP="00B2199B">
      <w:pPr>
        <w:rPr>
          <w:rFonts w:cstheme="minorHAnsi"/>
          <w:b/>
          <w:bCs/>
          <w:sz w:val="21"/>
          <w:szCs w:val="21"/>
        </w:rPr>
      </w:pPr>
    </w:p>
    <w:p w14:paraId="3726C1D3" w14:textId="56FC04CF" w:rsidR="00895D3A" w:rsidRPr="0052336F" w:rsidRDefault="00CE1133" w:rsidP="0052336F">
      <w:pPr>
        <w:pStyle w:val="Header1"/>
      </w:pPr>
      <w:r>
        <w:t>ALTERNATIVE PROPOSAL</w:t>
      </w:r>
    </w:p>
    <w:p w14:paraId="678CC766" w14:textId="04E249DC" w:rsidR="00817C42" w:rsidRDefault="00C85455" w:rsidP="003A4BB4">
      <w:pPr>
        <w:rPr>
          <w:rFonts w:cstheme="minorHAnsi"/>
          <w:sz w:val="21"/>
          <w:szCs w:val="21"/>
        </w:rPr>
      </w:pPr>
      <w:r>
        <w:rPr>
          <w:rFonts w:cstheme="minorHAnsi"/>
          <w:sz w:val="21"/>
          <w:szCs w:val="21"/>
        </w:rPr>
        <w:lastRenderedPageBreak/>
        <w:t xml:space="preserve">As we have described, we </w:t>
      </w:r>
      <w:r w:rsidR="003A4BB4">
        <w:rPr>
          <w:rFonts w:cstheme="minorHAnsi"/>
          <w:sz w:val="21"/>
          <w:szCs w:val="21"/>
        </w:rPr>
        <w:t xml:space="preserve">agree that debit and credit surcharging should be eliminated. </w:t>
      </w:r>
      <w:r w:rsidR="0098559B">
        <w:rPr>
          <w:rFonts w:cstheme="minorHAnsi"/>
          <w:sz w:val="21"/>
          <w:szCs w:val="21"/>
        </w:rPr>
        <w:t xml:space="preserve">However, we do not agree with the proposed changes to interchange. </w:t>
      </w:r>
      <w:r w:rsidR="00817C42">
        <w:rPr>
          <w:rFonts w:cstheme="minorHAnsi"/>
          <w:sz w:val="21"/>
          <w:szCs w:val="21"/>
        </w:rPr>
        <w:t xml:space="preserve">As </w:t>
      </w:r>
      <w:r w:rsidR="009674E3">
        <w:rPr>
          <w:rFonts w:cstheme="minorHAnsi"/>
          <w:sz w:val="21"/>
          <w:szCs w:val="21"/>
        </w:rPr>
        <w:t xml:space="preserve">outlined </w:t>
      </w:r>
      <w:r w:rsidR="00817C42">
        <w:rPr>
          <w:rFonts w:cstheme="minorHAnsi"/>
          <w:sz w:val="21"/>
          <w:szCs w:val="21"/>
        </w:rPr>
        <w:t>earlier in this paper, we</w:t>
      </w:r>
      <w:r w:rsidR="0098559B">
        <w:rPr>
          <w:rFonts w:cstheme="minorHAnsi"/>
          <w:sz w:val="21"/>
          <w:szCs w:val="21"/>
        </w:rPr>
        <w:t xml:space="preserve"> believe </w:t>
      </w:r>
      <w:r w:rsidR="00817C42">
        <w:rPr>
          <w:rFonts w:cstheme="minorHAnsi"/>
          <w:sz w:val="21"/>
          <w:szCs w:val="21"/>
        </w:rPr>
        <w:t>these changes would make Australia a</w:t>
      </w:r>
      <w:r w:rsidR="0016577B">
        <w:rPr>
          <w:rFonts w:cstheme="minorHAnsi"/>
          <w:sz w:val="21"/>
          <w:szCs w:val="21"/>
        </w:rPr>
        <w:t xml:space="preserve"> </w:t>
      </w:r>
      <w:r w:rsidR="00817C42">
        <w:rPr>
          <w:rFonts w:cstheme="minorHAnsi"/>
          <w:sz w:val="21"/>
          <w:szCs w:val="21"/>
        </w:rPr>
        <w:t xml:space="preserve">global outlier, </w:t>
      </w:r>
      <w:r w:rsidR="00B400E9">
        <w:rPr>
          <w:rFonts w:cstheme="minorHAnsi"/>
          <w:sz w:val="21"/>
          <w:szCs w:val="21"/>
        </w:rPr>
        <w:t xml:space="preserve">do not include </w:t>
      </w:r>
      <w:r w:rsidR="003132F2">
        <w:rPr>
          <w:rFonts w:cstheme="minorHAnsi"/>
          <w:sz w:val="21"/>
          <w:szCs w:val="21"/>
        </w:rPr>
        <w:t>material</w:t>
      </w:r>
      <w:r w:rsidR="00B400E9">
        <w:rPr>
          <w:rFonts w:cstheme="minorHAnsi"/>
          <w:sz w:val="21"/>
          <w:szCs w:val="21"/>
        </w:rPr>
        <w:t xml:space="preserve"> relevant costs, </w:t>
      </w:r>
      <w:r w:rsidR="006D331B">
        <w:rPr>
          <w:rFonts w:cstheme="minorHAnsi"/>
          <w:sz w:val="21"/>
          <w:szCs w:val="21"/>
        </w:rPr>
        <w:t xml:space="preserve">and </w:t>
      </w:r>
      <w:r w:rsidR="000051F7">
        <w:rPr>
          <w:rFonts w:cstheme="minorHAnsi"/>
          <w:sz w:val="21"/>
          <w:szCs w:val="21"/>
        </w:rPr>
        <w:t xml:space="preserve">will not </w:t>
      </w:r>
      <w:r w:rsidR="00241A6A">
        <w:rPr>
          <w:rFonts w:cstheme="minorHAnsi"/>
          <w:sz w:val="21"/>
          <w:szCs w:val="21"/>
        </w:rPr>
        <w:t xml:space="preserve">deliver the </w:t>
      </w:r>
      <w:r w:rsidR="000051F7">
        <w:rPr>
          <w:rFonts w:cstheme="minorHAnsi"/>
          <w:sz w:val="21"/>
          <w:szCs w:val="21"/>
        </w:rPr>
        <w:t xml:space="preserve">assumed </w:t>
      </w:r>
      <w:r w:rsidR="003132F2">
        <w:rPr>
          <w:rFonts w:cstheme="minorHAnsi"/>
          <w:sz w:val="21"/>
          <w:szCs w:val="21"/>
        </w:rPr>
        <w:t xml:space="preserve">benefits for Australian consumers or </w:t>
      </w:r>
      <w:r w:rsidR="004B7553">
        <w:rPr>
          <w:rFonts w:cstheme="minorHAnsi"/>
          <w:sz w:val="21"/>
          <w:szCs w:val="21"/>
        </w:rPr>
        <w:t xml:space="preserve">businesses. </w:t>
      </w:r>
    </w:p>
    <w:p w14:paraId="243C4FE6" w14:textId="2761DDC8" w:rsidR="00227B6A" w:rsidRDefault="00817C42" w:rsidP="003A4BB4">
      <w:pPr>
        <w:rPr>
          <w:rFonts w:cstheme="minorHAnsi"/>
          <w:sz w:val="21"/>
          <w:szCs w:val="21"/>
        </w:rPr>
      </w:pPr>
      <w:r>
        <w:rPr>
          <w:rFonts w:cstheme="minorHAnsi"/>
          <w:sz w:val="21"/>
          <w:szCs w:val="21"/>
        </w:rPr>
        <w:t>The</w:t>
      </w:r>
      <w:r w:rsidR="0098559B">
        <w:rPr>
          <w:rFonts w:cstheme="minorHAnsi"/>
          <w:sz w:val="21"/>
          <w:szCs w:val="21"/>
        </w:rPr>
        <w:t xml:space="preserve"> </w:t>
      </w:r>
      <w:r w:rsidR="00084F2B">
        <w:rPr>
          <w:rFonts w:cstheme="minorHAnsi"/>
          <w:sz w:val="21"/>
          <w:szCs w:val="21"/>
        </w:rPr>
        <w:t>C</w:t>
      </w:r>
      <w:r w:rsidR="00081C69">
        <w:rPr>
          <w:rFonts w:cstheme="minorHAnsi"/>
          <w:sz w:val="21"/>
          <w:szCs w:val="21"/>
        </w:rPr>
        <w:t>ommonwealth Bank</w:t>
      </w:r>
      <w:r w:rsidR="00084F2B">
        <w:rPr>
          <w:rFonts w:cstheme="minorHAnsi"/>
          <w:sz w:val="21"/>
          <w:szCs w:val="21"/>
        </w:rPr>
        <w:t xml:space="preserve"> has developed an alternative package of </w:t>
      </w:r>
      <w:r w:rsidR="007C644C">
        <w:rPr>
          <w:rFonts w:cstheme="minorHAnsi"/>
          <w:sz w:val="21"/>
          <w:szCs w:val="21"/>
        </w:rPr>
        <w:t>proposals</w:t>
      </w:r>
      <w:r w:rsidR="009427C1">
        <w:rPr>
          <w:rFonts w:cstheme="minorHAnsi"/>
          <w:sz w:val="21"/>
          <w:szCs w:val="21"/>
        </w:rPr>
        <w:t xml:space="preserve"> in response to the PSB’s request </w:t>
      </w:r>
      <w:r w:rsidR="00AD1D93">
        <w:rPr>
          <w:rFonts w:cstheme="minorHAnsi"/>
          <w:sz w:val="21"/>
          <w:szCs w:val="21"/>
        </w:rPr>
        <w:t xml:space="preserve">for variations </w:t>
      </w:r>
      <w:r w:rsidR="0089456B">
        <w:rPr>
          <w:rFonts w:cstheme="minorHAnsi"/>
          <w:sz w:val="21"/>
          <w:szCs w:val="21"/>
        </w:rPr>
        <w:t xml:space="preserve">of the preferred package </w:t>
      </w:r>
      <w:r w:rsidR="00AD1D93">
        <w:rPr>
          <w:rFonts w:cstheme="minorHAnsi"/>
          <w:sz w:val="21"/>
          <w:szCs w:val="21"/>
        </w:rPr>
        <w:t>that would yield higher net public benefits</w:t>
      </w:r>
      <w:r w:rsidR="00081C69">
        <w:rPr>
          <w:rFonts w:cstheme="minorHAnsi"/>
          <w:sz w:val="21"/>
          <w:szCs w:val="21"/>
        </w:rPr>
        <w:t xml:space="preserve">. </w:t>
      </w:r>
    </w:p>
    <w:p w14:paraId="7C7A34A3" w14:textId="08223AF4" w:rsidR="003A4BB4" w:rsidRDefault="003A4BB4" w:rsidP="003A4BB4">
      <w:pPr>
        <w:rPr>
          <w:rFonts w:cstheme="minorHAnsi"/>
          <w:sz w:val="21"/>
          <w:szCs w:val="21"/>
        </w:rPr>
      </w:pPr>
      <w:r>
        <w:rPr>
          <w:rFonts w:cstheme="minorHAnsi"/>
          <w:sz w:val="21"/>
          <w:szCs w:val="21"/>
        </w:rPr>
        <w:t>We have applied the following principles in its design</w:t>
      </w:r>
      <w:r w:rsidR="00941895">
        <w:rPr>
          <w:rFonts w:cstheme="minorHAnsi"/>
          <w:sz w:val="21"/>
          <w:szCs w:val="21"/>
        </w:rPr>
        <w:t xml:space="preserve"> after consultation with </w:t>
      </w:r>
      <w:r w:rsidR="007C4395">
        <w:rPr>
          <w:rFonts w:cstheme="minorHAnsi"/>
          <w:sz w:val="21"/>
          <w:szCs w:val="21"/>
        </w:rPr>
        <w:t>key</w:t>
      </w:r>
      <w:r w:rsidR="00941895">
        <w:rPr>
          <w:rFonts w:cstheme="minorHAnsi"/>
          <w:sz w:val="21"/>
          <w:szCs w:val="21"/>
        </w:rPr>
        <w:t xml:space="preserve"> stakeholders</w:t>
      </w:r>
      <w:r>
        <w:rPr>
          <w:rFonts w:cstheme="minorHAnsi"/>
          <w:sz w:val="21"/>
          <w:szCs w:val="21"/>
        </w:rPr>
        <w:t>:</w:t>
      </w:r>
    </w:p>
    <w:p w14:paraId="77424A25" w14:textId="44770DAA" w:rsidR="003A4BB4" w:rsidRDefault="00FB3ACF" w:rsidP="003A4BB4">
      <w:pPr>
        <w:pStyle w:val="ListParagraph"/>
        <w:numPr>
          <w:ilvl w:val="0"/>
          <w:numId w:val="26"/>
        </w:numPr>
        <w:spacing w:after="160"/>
        <w:contextualSpacing w:val="0"/>
        <w:rPr>
          <w:rFonts w:cstheme="minorHAnsi"/>
          <w:sz w:val="21"/>
          <w:szCs w:val="21"/>
        </w:rPr>
      </w:pPr>
      <w:r>
        <w:rPr>
          <w:rFonts w:cstheme="minorHAnsi"/>
          <w:sz w:val="21"/>
          <w:szCs w:val="21"/>
        </w:rPr>
        <w:t xml:space="preserve">Maintain </w:t>
      </w:r>
      <w:r w:rsidR="003A4BB4">
        <w:rPr>
          <w:rFonts w:cstheme="minorHAnsi"/>
          <w:sz w:val="21"/>
          <w:szCs w:val="21"/>
        </w:rPr>
        <w:t xml:space="preserve">interchange cost outcomes </w:t>
      </w:r>
      <w:r>
        <w:rPr>
          <w:rFonts w:cstheme="minorHAnsi"/>
          <w:sz w:val="21"/>
          <w:szCs w:val="21"/>
        </w:rPr>
        <w:t>among</w:t>
      </w:r>
      <w:r w:rsidR="003A4BB4">
        <w:rPr>
          <w:rFonts w:cstheme="minorHAnsi"/>
          <w:sz w:val="21"/>
          <w:szCs w:val="21"/>
        </w:rPr>
        <w:t xml:space="preserve"> the lowest markets globally, namely the EU and UK</w:t>
      </w:r>
      <w:r w:rsidR="004E7B50">
        <w:rPr>
          <w:rFonts w:cstheme="minorHAnsi"/>
          <w:sz w:val="21"/>
          <w:szCs w:val="21"/>
        </w:rPr>
        <w:t>,</w:t>
      </w:r>
    </w:p>
    <w:p w14:paraId="4523743D" w14:textId="48598802" w:rsidR="003A4BB4" w:rsidRDefault="003A4BB4" w:rsidP="003A4BB4">
      <w:pPr>
        <w:pStyle w:val="ListParagraph"/>
        <w:numPr>
          <w:ilvl w:val="0"/>
          <w:numId w:val="26"/>
        </w:numPr>
        <w:spacing w:after="160"/>
        <w:contextualSpacing w:val="0"/>
        <w:rPr>
          <w:rFonts w:cstheme="minorHAnsi"/>
          <w:sz w:val="21"/>
          <w:szCs w:val="21"/>
        </w:rPr>
      </w:pPr>
      <w:r>
        <w:rPr>
          <w:rFonts w:cstheme="minorHAnsi"/>
          <w:sz w:val="21"/>
          <w:szCs w:val="21"/>
        </w:rPr>
        <w:t>Deliver relief to small businesses</w:t>
      </w:r>
      <w:r w:rsidR="004E7B50">
        <w:rPr>
          <w:rFonts w:cstheme="minorHAnsi"/>
          <w:sz w:val="21"/>
          <w:szCs w:val="21"/>
        </w:rPr>
        <w:t>, and</w:t>
      </w:r>
    </w:p>
    <w:p w14:paraId="7C2F194E" w14:textId="4BA74615" w:rsidR="003A4BB4" w:rsidRDefault="003A4BB4" w:rsidP="003A4BB4">
      <w:pPr>
        <w:pStyle w:val="ListParagraph"/>
        <w:numPr>
          <w:ilvl w:val="0"/>
          <w:numId w:val="26"/>
        </w:numPr>
        <w:spacing w:after="160"/>
        <w:contextualSpacing w:val="0"/>
        <w:rPr>
          <w:rFonts w:cstheme="minorHAnsi"/>
          <w:sz w:val="21"/>
          <w:szCs w:val="21"/>
        </w:rPr>
      </w:pPr>
      <w:r>
        <w:rPr>
          <w:rFonts w:cstheme="minorHAnsi"/>
          <w:sz w:val="21"/>
          <w:szCs w:val="21"/>
        </w:rPr>
        <w:t>Better distribute the economic impacts of market intervention across the value chain</w:t>
      </w:r>
      <w:r w:rsidR="004E7B50">
        <w:rPr>
          <w:rFonts w:cstheme="minorHAnsi"/>
          <w:sz w:val="21"/>
          <w:szCs w:val="21"/>
        </w:rPr>
        <w:t>.</w:t>
      </w:r>
    </w:p>
    <w:p w14:paraId="35EABAAD" w14:textId="0A8C45AA" w:rsidR="003A4BB4" w:rsidRDefault="003A4BB4" w:rsidP="003A4BB4">
      <w:pPr>
        <w:rPr>
          <w:rFonts w:cstheme="minorHAnsi"/>
          <w:sz w:val="21"/>
          <w:szCs w:val="21"/>
        </w:rPr>
      </w:pPr>
      <w:r>
        <w:rPr>
          <w:rFonts w:cstheme="minorHAnsi"/>
          <w:sz w:val="21"/>
          <w:szCs w:val="21"/>
        </w:rPr>
        <w:t xml:space="preserve">We have sought to find </w:t>
      </w:r>
      <w:r w:rsidR="00DF5363">
        <w:rPr>
          <w:rFonts w:cstheme="minorHAnsi"/>
          <w:sz w:val="21"/>
          <w:szCs w:val="21"/>
        </w:rPr>
        <w:t xml:space="preserve">more targeted </w:t>
      </w:r>
      <w:r>
        <w:rPr>
          <w:rFonts w:cstheme="minorHAnsi"/>
          <w:sz w:val="21"/>
          <w:szCs w:val="21"/>
        </w:rPr>
        <w:t>measures t</w:t>
      </w:r>
      <w:r w:rsidR="00286B74">
        <w:rPr>
          <w:rFonts w:cstheme="minorHAnsi"/>
          <w:sz w:val="21"/>
          <w:szCs w:val="21"/>
        </w:rPr>
        <w:t>o achieve</w:t>
      </w:r>
      <w:r>
        <w:rPr>
          <w:rFonts w:cstheme="minorHAnsi"/>
          <w:sz w:val="21"/>
          <w:szCs w:val="21"/>
        </w:rPr>
        <w:t xml:space="preserve"> the </w:t>
      </w:r>
      <w:r w:rsidR="00286B74">
        <w:rPr>
          <w:rFonts w:cstheme="minorHAnsi"/>
          <w:sz w:val="21"/>
          <w:szCs w:val="21"/>
        </w:rPr>
        <w:t>RBA’s objectives</w:t>
      </w:r>
      <w:r w:rsidR="0064152A">
        <w:rPr>
          <w:rFonts w:cstheme="minorHAnsi"/>
          <w:sz w:val="21"/>
          <w:szCs w:val="21"/>
        </w:rPr>
        <w:t xml:space="preserve"> </w:t>
      </w:r>
      <w:r w:rsidR="00B05927">
        <w:rPr>
          <w:rFonts w:cstheme="minorHAnsi"/>
          <w:sz w:val="21"/>
          <w:szCs w:val="21"/>
        </w:rPr>
        <w:t>because of the uncertainty of</w:t>
      </w:r>
      <w:r>
        <w:rPr>
          <w:rFonts w:cstheme="minorHAnsi"/>
          <w:sz w:val="21"/>
          <w:szCs w:val="21"/>
        </w:rPr>
        <w:t xml:space="preserve"> interchange </w:t>
      </w:r>
      <w:r w:rsidRPr="00176E20">
        <w:rPr>
          <w:rFonts w:cstheme="minorHAnsi"/>
          <w:sz w:val="21"/>
          <w:szCs w:val="21"/>
        </w:rPr>
        <w:t xml:space="preserve">reductions </w:t>
      </w:r>
      <w:r w:rsidR="00127AEF">
        <w:rPr>
          <w:rFonts w:cstheme="minorHAnsi"/>
          <w:sz w:val="21"/>
          <w:szCs w:val="21"/>
        </w:rPr>
        <w:t xml:space="preserve">indirectly </w:t>
      </w:r>
      <w:r w:rsidRPr="00176E20">
        <w:rPr>
          <w:rFonts w:cstheme="minorHAnsi"/>
          <w:sz w:val="21"/>
          <w:szCs w:val="21"/>
        </w:rPr>
        <w:t xml:space="preserve">‘trickling down’ to merchants. </w:t>
      </w:r>
    </w:p>
    <w:p w14:paraId="090843B6" w14:textId="4CF0BAB6" w:rsidR="003A4BB4" w:rsidRPr="00E1487B" w:rsidRDefault="004D670C" w:rsidP="003A4BB4">
      <w:pPr>
        <w:rPr>
          <w:rFonts w:ascii="CBA Beacon Sans" w:hAnsi="CBA Beacon Sans"/>
          <w:sz w:val="21"/>
        </w:rPr>
      </w:pPr>
      <w:r w:rsidRPr="00E1487B">
        <w:rPr>
          <w:rFonts w:ascii="CBA Beacon Sans" w:hAnsi="CBA Beacon Sans"/>
          <w:sz w:val="21"/>
        </w:rPr>
        <w:t xml:space="preserve">The proposal consists of </w:t>
      </w:r>
      <w:r w:rsidR="00E72000">
        <w:rPr>
          <w:rFonts w:ascii="CBA Beacon Sans" w:hAnsi="CBA Beacon Sans"/>
          <w:sz w:val="21"/>
        </w:rPr>
        <w:t>four</w:t>
      </w:r>
      <w:r w:rsidRPr="00E1487B">
        <w:rPr>
          <w:rFonts w:ascii="CBA Beacon Sans" w:hAnsi="CBA Beacon Sans"/>
          <w:sz w:val="21"/>
        </w:rPr>
        <w:t xml:space="preserve"> components that are intended</w:t>
      </w:r>
      <w:r>
        <w:rPr>
          <w:rFonts w:ascii="CBA Beacon Sans" w:hAnsi="CBA Beacon Sans"/>
          <w:sz w:val="21"/>
        </w:rPr>
        <w:t xml:space="preserve"> </w:t>
      </w:r>
      <w:r w:rsidR="00433E64">
        <w:rPr>
          <w:rFonts w:ascii="CBA Beacon Sans" w:hAnsi="CBA Beacon Sans"/>
          <w:sz w:val="21"/>
        </w:rPr>
        <w:t>to be considered</w:t>
      </w:r>
      <w:r w:rsidRPr="00E1487B">
        <w:rPr>
          <w:rFonts w:ascii="CBA Beacon Sans" w:hAnsi="CBA Beacon Sans"/>
          <w:sz w:val="21"/>
        </w:rPr>
        <w:t xml:space="preserve"> collectively</w:t>
      </w:r>
      <w:r w:rsidR="00F37694">
        <w:rPr>
          <w:rFonts w:ascii="CBA Beacon Sans" w:hAnsi="CBA Beacon Sans"/>
          <w:sz w:val="21"/>
        </w:rPr>
        <w:t xml:space="preserve"> and implemented together</w:t>
      </w:r>
      <w:r w:rsidRPr="00E1487B">
        <w:rPr>
          <w:rFonts w:ascii="CBA Beacon Sans" w:hAnsi="CBA Beacon Sans"/>
          <w:sz w:val="21"/>
        </w:rPr>
        <w:t>, and would require support from both the industry and the RBA</w:t>
      </w:r>
      <w:r w:rsidR="0083201C">
        <w:rPr>
          <w:rFonts w:ascii="CBA Beacon Sans" w:hAnsi="CBA Beacon Sans"/>
          <w:sz w:val="21"/>
        </w:rPr>
        <w:t>:</w:t>
      </w:r>
    </w:p>
    <w:p w14:paraId="1D1A4DD3" w14:textId="1F92A733" w:rsidR="003A4BB4" w:rsidRPr="001515FE" w:rsidRDefault="003A4BB4" w:rsidP="003A4BB4">
      <w:pPr>
        <w:pStyle w:val="ListParagraph"/>
        <w:numPr>
          <w:ilvl w:val="0"/>
          <w:numId w:val="27"/>
        </w:numPr>
        <w:spacing w:after="160"/>
        <w:contextualSpacing w:val="0"/>
        <w:rPr>
          <w:rFonts w:cstheme="minorHAnsi"/>
          <w:b/>
          <w:bCs/>
          <w:sz w:val="21"/>
          <w:szCs w:val="21"/>
        </w:rPr>
      </w:pPr>
      <w:r w:rsidRPr="001515FE">
        <w:rPr>
          <w:rFonts w:cstheme="minorHAnsi"/>
          <w:b/>
          <w:bCs/>
          <w:sz w:val="21"/>
          <w:szCs w:val="21"/>
        </w:rPr>
        <w:t xml:space="preserve">A fairer deal for small business on card interchange </w:t>
      </w:r>
      <w:r w:rsidRPr="001515FE">
        <w:rPr>
          <w:rFonts w:cstheme="minorHAnsi"/>
          <w:sz w:val="21"/>
          <w:szCs w:val="21"/>
        </w:rPr>
        <w:t>by limiting the discount available to big business to 30%</w:t>
      </w:r>
      <w:r w:rsidR="008F1FFE">
        <w:rPr>
          <w:rFonts w:cstheme="minorHAnsi"/>
          <w:sz w:val="21"/>
          <w:szCs w:val="21"/>
        </w:rPr>
        <w:t xml:space="preserve"> of the underlying transaction rate</w:t>
      </w:r>
      <w:r w:rsidRPr="001515FE">
        <w:rPr>
          <w:rFonts w:cstheme="minorHAnsi"/>
          <w:sz w:val="21"/>
          <w:szCs w:val="21"/>
        </w:rPr>
        <w:t xml:space="preserve"> rather than the 60%+ they enjoy today, so that small businesses don’t pay more than their fair share of interchange.</w:t>
      </w:r>
    </w:p>
    <w:p w14:paraId="15284DAE" w14:textId="23C9C3C8" w:rsidR="003A4BB4" w:rsidRPr="001515FE" w:rsidRDefault="00DB5A7A" w:rsidP="003A4BB4">
      <w:pPr>
        <w:pStyle w:val="ListParagraph"/>
        <w:numPr>
          <w:ilvl w:val="0"/>
          <w:numId w:val="27"/>
        </w:numPr>
        <w:spacing w:after="160"/>
        <w:contextualSpacing w:val="0"/>
        <w:rPr>
          <w:rFonts w:cstheme="minorHAnsi"/>
          <w:sz w:val="21"/>
          <w:szCs w:val="21"/>
        </w:rPr>
      </w:pPr>
      <w:r>
        <w:rPr>
          <w:rFonts w:cstheme="minorHAnsi"/>
          <w:b/>
          <w:bCs/>
          <w:sz w:val="21"/>
          <w:szCs w:val="21"/>
        </w:rPr>
        <w:t>Give small businesses a step up</w:t>
      </w:r>
      <w:r w:rsidR="003A4BB4" w:rsidRPr="00295893">
        <w:rPr>
          <w:rFonts w:cstheme="minorHAnsi"/>
          <w:b/>
          <w:bCs/>
          <w:sz w:val="21"/>
          <w:szCs w:val="21"/>
        </w:rPr>
        <w:t xml:space="preserve"> </w:t>
      </w:r>
      <w:r w:rsidR="003A4BB4" w:rsidRPr="001515FE" w:rsidDel="00146ED1">
        <w:rPr>
          <w:rFonts w:cstheme="minorHAnsi"/>
          <w:sz w:val="21"/>
          <w:szCs w:val="21"/>
        </w:rPr>
        <w:t xml:space="preserve">with </w:t>
      </w:r>
      <w:r w:rsidR="00FD66DB">
        <w:rPr>
          <w:rFonts w:cstheme="minorHAnsi"/>
          <w:sz w:val="21"/>
          <w:szCs w:val="21"/>
        </w:rPr>
        <w:t>a simple plan that</w:t>
      </w:r>
      <w:r w:rsidR="00146ED1">
        <w:rPr>
          <w:rFonts w:cstheme="minorHAnsi"/>
          <w:sz w:val="21"/>
          <w:szCs w:val="21"/>
        </w:rPr>
        <w:t xml:space="preserve"> </w:t>
      </w:r>
      <w:r w:rsidR="004B6E3C">
        <w:rPr>
          <w:rFonts w:cstheme="minorHAnsi"/>
          <w:sz w:val="21"/>
          <w:szCs w:val="21"/>
        </w:rPr>
        <w:t>include</w:t>
      </w:r>
      <w:r w:rsidR="00FD66DB">
        <w:rPr>
          <w:rFonts w:cstheme="minorHAnsi"/>
          <w:sz w:val="21"/>
          <w:szCs w:val="21"/>
        </w:rPr>
        <w:t>s</w:t>
      </w:r>
      <w:r w:rsidR="004B6E3C">
        <w:rPr>
          <w:rFonts w:cstheme="minorHAnsi"/>
          <w:sz w:val="21"/>
          <w:szCs w:val="21"/>
        </w:rPr>
        <w:t xml:space="preserve"> </w:t>
      </w:r>
      <w:r w:rsidR="00146ED1">
        <w:rPr>
          <w:rFonts w:cstheme="minorHAnsi"/>
          <w:sz w:val="21"/>
          <w:szCs w:val="21"/>
        </w:rPr>
        <w:t>POS software solution</w:t>
      </w:r>
      <w:r w:rsidR="00EB3356">
        <w:rPr>
          <w:rFonts w:cstheme="minorHAnsi"/>
          <w:sz w:val="21"/>
          <w:szCs w:val="21"/>
        </w:rPr>
        <w:t>,</w:t>
      </w:r>
      <w:r w:rsidR="00B722EB">
        <w:rPr>
          <w:rFonts w:cstheme="minorHAnsi"/>
          <w:sz w:val="21"/>
          <w:szCs w:val="21"/>
        </w:rPr>
        <w:t xml:space="preserve"> for </w:t>
      </w:r>
      <w:r w:rsidR="00713CAD">
        <w:rPr>
          <w:rFonts w:cstheme="minorHAnsi"/>
          <w:sz w:val="21"/>
          <w:szCs w:val="21"/>
        </w:rPr>
        <w:t>four party scheme</w:t>
      </w:r>
      <w:r w:rsidR="00962B02">
        <w:rPr>
          <w:rFonts w:cstheme="minorHAnsi"/>
          <w:sz w:val="21"/>
          <w:szCs w:val="21"/>
        </w:rPr>
        <w:t xml:space="preserve"> debit and credit</w:t>
      </w:r>
      <w:r w:rsidR="00713CAD">
        <w:rPr>
          <w:rFonts w:cstheme="minorHAnsi"/>
          <w:sz w:val="21"/>
          <w:szCs w:val="21"/>
        </w:rPr>
        <w:t xml:space="preserve"> </w:t>
      </w:r>
      <w:r w:rsidR="002F78C4">
        <w:rPr>
          <w:rFonts w:cstheme="minorHAnsi"/>
          <w:sz w:val="21"/>
          <w:szCs w:val="21"/>
        </w:rPr>
        <w:t>in store (</w:t>
      </w:r>
      <w:r w:rsidR="00B722EB">
        <w:rPr>
          <w:rFonts w:cstheme="minorHAnsi"/>
          <w:sz w:val="21"/>
          <w:szCs w:val="21"/>
        </w:rPr>
        <w:t>card present</w:t>
      </w:r>
      <w:r w:rsidR="002F78C4">
        <w:rPr>
          <w:rFonts w:cstheme="minorHAnsi"/>
          <w:sz w:val="21"/>
          <w:szCs w:val="21"/>
        </w:rPr>
        <w:t>)</w:t>
      </w:r>
      <w:r w:rsidR="00B722EB">
        <w:rPr>
          <w:rFonts w:cstheme="minorHAnsi"/>
          <w:sz w:val="21"/>
          <w:szCs w:val="21"/>
        </w:rPr>
        <w:t xml:space="preserve"> </w:t>
      </w:r>
      <w:r w:rsidR="00C235C2">
        <w:rPr>
          <w:rFonts w:cstheme="minorHAnsi"/>
          <w:sz w:val="21"/>
          <w:szCs w:val="21"/>
        </w:rPr>
        <w:t>payments</w:t>
      </w:r>
      <w:r w:rsidR="000031FC">
        <w:rPr>
          <w:rFonts w:cstheme="minorHAnsi"/>
          <w:sz w:val="21"/>
          <w:szCs w:val="21"/>
        </w:rPr>
        <w:t xml:space="preserve"> that make up </w:t>
      </w:r>
      <w:proofErr w:type="gramStart"/>
      <w:r w:rsidR="000031FC">
        <w:rPr>
          <w:rFonts w:cstheme="minorHAnsi"/>
          <w:sz w:val="21"/>
          <w:szCs w:val="21"/>
        </w:rPr>
        <w:t>the majority of</w:t>
      </w:r>
      <w:proofErr w:type="gramEnd"/>
      <w:r w:rsidR="000031FC">
        <w:rPr>
          <w:rFonts w:cstheme="minorHAnsi"/>
          <w:sz w:val="21"/>
          <w:szCs w:val="21"/>
        </w:rPr>
        <w:t xml:space="preserve"> small business</w:t>
      </w:r>
      <w:r w:rsidR="007F5D74">
        <w:rPr>
          <w:rFonts w:cstheme="minorHAnsi"/>
          <w:sz w:val="21"/>
          <w:szCs w:val="21"/>
        </w:rPr>
        <w:t xml:space="preserve"> transaction</w:t>
      </w:r>
      <w:r w:rsidR="00F16C35">
        <w:rPr>
          <w:rFonts w:cstheme="minorHAnsi"/>
          <w:sz w:val="21"/>
          <w:szCs w:val="21"/>
        </w:rPr>
        <w:t>s</w:t>
      </w:r>
      <w:r w:rsidR="003A4BB4">
        <w:rPr>
          <w:rFonts w:cstheme="minorHAnsi"/>
          <w:sz w:val="21"/>
          <w:szCs w:val="21"/>
        </w:rPr>
        <w:t xml:space="preserve">. </w:t>
      </w:r>
    </w:p>
    <w:p w14:paraId="4638BE43" w14:textId="5E91BD13" w:rsidR="003A4BB4" w:rsidRPr="001515FE" w:rsidRDefault="003A4BB4" w:rsidP="003A4BB4">
      <w:pPr>
        <w:pStyle w:val="ListParagraph"/>
        <w:numPr>
          <w:ilvl w:val="0"/>
          <w:numId w:val="27"/>
        </w:numPr>
        <w:spacing w:after="160"/>
        <w:contextualSpacing w:val="0"/>
        <w:rPr>
          <w:rFonts w:cstheme="minorHAnsi"/>
          <w:b/>
          <w:bCs/>
          <w:sz w:val="21"/>
          <w:szCs w:val="21"/>
        </w:rPr>
      </w:pPr>
      <w:r w:rsidRPr="001515FE">
        <w:rPr>
          <w:rFonts w:cstheme="minorHAnsi"/>
          <w:b/>
          <w:bCs/>
          <w:sz w:val="21"/>
          <w:szCs w:val="21"/>
        </w:rPr>
        <w:t xml:space="preserve">Give businesses </w:t>
      </w:r>
      <w:r w:rsidR="008B79F7">
        <w:rPr>
          <w:rFonts w:cstheme="minorHAnsi"/>
          <w:b/>
          <w:bCs/>
          <w:sz w:val="21"/>
          <w:szCs w:val="21"/>
        </w:rPr>
        <w:t>greater</w:t>
      </w:r>
      <w:r w:rsidRPr="001515FE">
        <w:rPr>
          <w:rFonts w:cstheme="minorHAnsi"/>
          <w:b/>
          <w:bCs/>
          <w:sz w:val="21"/>
          <w:szCs w:val="21"/>
        </w:rPr>
        <w:t xml:space="preserve"> transparency and a marketplace to find a better deal </w:t>
      </w:r>
      <w:r w:rsidRPr="001515FE">
        <w:rPr>
          <w:rFonts w:cstheme="minorHAnsi"/>
          <w:sz w:val="21"/>
          <w:szCs w:val="21"/>
        </w:rPr>
        <w:t>with their provider or another</w:t>
      </w:r>
      <w:r w:rsidR="002369B7">
        <w:rPr>
          <w:rFonts w:cstheme="minorHAnsi"/>
          <w:sz w:val="21"/>
          <w:szCs w:val="21"/>
        </w:rPr>
        <w:t xml:space="preserve">. </w:t>
      </w:r>
      <w:r w:rsidR="00D2168C">
        <w:rPr>
          <w:rFonts w:cstheme="minorHAnsi"/>
          <w:sz w:val="21"/>
          <w:szCs w:val="21"/>
        </w:rPr>
        <w:t>To be successful, a marketplace would need to be</w:t>
      </w:r>
      <w:r w:rsidRPr="001515FE">
        <w:rPr>
          <w:rFonts w:cstheme="minorHAnsi"/>
          <w:sz w:val="21"/>
          <w:szCs w:val="21"/>
        </w:rPr>
        <w:t xml:space="preserve"> designed in close collaboration with small business and supported by the RBA’s powers. This </w:t>
      </w:r>
      <w:r w:rsidR="00F10CDB">
        <w:rPr>
          <w:rFonts w:cstheme="minorHAnsi"/>
          <w:sz w:val="21"/>
          <w:szCs w:val="21"/>
        </w:rPr>
        <w:t>initiative</w:t>
      </w:r>
      <w:r w:rsidRPr="001515FE">
        <w:rPr>
          <w:rFonts w:cstheme="minorHAnsi"/>
          <w:sz w:val="21"/>
          <w:szCs w:val="21"/>
        </w:rPr>
        <w:t xml:space="preserve"> </w:t>
      </w:r>
      <w:r>
        <w:rPr>
          <w:rFonts w:cstheme="minorHAnsi"/>
          <w:sz w:val="21"/>
          <w:szCs w:val="21"/>
        </w:rPr>
        <w:t xml:space="preserve">was </w:t>
      </w:r>
      <w:r w:rsidRPr="001515FE">
        <w:rPr>
          <w:rFonts w:cstheme="minorHAnsi"/>
          <w:sz w:val="21"/>
          <w:szCs w:val="21"/>
        </w:rPr>
        <w:t xml:space="preserve">suggested to CBA by COSBOA to address complexity and improve price discovery. </w:t>
      </w:r>
    </w:p>
    <w:p w14:paraId="0934BD33" w14:textId="79F772E2" w:rsidR="00570823" w:rsidRPr="00CD79BF" w:rsidRDefault="00714807" w:rsidP="003A4BB4">
      <w:pPr>
        <w:pStyle w:val="ListParagraph"/>
        <w:numPr>
          <w:ilvl w:val="0"/>
          <w:numId w:val="27"/>
        </w:numPr>
        <w:spacing w:after="160"/>
        <w:contextualSpacing w:val="0"/>
        <w:rPr>
          <w:rFonts w:cstheme="minorHAnsi"/>
          <w:b/>
          <w:bCs/>
          <w:sz w:val="21"/>
          <w:szCs w:val="21"/>
        </w:rPr>
      </w:pPr>
      <w:r w:rsidRPr="00CD79BF">
        <w:rPr>
          <w:rFonts w:cstheme="minorHAnsi"/>
          <w:b/>
          <w:bCs/>
          <w:sz w:val="21"/>
          <w:szCs w:val="21"/>
        </w:rPr>
        <w:t xml:space="preserve">Target </w:t>
      </w:r>
      <w:r w:rsidR="0040561C" w:rsidRPr="00CD79BF">
        <w:rPr>
          <w:rFonts w:cstheme="minorHAnsi"/>
          <w:b/>
          <w:bCs/>
          <w:sz w:val="21"/>
          <w:szCs w:val="21"/>
        </w:rPr>
        <w:t>fra</w:t>
      </w:r>
      <w:r w:rsidR="00B3753D" w:rsidRPr="00CD79BF">
        <w:rPr>
          <w:rFonts w:cstheme="minorHAnsi"/>
          <w:b/>
          <w:bCs/>
          <w:sz w:val="21"/>
          <w:szCs w:val="21"/>
        </w:rPr>
        <w:t>ud</w:t>
      </w:r>
      <w:r w:rsidR="00107F3A">
        <w:rPr>
          <w:rFonts w:cstheme="minorHAnsi"/>
          <w:b/>
          <w:bCs/>
          <w:sz w:val="21"/>
          <w:szCs w:val="21"/>
        </w:rPr>
        <w:t xml:space="preserve"> with </w:t>
      </w:r>
      <w:r w:rsidR="00D679B4">
        <w:rPr>
          <w:rFonts w:cstheme="minorHAnsi"/>
          <w:b/>
          <w:bCs/>
          <w:sz w:val="21"/>
          <w:szCs w:val="21"/>
        </w:rPr>
        <w:t xml:space="preserve">mandatory </w:t>
      </w:r>
      <w:r w:rsidR="00107F3A">
        <w:rPr>
          <w:rFonts w:cstheme="minorHAnsi"/>
          <w:b/>
          <w:bCs/>
          <w:sz w:val="21"/>
          <w:szCs w:val="21"/>
        </w:rPr>
        <w:t>strong customer authentication (SCA)</w:t>
      </w:r>
      <w:r w:rsidR="00BF1FDD">
        <w:rPr>
          <w:rFonts w:cstheme="minorHAnsi"/>
          <w:sz w:val="21"/>
          <w:szCs w:val="21"/>
        </w:rPr>
        <w:t xml:space="preserve"> </w:t>
      </w:r>
      <w:r w:rsidR="00D679B4">
        <w:rPr>
          <w:rFonts w:cstheme="minorHAnsi"/>
          <w:sz w:val="21"/>
          <w:szCs w:val="21"/>
        </w:rPr>
        <w:t>for all online card payments</w:t>
      </w:r>
      <w:r w:rsidR="00BF1FDD">
        <w:rPr>
          <w:rFonts w:cstheme="minorHAnsi"/>
          <w:sz w:val="21"/>
          <w:szCs w:val="21"/>
        </w:rPr>
        <w:t xml:space="preserve"> to bring down </w:t>
      </w:r>
      <w:r w:rsidR="00BC678F">
        <w:rPr>
          <w:rFonts w:cstheme="minorHAnsi"/>
          <w:sz w:val="21"/>
          <w:szCs w:val="21"/>
        </w:rPr>
        <w:t>payment system costs.</w:t>
      </w:r>
    </w:p>
    <w:p w14:paraId="2629DE2E" w14:textId="77777777" w:rsidR="002C3471" w:rsidRDefault="002C3471" w:rsidP="003A4BB4">
      <w:pPr>
        <w:rPr>
          <w:rFonts w:cstheme="minorHAnsi"/>
          <w:b/>
          <w:bCs/>
          <w:sz w:val="21"/>
          <w:szCs w:val="21"/>
        </w:rPr>
      </w:pPr>
    </w:p>
    <w:p w14:paraId="09E7F712" w14:textId="1BD59731" w:rsidR="003A4BB4" w:rsidRDefault="003A4BB4" w:rsidP="003A4BB4">
      <w:pPr>
        <w:rPr>
          <w:rFonts w:cstheme="minorHAnsi"/>
          <w:b/>
          <w:bCs/>
          <w:sz w:val="21"/>
          <w:szCs w:val="21"/>
        </w:rPr>
      </w:pPr>
      <w:r w:rsidRPr="004C0559">
        <w:rPr>
          <w:rFonts w:cstheme="minorHAnsi"/>
          <w:b/>
          <w:bCs/>
          <w:sz w:val="21"/>
          <w:szCs w:val="21"/>
        </w:rPr>
        <w:t>A fairer deal for small business on card interchange</w:t>
      </w:r>
    </w:p>
    <w:p w14:paraId="22FE2224" w14:textId="44676FB2" w:rsidR="003A4BB4" w:rsidRDefault="003A4BB4" w:rsidP="003A4BB4">
      <w:pPr>
        <w:rPr>
          <w:rFonts w:cstheme="minorHAnsi"/>
          <w:sz w:val="21"/>
          <w:szCs w:val="21"/>
        </w:rPr>
      </w:pPr>
      <w:r>
        <w:rPr>
          <w:rFonts w:cstheme="minorHAnsi"/>
          <w:sz w:val="21"/>
          <w:szCs w:val="21"/>
        </w:rPr>
        <w:t xml:space="preserve">Australia is unique in </w:t>
      </w:r>
      <w:r w:rsidR="00356746">
        <w:rPr>
          <w:rFonts w:cstheme="minorHAnsi"/>
          <w:sz w:val="21"/>
          <w:szCs w:val="21"/>
        </w:rPr>
        <w:t>the extent to which ‘</w:t>
      </w:r>
      <w:r>
        <w:rPr>
          <w:rFonts w:cstheme="minorHAnsi"/>
          <w:sz w:val="21"/>
          <w:szCs w:val="21"/>
        </w:rPr>
        <w:t>strategic interchange</w:t>
      </w:r>
      <w:r w:rsidR="00356746">
        <w:rPr>
          <w:rFonts w:cstheme="minorHAnsi"/>
          <w:sz w:val="21"/>
          <w:szCs w:val="21"/>
        </w:rPr>
        <w:t>’</w:t>
      </w:r>
      <w:r>
        <w:rPr>
          <w:rFonts w:cstheme="minorHAnsi"/>
          <w:sz w:val="21"/>
          <w:szCs w:val="21"/>
        </w:rPr>
        <w:t xml:space="preserve"> is applied at the discretion of the schemes. In most other markets, differing rates are developed by industry or category. </w:t>
      </w:r>
      <w:r w:rsidR="000B60CF">
        <w:rPr>
          <w:rFonts w:cstheme="minorHAnsi"/>
          <w:sz w:val="21"/>
          <w:szCs w:val="21"/>
        </w:rPr>
        <w:t xml:space="preserve">The </w:t>
      </w:r>
      <w:r>
        <w:rPr>
          <w:rFonts w:cstheme="minorHAnsi"/>
          <w:sz w:val="21"/>
          <w:szCs w:val="21"/>
        </w:rPr>
        <w:t xml:space="preserve">combination of highly skewed pricing and a </w:t>
      </w:r>
      <w:r w:rsidR="009B17F7">
        <w:rPr>
          <w:rFonts w:cstheme="minorHAnsi"/>
          <w:sz w:val="21"/>
          <w:szCs w:val="21"/>
        </w:rPr>
        <w:t>benchmark</w:t>
      </w:r>
      <w:r>
        <w:rPr>
          <w:rFonts w:cstheme="minorHAnsi"/>
          <w:sz w:val="21"/>
          <w:szCs w:val="21"/>
        </w:rPr>
        <w:t xml:space="preserve"> means that smaller businesses </w:t>
      </w:r>
      <w:r w:rsidR="006C3D67">
        <w:rPr>
          <w:rFonts w:cstheme="minorHAnsi"/>
          <w:sz w:val="21"/>
          <w:szCs w:val="21"/>
        </w:rPr>
        <w:t>attract higher interchange</w:t>
      </w:r>
      <w:r>
        <w:rPr>
          <w:rFonts w:cstheme="minorHAnsi"/>
          <w:sz w:val="21"/>
          <w:szCs w:val="21"/>
        </w:rPr>
        <w:t xml:space="preserve">. </w:t>
      </w:r>
    </w:p>
    <w:p w14:paraId="7AE4AEE6" w14:textId="03F23E8C" w:rsidR="005A1372" w:rsidRPr="004F1F6B" w:rsidRDefault="00320E2B" w:rsidP="005A1372">
      <w:pPr>
        <w:rPr>
          <w:rFonts w:cstheme="minorHAnsi"/>
          <w:sz w:val="21"/>
          <w:szCs w:val="21"/>
        </w:rPr>
      </w:pPr>
      <w:r>
        <w:rPr>
          <w:rFonts w:cstheme="minorHAnsi"/>
          <w:sz w:val="21"/>
          <w:szCs w:val="21"/>
        </w:rPr>
        <w:t xml:space="preserve">We </w:t>
      </w:r>
      <w:r w:rsidR="005A1372">
        <w:rPr>
          <w:rFonts w:cstheme="minorHAnsi"/>
          <w:sz w:val="21"/>
          <w:szCs w:val="21"/>
        </w:rPr>
        <w:t xml:space="preserve">believe </w:t>
      </w:r>
      <w:r w:rsidR="005A1372" w:rsidRPr="004F1F6B">
        <w:rPr>
          <w:rFonts w:cstheme="minorHAnsi"/>
          <w:sz w:val="21"/>
          <w:szCs w:val="21"/>
        </w:rPr>
        <w:t xml:space="preserve">that there may be simple changes to interchange regulation that could </w:t>
      </w:r>
      <w:r w:rsidR="000C657D">
        <w:rPr>
          <w:rFonts w:cstheme="minorHAnsi"/>
          <w:sz w:val="21"/>
          <w:szCs w:val="21"/>
        </w:rPr>
        <w:t>create</w:t>
      </w:r>
      <w:r w:rsidR="005A1372" w:rsidRPr="004F1F6B">
        <w:rPr>
          <w:rFonts w:cstheme="minorHAnsi"/>
          <w:sz w:val="21"/>
          <w:szCs w:val="21"/>
        </w:rPr>
        <w:t xml:space="preserve"> a more </w:t>
      </w:r>
      <w:r w:rsidR="00B94D1A">
        <w:rPr>
          <w:rFonts w:cstheme="minorHAnsi"/>
          <w:sz w:val="21"/>
          <w:szCs w:val="21"/>
        </w:rPr>
        <w:t xml:space="preserve">sustainable </w:t>
      </w:r>
      <w:r w:rsidR="005A1372" w:rsidRPr="004F1F6B">
        <w:rPr>
          <w:rFonts w:cstheme="minorHAnsi"/>
          <w:sz w:val="21"/>
          <w:szCs w:val="21"/>
        </w:rPr>
        <w:t>playing field between large and small merchants, without the undesirable effects on competition between different card issuance models.</w:t>
      </w:r>
    </w:p>
    <w:p w14:paraId="0A708630" w14:textId="2B3015F9" w:rsidR="003A4BB4" w:rsidRDefault="005A1372" w:rsidP="003A4BB4">
      <w:pPr>
        <w:rPr>
          <w:rFonts w:cstheme="minorHAnsi"/>
          <w:sz w:val="21"/>
          <w:szCs w:val="21"/>
        </w:rPr>
      </w:pPr>
      <w:r w:rsidRPr="004F1F6B">
        <w:rPr>
          <w:rFonts w:cstheme="minorHAnsi"/>
          <w:sz w:val="21"/>
          <w:szCs w:val="21"/>
        </w:rPr>
        <w:t xml:space="preserve">In particular, the RBA should consider regulating to prevent the hierarchy of categories in interchange schedules being used in ways that disadvantage small merchants. </w:t>
      </w:r>
      <w:r w:rsidR="003A4BB4">
        <w:rPr>
          <w:rFonts w:cstheme="minorHAnsi"/>
          <w:sz w:val="21"/>
          <w:szCs w:val="21"/>
        </w:rPr>
        <w:t xml:space="preserve">This </w:t>
      </w:r>
      <w:r w:rsidR="00F17AB8">
        <w:rPr>
          <w:rFonts w:cstheme="minorHAnsi"/>
          <w:sz w:val="21"/>
          <w:szCs w:val="21"/>
        </w:rPr>
        <w:t>could</w:t>
      </w:r>
      <w:r w:rsidR="003A4BB4">
        <w:rPr>
          <w:rFonts w:cstheme="minorHAnsi"/>
          <w:sz w:val="21"/>
          <w:szCs w:val="21"/>
        </w:rPr>
        <w:t xml:space="preserve"> involve:</w:t>
      </w:r>
    </w:p>
    <w:p w14:paraId="29F2EA46" w14:textId="7589153B" w:rsidR="00351841" w:rsidRPr="00160BE3" w:rsidRDefault="003A4BB4" w:rsidP="006D731F">
      <w:pPr>
        <w:pStyle w:val="ListParagraph"/>
        <w:numPr>
          <w:ilvl w:val="0"/>
          <w:numId w:val="26"/>
        </w:numPr>
        <w:spacing w:after="160"/>
        <w:contextualSpacing w:val="0"/>
        <w:rPr>
          <w:rFonts w:cstheme="minorHAnsi"/>
          <w:sz w:val="21"/>
          <w:szCs w:val="21"/>
        </w:rPr>
      </w:pPr>
      <w:r w:rsidRPr="001515FE">
        <w:rPr>
          <w:rFonts w:cstheme="minorHAnsi"/>
          <w:sz w:val="21"/>
          <w:szCs w:val="21"/>
        </w:rPr>
        <w:t xml:space="preserve">Shifting strategic interchange </w:t>
      </w:r>
      <w:r w:rsidR="004D207D">
        <w:rPr>
          <w:rFonts w:cstheme="minorHAnsi"/>
          <w:sz w:val="21"/>
          <w:szCs w:val="21"/>
        </w:rPr>
        <w:t>for both debit and credit</w:t>
      </w:r>
      <w:r w:rsidRPr="001515FE">
        <w:rPr>
          <w:rFonts w:cstheme="minorHAnsi"/>
          <w:sz w:val="21"/>
          <w:szCs w:val="21"/>
        </w:rPr>
        <w:t xml:space="preserve"> from an overriding priority to a discount to the underlying </w:t>
      </w:r>
      <w:proofErr w:type="gramStart"/>
      <w:r w:rsidRPr="001515FE">
        <w:rPr>
          <w:rFonts w:cstheme="minorHAnsi"/>
          <w:sz w:val="21"/>
          <w:szCs w:val="21"/>
        </w:rPr>
        <w:t>transaction</w:t>
      </w:r>
      <w:r w:rsidR="00726E94">
        <w:rPr>
          <w:rFonts w:cstheme="minorHAnsi"/>
          <w:sz w:val="21"/>
          <w:szCs w:val="21"/>
        </w:rPr>
        <w:t>,</w:t>
      </w:r>
      <w:r w:rsidRPr="001515FE">
        <w:rPr>
          <w:rFonts w:cstheme="minorHAnsi"/>
          <w:sz w:val="21"/>
          <w:szCs w:val="21"/>
        </w:rPr>
        <w:t xml:space="preserve"> and</w:t>
      </w:r>
      <w:proofErr w:type="gramEnd"/>
      <w:r w:rsidRPr="001515FE">
        <w:rPr>
          <w:rFonts w:cstheme="minorHAnsi"/>
          <w:sz w:val="21"/>
          <w:szCs w:val="21"/>
        </w:rPr>
        <w:t xml:space="preserve"> limit</w:t>
      </w:r>
      <w:r>
        <w:rPr>
          <w:rFonts w:cstheme="minorHAnsi"/>
          <w:sz w:val="21"/>
          <w:szCs w:val="21"/>
        </w:rPr>
        <w:t>ing</w:t>
      </w:r>
      <w:r w:rsidRPr="001515FE">
        <w:rPr>
          <w:rFonts w:cstheme="minorHAnsi"/>
          <w:sz w:val="21"/>
          <w:szCs w:val="21"/>
        </w:rPr>
        <w:t xml:space="preserve"> that discount to 30%</w:t>
      </w:r>
      <w:r w:rsidR="00123A31">
        <w:rPr>
          <w:rFonts w:cstheme="minorHAnsi"/>
          <w:sz w:val="21"/>
          <w:szCs w:val="21"/>
        </w:rPr>
        <w:t>.</w:t>
      </w:r>
    </w:p>
    <w:p w14:paraId="57027D7F" w14:textId="6504F4BD" w:rsidR="003A4BB4" w:rsidRPr="00351841" w:rsidRDefault="003A4BB4" w:rsidP="00351841">
      <w:pPr>
        <w:pStyle w:val="ListParagraph"/>
        <w:numPr>
          <w:ilvl w:val="0"/>
          <w:numId w:val="26"/>
        </w:numPr>
        <w:spacing w:after="160"/>
        <w:contextualSpacing w:val="0"/>
        <w:rPr>
          <w:rFonts w:cstheme="minorHAnsi"/>
          <w:sz w:val="21"/>
          <w:szCs w:val="21"/>
        </w:rPr>
      </w:pPr>
      <w:r w:rsidRPr="00351841">
        <w:rPr>
          <w:rFonts w:cstheme="minorHAnsi"/>
          <w:sz w:val="21"/>
          <w:szCs w:val="21"/>
        </w:rPr>
        <w:t xml:space="preserve">Implementing specific </w:t>
      </w:r>
      <w:r w:rsidR="00174690">
        <w:rPr>
          <w:rFonts w:cstheme="minorHAnsi"/>
          <w:sz w:val="21"/>
          <w:szCs w:val="21"/>
        </w:rPr>
        <w:t>credit interchange</w:t>
      </w:r>
      <w:r w:rsidRPr="00351841">
        <w:rPr>
          <w:rFonts w:cstheme="minorHAnsi"/>
          <w:sz w:val="21"/>
          <w:szCs w:val="21"/>
        </w:rPr>
        <w:t xml:space="preserve"> caps to deliver a better distribution in favour of small businesses, and </w:t>
      </w:r>
      <w:r w:rsidR="00585F80">
        <w:rPr>
          <w:rFonts w:cstheme="minorHAnsi"/>
          <w:sz w:val="21"/>
          <w:szCs w:val="21"/>
        </w:rPr>
        <w:t>which are</w:t>
      </w:r>
      <w:r w:rsidRPr="00351841">
        <w:rPr>
          <w:rFonts w:cstheme="minorHAnsi"/>
          <w:sz w:val="21"/>
          <w:szCs w:val="21"/>
        </w:rPr>
        <w:t xml:space="preserve"> </w:t>
      </w:r>
      <w:r w:rsidR="00D73530">
        <w:rPr>
          <w:rFonts w:cstheme="minorHAnsi"/>
          <w:sz w:val="21"/>
          <w:szCs w:val="21"/>
        </w:rPr>
        <w:t>more</w:t>
      </w:r>
      <w:r w:rsidR="00D73530" w:rsidRPr="00351841">
        <w:rPr>
          <w:rFonts w:cstheme="minorHAnsi"/>
          <w:sz w:val="21"/>
          <w:szCs w:val="21"/>
        </w:rPr>
        <w:t xml:space="preserve"> </w:t>
      </w:r>
      <w:r w:rsidRPr="00351841">
        <w:rPr>
          <w:rFonts w:cstheme="minorHAnsi"/>
          <w:sz w:val="21"/>
          <w:szCs w:val="21"/>
        </w:rPr>
        <w:t>reflective of costs</w:t>
      </w:r>
      <w:r w:rsidR="00856817">
        <w:rPr>
          <w:rFonts w:cstheme="minorHAnsi"/>
          <w:sz w:val="21"/>
          <w:szCs w:val="21"/>
        </w:rPr>
        <w:t>.</w:t>
      </w:r>
      <w:r w:rsidRPr="00351841">
        <w:rPr>
          <w:rFonts w:cstheme="minorHAnsi"/>
          <w:sz w:val="21"/>
          <w:szCs w:val="21"/>
        </w:rPr>
        <w:t xml:space="preserve"> We propose separate caps for </w:t>
      </w:r>
      <w:r w:rsidR="00AD0D25">
        <w:rPr>
          <w:rFonts w:cstheme="minorHAnsi"/>
          <w:sz w:val="21"/>
          <w:szCs w:val="21"/>
        </w:rPr>
        <w:t xml:space="preserve">personal </w:t>
      </w:r>
      <w:r w:rsidRPr="00351841">
        <w:rPr>
          <w:rFonts w:cstheme="minorHAnsi"/>
          <w:sz w:val="21"/>
          <w:szCs w:val="21"/>
        </w:rPr>
        <w:t xml:space="preserve">in-store (35 bps), </w:t>
      </w:r>
      <w:r w:rsidR="00881BDC">
        <w:rPr>
          <w:rFonts w:cstheme="minorHAnsi"/>
          <w:sz w:val="21"/>
          <w:szCs w:val="21"/>
        </w:rPr>
        <w:t xml:space="preserve">personal </w:t>
      </w:r>
      <w:r w:rsidRPr="00351841">
        <w:rPr>
          <w:rFonts w:cstheme="minorHAnsi"/>
          <w:sz w:val="21"/>
          <w:szCs w:val="21"/>
        </w:rPr>
        <w:t>e</w:t>
      </w:r>
      <w:r w:rsidR="00405607">
        <w:rPr>
          <w:rFonts w:cstheme="minorHAnsi"/>
          <w:sz w:val="21"/>
          <w:szCs w:val="21"/>
        </w:rPr>
        <w:t>C</w:t>
      </w:r>
      <w:r w:rsidRPr="00351841">
        <w:rPr>
          <w:rFonts w:cstheme="minorHAnsi"/>
          <w:sz w:val="21"/>
          <w:szCs w:val="21"/>
        </w:rPr>
        <w:t>ommerce (80</w:t>
      </w:r>
      <w:r w:rsidR="00D3382E">
        <w:rPr>
          <w:rFonts w:cstheme="minorHAnsi"/>
          <w:sz w:val="21"/>
          <w:szCs w:val="21"/>
        </w:rPr>
        <w:t xml:space="preserve"> </w:t>
      </w:r>
      <w:r w:rsidRPr="00351841">
        <w:rPr>
          <w:rFonts w:cstheme="minorHAnsi"/>
          <w:sz w:val="21"/>
          <w:szCs w:val="21"/>
        </w:rPr>
        <w:t xml:space="preserve">bps), and corporate </w:t>
      </w:r>
      <w:r w:rsidR="00AD0D25">
        <w:rPr>
          <w:rFonts w:cstheme="minorHAnsi"/>
          <w:sz w:val="21"/>
          <w:szCs w:val="21"/>
        </w:rPr>
        <w:t>in-store (80</w:t>
      </w:r>
      <w:r w:rsidR="00D3382E">
        <w:rPr>
          <w:rFonts w:cstheme="minorHAnsi"/>
          <w:sz w:val="21"/>
          <w:szCs w:val="21"/>
        </w:rPr>
        <w:t xml:space="preserve"> </w:t>
      </w:r>
      <w:r w:rsidR="00AD0D25">
        <w:rPr>
          <w:rFonts w:cstheme="minorHAnsi"/>
          <w:sz w:val="21"/>
          <w:szCs w:val="21"/>
        </w:rPr>
        <w:t>bps)</w:t>
      </w:r>
      <w:r w:rsidR="003D2588">
        <w:rPr>
          <w:rFonts w:cstheme="minorHAnsi"/>
          <w:sz w:val="21"/>
          <w:szCs w:val="21"/>
        </w:rPr>
        <w:t xml:space="preserve">, </w:t>
      </w:r>
      <w:r w:rsidR="0088528B">
        <w:rPr>
          <w:rFonts w:cstheme="minorHAnsi"/>
          <w:sz w:val="21"/>
          <w:szCs w:val="21"/>
        </w:rPr>
        <w:t xml:space="preserve">corporate </w:t>
      </w:r>
      <w:r w:rsidR="00405607">
        <w:rPr>
          <w:rFonts w:cstheme="minorHAnsi"/>
          <w:sz w:val="21"/>
          <w:szCs w:val="21"/>
        </w:rPr>
        <w:t>eCommerce</w:t>
      </w:r>
      <w:r w:rsidR="00405607" w:rsidRPr="00351841">
        <w:rPr>
          <w:rFonts w:cstheme="minorHAnsi"/>
          <w:sz w:val="21"/>
          <w:szCs w:val="21"/>
        </w:rPr>
        <w:t xml:space="preserve"> </w:t>
      </w:r>
      <w:r w:rsidRPr="00351841">
        <w:rPr>
          <w:rFonts w:cstheme="minorHAnsi"/>
          <w:sz w:val="21"/>
          <w:szCs w:val="21"/>
        </w:rPr>
        <w:t>(1</w:t>
      </w:r>
      <w:r w:rsidR="004419C5">
        <w:rPr>
          <w:rFonts w:cstheme="minorHAnsi"/>
          <w:sz w:val="21"/>
          <w:szCs w:val="21"/>
        </w:rPr>
        <w:t>15</w:t>
      </w:r>
      <w:r w:rsidR="00D3382E">
        <w:rPr>
          <w:rFonts w:cstheme="minorHAnsi"/>
          <w:sz w:val="21"/>
          <w:szCs w:val="21"/>
        </w:rPr>
        <w:t xml:space="preserve"> </w:t>
      </w:r>
      <w:r w:rsidRPr="00351841">
        <w:rPr>
          <w:rFonts w:cstheme="minorHAnsi"/>
          <w:sz w:val="21"/>
          <w:szCs w:val="21"/>
        </w:rPr>
        <w:t>bps) transactions</w:t>
      </w:r>
      <w:r w:rsidR="00B24E1F">
        <w:rPr>
          <w:rFonts w:cstheme="minorHAnsi"/>
          <w:sz w:val="21"/>
          <w:szCs w:val="21"/>
        </w:rPr>
        <w:t>.</w:t>
      </w:r>
    </w:p>
    <w:p w14:paraId="4E617385" w14:textId="2415D965" w:rsidR="00E62A76" w:rsidRPr="00CD79BF" w:rsidRDefault="00E62A76" w:rsidP="00CD79BF">
      <w:pPr>
        <w:pStyle w:val="ListParagraph"/>
        <w:numPr>
          <w:ilvl w:val="0"/>
          <w:numId w:val="26"/>
        </w:numPr>
        <w:rPr>
          <w:rFonts w:cstheme="minorHAnsi"/>
          <w:sz w:val="21"/>
          <w:szCs w:val="21"/>
        </w:rPr>
      </w:pPr>
      <w:r>
        <w:rPr>
          <w:rFonts w:cstheme="minorHAnsi"/>
          <w:sz w:val="21"/>
          <w:szCs w:val="21"/>
        </w:rPr>
        <w:lastRenderedPageBreak/>
        <w:t>Maintaining the existing benchmark for credit and debit g</w:t>
      </w:r>
      <w:r w:rsidRPr="00E62A76">
        <w:rPr>
          <w:rFonts w:cstheme="minorHAnsi"/>
          <w:sz w:val="21"/>
          <w:szCs w:val="21"/>
        </w:rPr>
        <w:t>iven that Australia already has interchange levels below the UK and EU (see section 1)</w:t>
      </w:r>
      <w:r w:rsidR="00101419">
        <w:rPr>
          <w:rFonts w:cstheme="minorHAnsi"/>
          <w:sz w:val="21"/>
          <w:szCs w:val="21"/>
        </w:rPr>
        <w:t>, and to minimise impacts on smaller issuers</w:t>
      </w:r>
      <w:r w:rsidRPr="00E62A76">
        <w:rPr>
          <w:rFonts w:cstheme="minorHAnsi"/>
          <w:sz w:val="21"/>
          <w:szCs w:val="21"/>
        </w:rPr>
        <w:t xml:space="preserve"> </w:t>
      </w:r>
      <w:r w:rsidR="00DE0977">
        <w:rPr>
          <w:rFonts w:cstheme="minorHAnsi"/>
          <w:sz w:val="21"/>
          <w:szCs w:val="21"/>
        </w:rPr>
        <w:t xml:space="preserve">and on investment in </w:t>
      </w:r>
      <w:r w:rsidR="00C76DA0">
        <w:rPr>
          <w:rFonts w:cstheme="minorHAnsi"/>
          <w:sz w:val="21"/>
          <w:szCs w:val="21"/>
        </w:rPr>
        <w:t>payments infrastructure.</w:t>
      </w:r>
      <w:r w:rsidRPr="00E62A76">
        <w:rPr>
          <w:rFonts w:cstheme="minorHAnsi"/>
          <w:sz w:val="21"/>
          <w:szCs w:val="21"/>
        </w:rPr>
        <w:t xml:space="preserve"> </w:t>
      </w:r>
    </w:p>
    <w:p w14:paraId="50C0C043" w14:textId="5A2486C0" w:rsidR="000011B9" w:rsidRPr="001B5C88" w:rsidRDefault="003A4BB4" w:rsidP="003A4BB4">
      <w:pPr>
        <w:rPr>
          <w:rFonts w:cstheme="minorHAnsi"/>
          <w:szCs w:val="16"/>
        </w:rPr>
      </w:pPr>
      <w:r>
        <w:rPr>
          <w:rFonts w:cstheme="minorHAnsi"/>
          <w:sz w:val="21"/>
          <w:szCs w:val="21"/>
        </w:rPr>
        <w:t>These changes will deliver lower interchange to small businesses, particularly those that currently surcharge</w:t>
      </w:r>
      <w:r w:rsidR="00363FFA">
        <w:rPr>
          <w:rFonts w:cstheme="minorHAnsi"/>
          <w:sz w:val="21"/>
          <w:szCs w:val="21"/>
        </w:rPr>
        <w:t>, while maintaining the current level of investment in the Australian payments system</w:t>
      </w:r>
      <w:r>
        <w:rPr>
          <w:rFonts w:cstheme="minorHAnsi"/>
          <w:sz w:val="21"/>
          <w:szCs w:val="21"/>
        </w:rPr>
        <w:t>.</w:t>
      </w:r>
      <w:r w:rsidR="000F6B87">
        <w:rPr>
          <w:rFonts w:cstheme="minorHAnsi"/>
          <w:sz w:val="21"/>
          <w:szCs w:val="21"/>
        </w:rPr>
        <w:t xml:space="preserve"> The</w:t>
      </w:r>
      <w:r w:rsidR="009A7320">
        <w:rPr>
          <w:rFonts w:cstheme="minorHAnsi"/>
          <w:sz w:val="21"/>
          <w:szCs w:val="21"/>
        </w:rPr>
        <w:t xml:space="preserve"> differentiated caps</w:t>
      </w:r>
      <w:r w:rsidR="000F6B87">
        <w:rPr>
          <w:rFonts w:cstheme="minorHAnsi"/>
          <w:sz w:val="21"/>
          <w:szCs w:val="21"/>
        </w:rPr>
        <w:t xml:space="preserve"> aim to </w:t>
      </w:r>
      <w:r w:rsidR="00664F8F">
        <w:rPr>
          <w:rFonts w:cstheme="minorHAnsi"/>
          <w:sz w:val="21"/>
          <w:szCs w:val="21"/>
        </w:rPr>
        <w:t>reduce the level of dispersion within interchange fees in the Australian market</w:t>
      </w:r>
      <w:r w:rsidR="006F2ECE">
        <w:rPr>
          <w:rFonts w:cstheme="minorHAnsi"/>
          <w:sz w:val="21"/>
          <w:szCs w:val="21"/>
        </w:rPr>
        <w:t xml:space="preserve">, better reflect the cost of </w:t>
      </w:r>
      <w:r w:rsidR="001B4C39">
        <w:rPr>
          <w:rFonts w:cstheme="minorHAnsi"/>
          <w:sz w:val="21"/>
          <w:szCs w:val="21"/>
        </w:rPr>
        <w:t>higher risk</w:t>
      </w:r>
      <w:r w:rsidR="00041763">
        <w:rPr>
          <w:rFonts w:cstheme="minorHAnsi"/>
          <w:sz w:val="21"/>
          <w:szCs w:val="21"/>
        </w:rPr>
        <w:t xml:space="preserve"> and</w:t>
      </w:r>
      <w:r w:rsidR="001B4C39">
        <w:rPr>
          <w:rFonts w:cstheme="minorHAnsi"/>
          <w:sz w:val="21"/>
          <w:szCs w:val="21"/>
        </w:rPr>
        <w:t xml:space="preserve"> </w:t>
      </w:r>
      <w:r w:rsidR="006F2ECE">
        <w:rPr>
          <w:rFonts w:cstheme="minorHAnsi"/>
          <w:sz w:val="21"/>
          <w:szCs w:val="21"/>
        </w:rPr>
        <w:t>complex</w:t>
      </w:r>
      <w:r w:rsidR="00D5069E">
        <w:rPr>
          <w:rFonts w:cstheme="minorHAnsi"/>
          <w:sz w:val="21"/>
          <w:szCs w:val="21"/>
        </w:rPr>
        <w:t xml:space="preserve"> transactions</w:t>
      </w:r>
      <w:r w:rsidR="00041763">
        <w:rPr>
          <w:rStyle w:val="FootnoteReference"/>
          <w:rFonts w:cstheme="minorHAnsi"/>
          <w:sz w:val="21"/>
          <w:szCs w:val="21"/>
        </w:rPr>
        <w:footnoteReference w:id="36"/>
      </w:r>
      <w:r w:rsidR="00FA4717">
        <w:rPr>
          <w:rFonts w:cstheme="minorHAnsi"/>
          <w:sz w:val="21"/>
          <w:szCs w:val="21"/>
        </w:rPr>
        <w:t>,</w:t>
      </w:r>
      <w:r w:rsidR="00A57421">
        <w:rPr>
          <w:rFonts w:cstheme="minorHAnsi"/>
          <w:sz w:val="21"/>
          <w:szCs w:val="21"/>
        </w:rPr>
        <w:t xml:space="preserve"> and </w:t>
      </w:r>
      <w:r w:rsidR="00DD5646">
        <w:rPr>
          <w:rFonts w:cstheme="minorHAnsi"/>
          <w:sz w:val="21"/>
          <w:szCs w:val="21"/>
        </w:rPr>
        <w:t xml:space="preserve">are </w:t>
      </w:r>
      <w:r w:rsidR="00A57421">
        <w:rPr>
          <w:rFonts w:cstheme="minorHAnsi"/>
          <w:sz w:val="21"/>
          <w:szCs w:val="21"/>
        </w:rPr>
        <w:t>cons</w:t>
      </w:r>
      <w:r w:rsidR="001C6F9E">
        <w:rPr>
          <w:rFonts w:cstheme="minorHAnsi"/>
          <w:sz w:val="21"/>
          <w:szCs w:val="21"/>
        </w:rPr>
        <w:t>istent with the RBA’s user pays a</w:t>
      </w:r>
      <w:r w:rsidR="00451BDF">
        <w:rPr>
          <w:rFonts w:cstheme="minorHAnsi"/>
          <w:sz w:val="21"/>
          <w:szCs w:val="21"/>
        </w:rPr>
        <w:t>pproach</w:t>
      </w:r>
      <w:r w:rsidR="00D5069E">
        <w:rPr>
          <w:rFonts w:cstheme="minorHAnsi"/>
          <w:sz w:val="21"/>
          <w:szCs w:val="21"/>
        </w:rPr>
        <w:t>.</w:t>
      </w:r>
      <w:r w:rsidR="000011B9">
        <w:rPr>
          <w:rFonts w:cstheme="minorHAnsi"/>
          <w:sz w:val="21"/>
          <w:szCs w:val="21"/>
        </w:rPr>
        <w:t xml:space="preserve"> </w:t>
      </w:r>
      <w:r w:rsidR="00B846CB" w:rsidRPr="001B5C88">
        <w:rPr>
          <w:rFonts w:cstheme="minorHAnsi"/>
          <w:sz w:val="21"/>
          <w:szCs w:val="21"/>
        </w:rPr>
        <w:t>For example,</w:t>
      </w:r>
      <w:r w:rsidR="00A36507" w:rsidRPr="001B5C88">
        <w:rPr>
          <w:rFonts w:cstheme="minorHAnsi"/>
          <w:sz w:val="21"/>
          <w:szCs w:val="21"/>
        </w:rPr>
        <w:t xml:space="preserve"> the card present market is mature, while e</w:t>
      </w:r>
      <w:r w:rsidR="009574B0">
        <w:rPr>
          <w:rFonts w:cstheme="minorHAnsi"/>
          <w:sz w:val="21"/>
          <w:szCs w:val="21"/>
        </w:rPr>
        <w:t>C</w:t>
      </w:r>
      <w:r w:rsidR="00A36507" w:rsidRPr="001B5C88">
        <w:rPr>
          <w:rFonts w:cstheme="minorHAnsi"/>
          <w:sz w:val="21"/>
          <w:szCs w:val="21"/>
        </w:rPr>
        <w:t>ommerce is where risk is concentrated and continued investment is required to meet rapidly evolving technology and customer needs.</w:t>
      </w:r>
      <w:r w:rsidR="00A36507" w:rsidRPr="001B5C88">
        <w:rPr>
          <w:rFonts w:cstheme="minorHAnsi"/>
          <w:szCs w:val="16"/>
        </w:rPr>
        <w:t xml:space="preserve"> </w:t>
      </w:r>
    </w:p>
    <w:p w14:paraId="5E718CD8" w14:textId="47CA57F3" w:rsidR="008341DA" w:rsidRDefault="008341DA" w:rsidP="003A4BB4">
      <w:pPr>
        <w:rPr>
          <w:rFonts w:cstheme="minorHAnsi"/>
          <w:sz w:val="21"/>
          <w:szCs w:val="21"/>
        </w:rPr>
      </w:pPr>
      <w:r w:rsidRPr="001B5C88">
        <w:rPr>
          <w:rFonts w:cstheme="minorHAnsi"/>
          <w:sz w:val="21"/>
          <w:szCs w:val="21"/>
        </w:rPr>
        <w:t>Creating a corporate rate with a higher cap would support sustainability of four-party</w:t>
      </w:r>
      <w:r w:rsidR="00557910" w:rsidRPr="001B5C88">
        <w:rPr>
          <w:rFonts w:cstheme="minorHAnsi"/>
          <w:sz w:val="21"/>
          <w:szCs w:val="21"/>
        </w:rPr>
        <w:t xml:space="preserve"> commercial</w:t>
      </w:r>
      <w:r w:rsidRPr="001B5C88">
        <w:rPr>
          <w:rFonts w:cstheme="minorHAnsi"/>
          <w:sz w:val="21"/>
          <w:szCs w:val="21"/>
        </w:rPr>
        <w:t xml:space="preserve"> </w:t>
      </w:r>
      <w:r w:rsidR="002F63FD" w:rsidRPr="001B5C88">
        <w:rPr>
          <w:rFonts w:cstheme="minorHAnsi"/>
          <w:sz w:val="21"/>
          <w:szCs w:val="21"/>
        </w:rPr>
        <w:t xml:space="preserve">and charge </w:t>
      </w:r>
      <w:r w:rsidR="00C23455" w:rsidRPr="001B5C88">
        <w:rPr>
          <w:rFonts w:cstheme="minorHAnsi"/>
          <w:sz w:val="21"/>
          <w:szCs w:val="21"/>
        </w:rPr>
        <w:t xml:space="preserve">card </w:t>
      </w:r>
      <w:r w:rsidR="00A975C0" w:rsidRPr="001B5C88">
        <w:rPr>
          <w:rFonts w:cstheme="minorHAnsi"/>
          <w:sz w:val="21"/>
          <w:szCs w:val="21"/>
        </w:rPr>
        <w:t>offerings and</w:t>
      </w:r>
      <w:r w:rsidRPr="001B5C88">
        <w:rPr>
          <w:rFonts w:cstheme="minorHAnsi"/>
          <w:sz w:val="21"/>
          <w:szCs w:val="21"/>
        </w:rPr>
        <w:t xml:space="preserve"> provide some relief to the competitive disparity between regulated four</w:t>
      </w:r>
      <w:r w:rsidR="00A975C0" w:rsidRPr="001B5C88">
        <w:rPr>
          <w:rFonts w:cstheme="minorHAnsi"/>
          <w:sz w:val="21"/>
          <w:szCs w:val="21"/>
        </w:rPr>
        <w:t>-</w:t>
      </w:r>
      <w:r w:rsidRPr="001B5C88">
        <w:rPr>
          <w:rFonts w:cstheme="minorHAnsi"/>
          <w:sz w:val="21"/>
          <w:szCs w:val="21"/>
        </w:rPr>
        <w:t>party offerings and the three-party schemes where it is most acute.</w:t>
      </w:r>
      <w:r w:rsidR="00104FBE" w:rsidRPr="001B5C88">
        <w:rPr>
          <w:rFonts w:cstheme="minorHAnsi"/>
          <w:sz w:val="21"/>
          <w:szCs w:val="21"/>
        </w:rPr>
        <w:t xml:space="preserve"> </w:t>
      </w:r>
      <w:r w:rsidR="00031553" w:rsidRPr="001B5C88">
        <w:rPr>
          <w:rFonts w:cstheme="minorHAnsi"/>
          <w:sz w:val="21"/>
          <w:szCs w:val="21"/>
        </w:rPr>
        <w:t>I</w:t>
      </w:r>
      <w:r w:rsidR="00010CE9" w:rsidRPr="001B5C88">
        <w:rPr>
          <w:rFonts w:cstheme="minorHAnsi"/>
          <w:sz w:val="21"/>
          <w:szCs w:val="21"/>
        </w:rPr>
        <w:t>t</w:t>
      </w:r>
      <w:r w:rsidR="00031553" w:rsidRPr="001B5C88">
        <w:rPr>
          <w:rFonts w:cstheme="minorHAnsi"/>
          <w:sz w:val="21"/>
          <w:szCs w:val="21"/>
        </w:rPr>
        <w:t xml:space="preserve"> would also </w:t>
      </w:r>
      <w:r w:rsidR="00010CE9" w:rsidRPr="001B5C88">
        <w:rPr>
          <w:rFonts w:cstheme="minorHAnsi"/>
          <w:sz w:val="21"/>
          <w:szCs w:val="21"/>
        </w:rPr>
        <w:t>ensure continued</w:t>
      </w:r>
      <w:r w:rsidR="00031553" w:rsidRPr="001B5C88">
        <w:rPr>
          <w:rFonts w:cstheme="minorHAnsi"/>
          <w:sz w:val="21"/>
          <w:szCs w:val="21"/>
        </w:rPr>
        <w:t xml:space="preserve"> </w:t>
      </w:r>
      <w:r w:rsidR="00E254A9" w:rsidRPr="001B5C88">
        <w:rPr>
          <w:rFonts w:cstheme="minorHAnsi"/>
          <w:sz w:val="21"/>
          <w:szCs w:val="21"/>
        </w:rPr>
        <w:t>low-cost</w:t>
      </w:r>
      <w:r w:rsidR="00A511FD" w:rsidRPr="001B5C88">
        <w:rPr>
          <w:rFonts w:cstheme="minorHAnsi"/>
          <w:sz w:val="21"/>
          <w:szCs w:val="21"/>
        </w:rPr>
        <w:t xml:space="preserve"> </w:t>
      </w:r>
      <w:r w:rsidR="00323F25" w:rsidRPr="001B5C88">
        <w:rPr>
          <w:rFonts w:cstheme="minorHAnsi"/>
          <w:sz w:val="21"/>
          <w:szCs w:val="21"/>
        </w:rPr>
        <w:t xml:space="preserve">access by businesses </w:t>
      </w:r>
      <w:r w:rsidR="00A511FD" w:rsidRPr="001B5C88">
        <w:rPr>
          <w:rFonts w:cstheme="minorHAnsi"/>
          <w:sz w:val="21"/>
          <w:szCs w:val="21"/>
        </w:rPr>
        <w:t>to working capital.</w:t>
      </w:r>
    </w:p>
    <w:p w14:paraId="75C28632" w14:textId="0989BE82" w:rsidR="004F1F6B" w:rsidRPr="004F1F6B" w:rsidRDefault="006A0B68" w:rsidP="004F1F6B">
      <w:pPr>
        <w:rPr>
          <w:rFonts w:cstheme="minorHAnsi"/>
          <w:sz w:val="21"/>
          <w:szCs w:val="21"/>
        </w:rPr>
      </w:pPr>
      <w:r>
        <w:rPr>
          <w:rFonts w:cstheme="minorHAnsi"/>
          <w:sz w:val="21"/>
          <w:szCs w:val="21"/>
        </w:rPr>
        <w:t>A</w:t>
      </w:r>
      <w:r w:rsidR="004F1F6B" w:rsidRPr="004F1F6B">
        <w:rPr>
          <w:rFonts w:cstheme="minorHAnsi"/>
          <w:sz w:val="21"/>
          <w:szCs w:val="21"/>
        </w:rPr>
        <w:t xml:space="preserve">s noted above, </w:t>
      </w:r>
      <w:r>
        <w:rPr>
          <w:rFonts w:cstheme="minorHAnsi"/>
          <w:sz w:val="21"/>
          <w:szCs w:val="21"/>
        </w:rPr>
        <w:t>simply lowering caps</w:t>
      </w:r>
      <w:r w:rsidR="004F1F6B" w:rsidRPr="004F1F6B">
        <w:rPr>
          <w:rFonts w:cstheme="minorHAnsi"/>
          <w:sz w:val="21"/>
          <w:szCs w:val="21"/>
        </w:rPr>
        <w:t xml:space="preserve"> </w:t>
      </w:r>
      <w:r w:rsidR="00896396">
        <w:rPr>
          <w:rFonts w:cstheme="minorHAnsi"/>
          <w:sz w:val="21"/>
          <w:szCs w:val="21"/>
        </w:rPr>
        <w:t>and eliminating the benchmark for credit</w:t>
      </w:r>
      <w:r w:rsidR="004F1F6B" w:rsidRPr="004F1F6B">
        <w:rPr>
          <w:rFonts w:cstheme="minorHAnsi"/>
          <w:sz w:val="21"/>
          <w:szCs w:val="21"/>
        </w:rPr>
        <w:t xml:space="preserve"> could render the issuance of </w:t>
      </w:r>
      <w:r w:rsidR="005E42FF">
        <w:rPr>
          <w:rFonts w:cstheme="minorHAnsi"/>
          <w:sz w:val="21"/>
          <w:szCs w:val="21"/>
        </w:rPr>
        <w:t xml:space="preserve">a variety of </w:t>
      </w:r>
      <w:r w:rsidR="004F1F6B" w:rsidRPr="004F1F6B">
        <w:rPr>
          <w:rFonts w:cstheme="minorHAnsi"/>
          <w:sz w:val="21"/>
          <w:szCs w:val="21"/>
        </w:rPr>
        <w:t xml:space="preserve">four-party </w:t>
      </w:r>
      <w:r w:rsidR="009F37A3">
        <w:rPr>
          <w:rFonts w:cstheme="minorHAnsi"/>
          <w:sz w:val="21"/>
          <w:szCs w:val="21"/>
        </w:rPr>
        <w:t>cards</w:t>
      </w:r>
      <w:r w:rsidR="004F1F6B" w:rsidRPr="004F1F6B">
        <w:rPr>
          <w:rFonts w:cstheme="minorHAnsi"/>
          <w:sz w:val="21"/>
          <w:szCs w:val="21"/>
        </w:rPr>
        <w:t xml:space="preserve"> largely unviable. </w:t>
      </w:r>
      <w:r>
        <w:rPr>
          <w:rFonts w:cstheme="minorHAnsi"/>
          <w:sz w:val="21"/>
          <w:szCs w:val="21"/>
        </w:rPr>
        <w:t>Doing so</w:t>
      </w:r>
      <w:r w:rsidR="004F1F6B" w:rsidRPr="004F1F6B">
        <w:rPr>
          <w:rFonts w:cstheme="minorHAnsi"/>
          <w:sz w:val="21"/>
          <w:szCs w:val="21"/>
        </w:rPr>
        <w:t xml:space="preserve"> would come at the cost of </w:t>
      </w:r>
      <w:r w:rsidR="00B8430A">
        <w:rPr>
          <w:rFonts w:cstheme="minorHAnsi"/>
          <w:sz w:val="21"/>
          <w:szCs w:val="21"/>
        </w:rPr>
        <w:t>exacerbating the distortion</w:t>
      </w:r>
      <w:r w:rsidR="004F1F6B" w:rsidRPr="004F1F6B">
        <w:rPr>
          <w:rFonts w:cstheme="minorHAnsi"/>
          <w:sz w:val="21"/>
          <w:szCs w:val="21"/>
        </w:rPr>
        <w:t xml:space="preserve"> between regulated four-party card issuance and unregulated three-party schemes.</w:t>
      </w:r>
    </w:p>
    <w:p w14:paraId="57F205B1" w14:textId="07BB537D" w:rsidR="00885B71" w:rsidRDefault="004F1F6B" w:rsidP="004F1F6B">
      <w:pPr>
        <w:rPr>
          <w:rFonts w:cstheme="minorHAnsi"/>
          <w:sz w:val="21"/>
          <w:szCs w:val="21"/>
        </w:rPr>
      </w:pPr>
      <w:r w:rsidRPr="004F1F6B">
        <w:rPr>
          <w:rFonts w:cstheme="minorHAnsi"/>
          <w:sz w:val="21"/>
          <w:szCs w:val="21"/>
        </w:rPr>
        <w:t>Accordingly,</w:t>
      </w:r>
      <w:r w:rsidR="00776FFD">
        <w:rPr>
          <w:rFonts w:cstheme="minorHAnsi"/>
          <w:sz w:val="21"/>
          <w:szCs w:val="21"/>
        </w:rPr>
        <w:t xml:space="preserve"> to reduce</w:t>
      </w:r>
      <w:r w:rsidRPr="004F1F6B">
        <w:rPr>
          <w:rFonts w:cstheme="minorHAnsi"/>
          <w:sz w:val="21"/>
          <w:szCs w:val="21"/>
        </w:rPr>
        <w:t xml:space="preserve"> the </w:t>
      </w:r>
      <w:r w:rsidR="00885B71">
        <w:rPr>
          <w:rFonts w:cstheme="minorHAnsi"/>
          <w:sz w:val="21"/>
          <w:szCs w:val="21"/>
        </w:rPr>
        <w:t xml:space="preserve">higher rates </w:t>
      </w:r>
      <w:r w:rsidRPr="004F1F6B">
        <w:rPr>
          <w:rFonts w:cstheme="minorHAnsi"/>
          <w:sz w:val="21"/>
          <w:szCs w:val="21"/>
        </w:rPr>
        <w:t xml:space="preserve">paid by small merchants, </w:t>
      </w:r>
      <w:r w:rsidR="00056C68">
        <w:rPr>
          <w:rFonts w:cstheme="minorHAnsi"/>
          <w:sz w:val="21"/>
          <w:szCs w:val="21"/>
        </w:rPr>
        <w:t xml:space="preserve">we believe </w:t>
      </w:r>
      <w:r w:rsidRPr="004F1F6B">
        <w:rPr>
          <w:rFonts w:cstheme="minorHAnsi"/>
          <w:sz w:val="21"/>
          <w:szCs w:val="21"/>
        </w:rPr>
        <w:t xml:space="preserve">the </w:t>
      </w:r>
      <w:r w:rsidR="00056C68">
        <w:rPr>
          <w:rFonts w:cstheme="minorHAnsi"/>
          <w:sz w:val="21"/>
          <w:szCs w:val="21"/>
        </w:rPr>
        <w:t xml:space="preserve">best </w:t>
      </w:r>
      <w:r w:rsidRPr="004F1F6B">
        <w:rPr>
          <w:rFonts w:cstheme="minorHAnsi"/>
          <w:sz w:val="21"/>
          <w:szCs w:val="21"/>
        </w:rPr>
        <w:t xml:space="preserve">starting point </w:t>
      </w:r>
      <w:r w:rsidR="007B759E">
        <w:rPr>
          <w:rFonts w:cstheme="minorHAnsi"/>
          <w:sz w:val="21"/>
          <w:szCs w:val="21"/>
        </w:rPr>
        <w:t xml:space="preserve">is to </w:t>
      </w:r>
      <w:r w:rsidR="00D84D8F">
        <w:rPr>
          <w:rFonts w:cstheme="minorHAnsi"/>
          <w:sz w:val="21"/>
          <w:szCs w:val="21"/>
        </w:rPr>
        <w:t>flatten</w:t>
      </w:r>
      <w:r w:rsidRPr="004F1F6B">
        <w:rPr>
          <w:rFonts w:cstheme="minorHAnsi"/>
          <w:sz w:val="21"/>
          <w:szCs w:val="21"/>
        </w:rPr>
        <w:t xml:space="preserve"> the interchange hierarchies. </w:t>
      </w:r>
      <w:r w:rsidR="00EA3F52">
        <w:rPr>
          <w:rFonts w:cstheme="minorHAnsi"/>
          <w:sz w:val="21"/>
          <w:szCs w:val="21"/>
        </w:rPr>
        <w:t xml:space="preserve">We believe the best way </w:t>
      </w:r>
      <w:r w:rsidR="00DA1CB3">
        <w:rPr>
          <w:rFonts w:cstheme="minorHAnsi"/>
          <w:sz w:val="21"/>
          <w:szCs w:val="21"/>
        </w:rPr>
        <w:t xml:space="preserve">to achieve this would be to </w:t>
      </w:r>
      <w:r w:rsidRPr="004F1F6B">
        <w:rPr>
          <w:rFonts w:cstheme="minorHAnsi"/>
          <w:sz w:val="21"/>
          <w:szCs w:val="21"/>
        </w:rPr>
        <w:t>limit</w:t>
      </w:r>
      <w:r w:rsidRPr="004F1F6B" w:rsidDel="00DA1CB3">
        <w:rPr>
          <w:rFonts w:cstheme="minorHAnsi"/>
          <w:sz w:val="21"/>
          <w:szCs w:val="21"/>
        </w:rPr>
        <w:t xml:space="preserve"> </w:t>
      </w:r>
      <w:r w:rsidRPr="004F1F6B">
        <w:rPr>
          <w:rFonts w:cstheme="minorHAnsi"/>
          <w:sz w:val="21"/>
          <w:szCs w:val="21"/>
        </w:rPr>
        <w:t>the discount that is permissible in strategic merchant contracts</w:t>
      </w:r>
      <w:r w:rsidR="008E335E">
        <w:rPr>
          <w:rFonts w:cstheme="minorHAnsi"/>
          <w:sz w:val="21"/>
          <w:szCs w:val="21"/>
        </w:rPr>
        <w:t>,</w:t>
      </w:r>
      <w:r w:rsidR="007125AD">
        <w:rPr>
          <w:rFonts w:cstheme="minorHAnsi"/>
          <w:sz w:val="21"/>
          <w:szCs w:val="21"/>
        </w:rPr>
        <w:t xml:space="preserve"> as proposed above</w:t>
      </w:r>
      <w:r w:rsidRPr="004F1F6B">
        <w:rPr>
          <w:rFonts w:cstheme="minorHAnsi"/>
          <w:sz w:val="21"/>
          <w:szCs w:val="21"/>
        </w:rPr>
        <w:t xml:space="preserve">. </w:t>
      </w:r>
    </w:p>
    <w:p w14:paraId="2C4096DA" w14:textId="59AA629A" w:rsidR="009160CF" w:rsidRDefault="009160CF" w:rsidP="004F1F6B">
      <w:pPr>
        <w:rPr>
          <w:rFonts w:cstheme="minorHAnsi"/>
          <w:sz w:val="21"/>
          <w:szCs w:val="21"/>
        </w:rPr>
      </w:pPr>
      <w:r w:rsidRPr="00CD79BF">
        <w:rPr>
          <w:rFonts w:cstheme="minorHAnsi"/>
          <w:sz w:val="21"/>
          <w:szCs w:val="21"/>
        </w:rPr>
        <w:t>Using MasterCard and Visa credit card schedules as an example: if a basic, non-rewards credit card is used in a standard, card-present retail transaction, a small merchant and ‘strategic’ merchant pay the same (approximately 20</w:t>
      </w:r>
      <w:r w:rsidR="00D3382E">
        <w:rPr>
          <w:rFonts w:cstheme="minorHAnsi"/>
          <w:sz w:val="21"/>
          <w:szCs w:val="21"/>
        </w:rPr>
        <w:t xml:space="preserve"> </w:t>
      </w:r>
      <w:r w:rsidRPr="00CD79BF">
        <w:rPr>
          <w:rFonts w:cstheme="minorHAnsi"/>
          <w:sz w:val="21"/>
          <w:szCs w:val="21"/>
        </w:rPr>
        <w:t>bp</w:t>
      </w:r>
      <w:r w:rsidR="00D3382E">
        <w:rPr>
          <w:rFonts w:cstheme="minorHAnsi"/>
          <w:sz w:val="21"/>
          <w:szCs w:val="21"/>
        </w:rPr>
        <w:t>s</w:t>
      </w:r>
      <w:r w:rsidRPr="00CD79BF">
        <w:rPr>
          <w:rFonts w:cstheme="minorHAnsi"/>
          <w:sz w:val="21"/>
          <w:szCs w:val="21"/>
        </w:rPr>
        <w:t>) but when a high-rewards premium card is</w:t>
      </w:r>
      <w:r w:rsidR="00EC0AC4">
        <w:rPr>
          <w:rFonts w:cstheme="minorHAnsi"/>
          <w:sz w:val="21"/>
          <w:szCs w:val="21"/>
        </w:rPr>
        <w:t xml:space="preserve"> used</w:t>
      </w:r>
      <w:r w:rsidRPr="00CD79BF">
        <w:rPr>
          <w:rFonts w:cstheme="minorHAnsi"/>
          <w:sz w:val="21"/>
          <w:szCs w:val="21"/>
        </w:rPr>
        <w:t xml:space="preserve">, the small merchant will </w:t>
      </w:r>
      <w:r w:rsidR="00DD39CA">
        <w:rPr>
          <w:rFonts w:cstheme="minorHAnsi"/>
          <w:sz w:val="21"/>
          <w:szCs w:val="21"/>
        </w:rPr>
        <w:t xml:space="preserve">today </w:t>
      </w:r>
      <w:r w:rsidRPr="00CD79BF">
        <w:rPr>
          <w:rFonts w:cstheme="minorHAnsi"/>
          <w:sz w:val="21"/>
          <w:szCs w:val="21"/>
        </w:rPr>
        <w:t>pay an interchange rate that is around 60</w:t>
      </w:r>
      <w:r w:rsidR="00D3382E">
        <w:rPr>
          <w:rFonts w:cstheme="minorHAnsi"/>
          <w:sz w:val="21"/>
          <w:szCs w:val="21"/>
        </w:rPr>
        <w:t xml:space="preserve"> </w:t>
      </w:r>
      <w:r w:rsidRPr="00CD79BF">
        <w:rPr>
          <w:rFonts w:cstheme="minorHAnsi"/>
          <w:sz w:val="21"/>
          <w:szCs w:val="21"/>
        </w:rPr>
        <w:t>bp</w:t>
      </w:r>
      <w:r w:rsidR="00D3382E">
        <w:rPr>
          <w:rFonts w:cstheme="minorHAnsi"/>
          <w:sz w:val="21"/>
          <w:szCs w:val="21"/>
        </w:rPr>
        <w:t>s</w:t>
      </w:r>
      <w:r w:rsidRPr="00CD79BF">
        <w:rPr>
          <w:rFonts w:cstheme="minorHAnsi"/>
          <w:sz w:val="21"/>
          <w:szCs w:val="21"/>
        </w:rPr>
        <w:t xml:space="preserve"> higher than the interchange paid by the most-favoured strategic merchant (80</w:t>
      </w:r>
      <w:r w:rsidR="00D3382E">
        <w:rPr>
          <w:rFonts w:cstheme="minorHAnsi"/>
          <w:sz w:val="21"/>
          <w:szCs w:val="21"/>
        </w:rPr>
        <w:t xml:space="preserve"> </w:t>
      </w:r>
      <w:r w:rsidRPr="00CD79BF">
        <w:rPr>
          <w:rFonts w:cstheme="minorHAnsi"/>
          <w:sz w:val="21"/>
          <w:szCs w:val="21"/>
        </w:rPr>
        <w:t>bp</w:t>
      </w:r>
      <w:r w:rsidR="00D3382E">
        <w:rPr>
          <w:rFonts w:cstheme="minorHAnsi"/>
          <w:sz w:val="21"/>
          <w:szCs w:val="21"/>
        </w:rPr>
        <w:t>s</w:t>
      </w:r>
      <w:r w:rsidRPr="00CD79BF">
        <w:rPr>
          <w:rFonts w:cstheme="minorHAnsi"/>
          <w:sz w:val="21"/>
          <w:szCs w:val="21"/>
        </w:rPr>
        <w:t xml:space="preserve"> versus 20</w:t>
      </w:r>
      <w:r w:rsidR="00D3382E">
        <w:rPr>
          <w:rFonts w:cstheme="minorHAnsi"/>
          <w:sz w:val="21"/>
          <w:szCs w:val="21"/>
        </w:rPr>
        <w:t xml:space="preserve"> </w:t>
      </w:r>
      <w:r w:rsidRPr="00CD79BF">
        <w:rPr>
          <w:rFonts w:cstheme="minorHAnsi"/>
          <w:sz w:val="21"/>
          <w:szCs w:val="21"/>
        </w:rPr>
        <w:t>bp</w:t>
      </w:r>
      <w:r w:rsidR="00D3382E">
        <w:rPr>
          <w:rFonts w:cstheme="minorHAnsi"/>
          <w:sz w:val="21"/>
          <w:szCs w:val="21"/>
        </w:rPr>
        <w:t>s</w:t>
      </w:r>
      <w:r w:rsidRPr="00CD79BF">
        <w:rPr>
          <w:rFonts w:cstheme="minorHAnsi"/>
          <w:sz w:val="21"/>
          <w:szCs w:val="21"/>
        </w:rPr>
        <w:t>, approximately).</w:t>
      </w:r>
    </w:p>
    <w:p w14:paraId="0BCB2D7E" w14:textId="77777777" w:rsidR="00723BCC" w:rsidRDefault="00723BCC" w:rsidP="003A4BB4">
      <w:pPr>
        <w:keepNext/>
        <w:rPr>
          <w:rFonts w:cstheme="minorHAnsi"/>
          <w:b/>
          <w:bCs/>
          <w:sz w:val="21"/>
          <w:szCs w:val="21"/>
        </w:rPr>
      </w:pPr>
    </w:p>
    <w:p w14:paraId="30E44095" w14:textId="6AE5C533" w:rsidR="003A4BB4" w:rsidRDefault="003A4BB4" w:rsidP="003A4BB4">
      <w:pPr>
        <w:keepNext/>
        <w:rPr>
          <w:rFonts w:cstheme="minorHAnsi"/>
          <w:sz w:val="21"/>
          <w:szCs w:val="21"/>
        </w:rPr>
      </w:pPr>
      <w:r w:rsidRPr="004C0559">
        <w:rPr>
          <w:rFonts w:cstheme="minorHAnsi"/>
          <w:b/>
          <w:bCs/>
          <w:sz w:val="21"/>
          <w:szCs w:val="21"/>
        </w:rPr>
        <w:t>Provide small business a simple, standard, all-in-one plan</w:t>
      </w:r>
      <w:r w:rsidRPr="004C0559">
        <w:rPr>
          <w:rFonts w:cstheme="minorHAnsi"/>
          <w:sz w:val="21"/>
          <w:szCs w:val="21"/>
        </w:rPr>
        <w:t xml:space="preserve"> </w:t>
      </w:r>
    </w:p>
    <w:p w14:paraId="03BAF0A2" w14:textId="77777777" w:rsidR="00F04DC2" w:rsidRPr="00C04CE2" w:rsidRDefault="00F04DC2" w:rsidP="00F04DC2">
      <w:pPr>
        <w:rPr>
          <w:rFonts w:cstheme="minorHAnsi"/>
          <w:sz w:val="21"/>
          <w:szCs w:val="21"/>
        </w:rPr>
      </w:pPr>
      <w:proofErr w:type="gramStart"/>
      <w:r w:rsidRPr="00C04CE2">
        <w:rPr>
          <w:rFonts w:cstheme="minorHAnsi"/>
          <w:sz w:val="21"/>
          <w:szCs w:val="21"/>
        </w:rPr>
        <w:t>In order to</w:t>
      </w:r>
      <w:proofErr w:type="gramEnd"/>
      <w:r w:rsidRPr="00C04CE2">
        <w:rPr>
          <w:rFonts w:cstheme="minorHAnsi"/>
          <w:sz w:val="21"/>
          <w:szCs w:val="21"/>
        </w:rPr>
        <w:t xml:space="preserve"> deliver value to small businesses that do not want the complexity of ‘interchange </w:t>
      </w:r>
      <w:proofErr w:type="spellStart"/>
      <w:r w:rsidRPr="00C04CE2">
        <w:rPr>
          <w:rFonts w:cstheme="minorHAnsi"/>
          <w:sz w:val="21"/>
          <w:szCs w:val="21"/>
        </w:rPr>
        <w:t>plus’</w:t>
      </w:r>
      <w:proofErr w:type="spellEnd"/>
      <w:r w:rsidRPr="00C04CE2">
        <w:rPr>
          <w:rFonts w:cstheme="minorHAnsi"/>
          <w:sz w:val="21"/>
          <w:szCs w:val="21"/>
        </w:rPr>
        <w:t xml:space="preserve"> pricing, we believe the industry is better positioned than the regulator to develop a simple lower cost offering. </w:t>
      </w:r>
    </w:p>
    <w:p w14:paraId="35AE1653" w14:textId="666BBBA5" w:rsidR="00F04DC2" w:rsidRPr="00C04CE2" w:rsidRDefault="00F04DC2" w:rsidP="00F04DC2">
      <w:pPr>
        <w:rPr>
          <w:rFonts w:cstheme="minorHAnsi"/>
          <w:sz w:val="21"/>
          <w:szCs w:val="21"/>
          <w:lang w:val="en-GB"/>
        </w:rPr>
      </w:pPr>
      <w:r w:rsidRPr="00C04CE2">
        <w:rPr>
          <w:rFonts w:cstheme="minorHAnsi"/>
          <w:sz w:val="21"/>
          <w:szCs w:val="21"/>
        </w:rPr>
        <w:t xml:space="preserve">We envisage a plan that any acquirer could offer, with minimum capabilities endorsed by the small business community. </w:t>
      </w:r>
    </w:p>
    <w:p w14:paraId="729B2CB7" w14:textId="0FC49CE8" w:rsidR="00F04DC2" w:rsidRPr="00C04CE2" w:rsidRDefault="00F04DC2" w:rsidP="00F04DC2">
      <w:pPr>
        <w:rPr>
          <w:rFonts w:cstheme="minorHAnsi"/>
          <w:sz w:val="21"/>
          <w:szCs w:val="21"/>
        </w:rPr>
      </w:pPr>
      <w:r w:rsidRPr="00C04CE2">
        <w:rPr>
          <w:rFonts w:cstheme="minorHAnsi"/>
          <w:sz w:val="21"/>
          <w:szCs w:val="21"/>
        </w:rPr>
        <w:t>Alongside the interchange proposals outlined above, CBA could offer an acquiring plan with features tailored to small business needs</w:t>
      </w:r>
      <w:r w:rsidR="005910FB">
        <w:rPr>
          <w:rFonts w:cstheme="minorHAnsi"/>
          <w:sz w:val="21"/>
          <w:szCs w:val="21"/>
        </w:rPr>
        <w:t xml:space="preserve"> and available to small businesses</w:t>
      </w:r>
      <w:r w:rsidR="005910FB" w:rsidRPr="00C04CE2">
        <w:rPr>
          <w:rStyle w:val="FootnoteReference"/>
          <w:rFonts w:cstheme="minorHAnsi"/>
          <w:sz w:val="21"/>
          <w:szCs w:val="21"/>
        </w:rPr>
        <w:t xml:space="preserve"> </w:t>
      </w:r>
      <w:r w:rsidRPr="00C04CE2">
        <w:rPr>
          <w:rStyle w:val="FootnoteReference"/>
          <w:rFonts w:cstheme="minorHAnsi"/>
          <w:sz w:val="21"/>
          <w:szCs w:val="21"/>
        </w:rPr>
        <w:footnoteReference w:id="37"/>
      </w:r>
      <w:r w:rsidRPr="00C04CE2">
        <w:rPr>
          <w:rFonts w:cstheme="minorHAnsi"/>
          <w:sz w:val="21"/>
          <w:szCs w:val="21"/>
        </w:rPr>
        <w:t>:</w:t>
      </w:r>
    </w:p>
    <w:p w14:paraId="23EF3D30" w14:textId="655ECB3F" w:rsidR="000237CF" w:rsidRDefault="000237CF" w:rsidP="000237CF">
      <w:pPr>
        <w:pStyle w:val="ListParagraph"/>
        <w:numPr>
          <w:ilvl w:val="0"/>
          <w:numId w:val="26"/>
        </w:numPr>
        <w:spacing w:after="160"/>
        <w:contextualSpacing w:val="0"/>
        <w:rPr>
          <w:rFonts w:cstheme="minorHAnsi"/>
          <w:sz w:val="21"/>
          <w:szCs w:val="21"/>
        </w:rPr>
      </w:pPr>
      <w:r>
        <w:rPr>
          <w:rFonts w:cstheme="minorHAnsi"/>
          <w:sz w:val="21"/>
          <w:szCs w:val="21"/>
        </w:rPr>
        <w:t xml:space="preserve">Fixed single-rate </w:t>
      </w:r>
      <w:r w:rsidR="00B64158">
        <w:rPr>
          <w:rFonts w:cstheme="minorHAnsi"/>
          <w:sz w:val="21"/>
          <w:szCs w:val="21"/>
        </w:rPr>
        <w:t>m</w:t>
      </w:r>
      <w:r w:rsidR="000B1143">
        <w:rPr>
          <w:rFonts w:cstheme="minorHAnsi"/>
          <w:sz w:val="21"/>
          <w:szCs w:val="21"/>
        </w:rPr>
        <w:t xml:space="preserve">erchant </w:t>
      </w:r>
      <w:r w:rsidR="00B64158">
        <w:rPr>
          <w:rFonts w:cstheme="minorHAnsi"/>
          <w:sz w:val="21"/>
          <w:szCs w:val="21"/>
        </w:rPr>
        <w:t>s</w:t>
      </w:r>
      <w:r w:rsidR="000B1143">
        <w:rPr>
          <w:rFonts w:cstheme="minorHAnsi"/>
          <w:sz w:val="21"/>
          <w:szCs w:val="21"/>
        </w:rPr>
        <w:t xml:space="preserve">ervice </w:t>
      </w:r>
      <w:r w:rsidR="00B64158">
        <w:rPr>
          <w:rFonts w:cstheme="minorHAnsi"/>
          <w:sz w:val="21"/>
          <w:szCs w:val="21"/>
        </w:rPr>
        <w:t>f</w:t>
      </w:r>
      <w:r w:rsidR="000B1143">
        <w:rPr>
          <w:rFonts w:cstheme="minorHAnsi"/>
          <w:sz w:val="21"/>
          <w:szCs w:val="21"/>
        </w:rPr>
        <w:t>ee (</w:t>
      </w:r>
      <w:r>
        <w:rPr>
          <w:rFonts w:cstheme="minorHAnsi"/>
          <w:sz w:val="21"/>
          <w:szCs w:val="21"/>
        </w:rPr>
        <w:t>MSF</w:t>
      </w:r>
      <w:r w:rsidR="000B1143">
        <w:rPr>
          <w:rFonts w:cstheme="minorHAnsi"/>
          <w:sz w:val="21"/>
          <w:szCs w:val="21"/>
        </w:rPr>
        <w:t>)</w:t>
      </w:r>
      <w:r w:rsidR="008B5264">
        <w:rPr>
          <w:rFonts w:cstheme="minorHAnsi"/>
          <w:sz w:val="21"/>
          <w:szCs w:val="21"/>
        </w:rPr>
        <w:t xml:space="preserve">, much lower than </w:t>
      </w:r>
      <w:r w:rsidR="00411906">
        <w:rPr>
          <w:rFonts w:cstheme="minorHAnsi"/>
          <w:sz w:val="21"/>
          <w:szCs w:val="21"/>
        </w:rPr>
        <w:t>our</w:t>
      </w:r>
      <w:r w:rsidR="004F2698">
        <w:rPr>
          <w:rFonts w:cstheme="minorHAnsi"/>
          <w:sz w:val="21"/>
          <w:szCs w:val="21"/>
        </w:rPr>
        <w:t xml:space="preserve"> current </w:t>
      </w:r>
      <w:r w:rsidR="007E1B13">
        <w:rPr>
          <w:rFonts w:cstheme="minorHAnsi"/>
          <w:sz w:val="21"/>
          <w:szCs w:val="21"/>
        </w:rPr>
        <w:t>market-leading offer</w:t>
      </w:r>
    </w:p>
    <w:p w14:paraId="2C0B0E11" w14:textId="77777777" w:rsidR="000237CF" w:rsidRPr="006061FB" w:rsidRDefault="000237CF" w:rsidP="000237CF">
      <w:pPr>
        <w:pStyle w:val="ListParagraph"/>
        <w:numPr>
          <w:ilvl w:val="0"/>
          <w:numId w:val="26"/>
        </w:numPr>
        <w:spacing w:after="160"/>
        <w:contextualSpacing w:val="0"/>
        <w:rPr>
          <w:rFonts w:cstheme="minorHAnsi"/>
          <w:sz w:val="21"/>
          <w:szCs w:val="21"/>
        </w:rPr>
      </w:pPr>
      <w:r w:rsidRPr="006061FB">
        <w:rPr>
          <w:rFonts w:cstheme="minorHAnsi"/>
          <w:sz w:val="21"/>
          <w:szCs w:val="21"/>
        </w:rPr>
        <w:t>Accepts all</w:t>
      </w:r>
      <w:r>
        <w:rPr>
          <w:rFonts w:cstheme="minorHAnsi"/>
          <w:sz w:val="21"/>
          <w:szCs w:val="21"/>
        </w:rPr>
        <w:t xml:space="preserve"> in-store (card present)</w:t>
      </w:r>
      <w:r w:rsidRPr="006061FB">
        <w:rPr>
          <w:rFonts w:cstheme="minorHAnsi"/>
          <w:sz w:val="21"/>
          <w:szCs w:val="21"/>
        </w:rPr>
        <w:t xml:space="preserve"> four-party scheme debit and credit cards </w:t>
      </w:r>
    </w:p>
    <w:p w14:paraId="3F275B6C" w14:textId="45BCCA20" w:rsidR="000237CF" w:rsidRPr="006061FB" w:rsidRDefault="000237CF" w:rsidP="000237CF">
      <w:pPr>
        <w:pStyle w:val="ListParagraph"/>
        <w:numPr>
          <w:ilvl w:val="0"/>
          <w:numId w:val="26"/>
        </w:numPr>
        <w:spacing w:after="160"/>
        <w:contextualSpacing w:val="0"/>
        <w:rPr>
          <w:rFonts w:cstheme="minorHAnsi"/>
          <w:sz w:val="21"/>
          <w:szCs w:val="21"/>
        </w:rPr>
      </w:pPr>
      <w:r w:rsidRPr="006061FB">
        <w:rPr>
          <w:rFonts w:cstheme="minorHAnsi"/>
          <w:sz w:val="21"/>
          <w:szCs w:val="21"/>
        </w:rPr>
        <w:t xml:space="preserve">Includes </w:t>
      </w:r>
      <w:r w:rsidR="00305564">
        <w:rPr>
          <w:rFonts w:cstheme="minorHAnsi"/>
          <w:sz w:val="21"/>
          <w:szCs w:val="21"/>
        </w:rPr>
        <w:t>point of sale (</w:t>
      </w:r>
      <w:r w:rsidRPr="006061FB">
        <w:rPr>
          <w:rFonts w:cstheme="minorHAnsi"/>
          <w:sz w:val="21"/>
          <w:szCs w:val="21"/>
        </w:rPr>
        <w:t>POS</w:t>
      </w:r>
      <w:r w:rsidR="00305564">
        <w:rPr>
          <w:rFonts w:cstheme="minorHAnsi"/>
          <w:sz w:val="21"/>
          <w:szCs w:val="21"/>
        </w:rPr>
        <w:t>)</w:t>
      </w:r>
      <w:r w:rsidRPr="006061FB">
        <w:rPr>
          <w:rFonts w:cstheme="minorHAnsi"/>
          <w:sz w:val="21"/>
          <w:szCs w:val="21"/>
        </w:rPr>
        <w:t xml:space="preserve"> software</w:t>
      </w:r>
    </w:p>
    <w:p w14:paraId="63EB0F61" w14:textId="77777777" w:rsidR="000237CF" w:rsidRPr="00A02B3B" w:rsidRDefault="000237CF" w:rsidP="000237CF">
      <w:pPr>
        <w:pStyle w:val="ListParagraph"/>
        <w:numPr>
          <w:ilvl w:val="0"/>
          <w:numId w:val="26"/>
        </w:numPr>
        <w:spacing w:after="160"/>
        <w:contextualSpacing w:val="0"/>
        <w:rPr>
          <w:rFonts w:cstheme="minorHAnsi"/>
          <w:sz w:val="21"/>
          <w:szCs w:val="21"/>
        </w:rPr>
      </w:pPr>
      <w:r w:rsidRPr="006061FB">
        <w:rPr>
          <w:rFonts w:cstheme="minorHAnsi"/>
          <w:sz w:val="21"/>
          <w:szCs w:val="21"/>
        </w:rPr>
        <w:t xml:space="preserve">Bring Your Own terminal </w:t>
      </w:r>
    </w:p>
    <w:p w14:paraId="717EF1D5" w14:textId="5420037D" w:rsidR="00E47A33" w:rsidRPr="00C04CE2" w:rsidRDefault="00E47A33" w:rsidP="00E47A33">
      <w:pPr>
        <w:rPr>
          <w:rFonts w:cstheme="minorHAnsi"/>
          <w:sz w:val="21"/>
          <w:szCs w:val="21"/>
          <w:lang w:val="en-GB"/>
        </w:rPr>
      </w:pPr>
      <w:r w:rsidRPr="00C04CE2">
        <w:rPr>
          <w:rFonts w:cstheme="minorHAnsi"/>
          <w:sz w:val="21"/>
          <w:szCs w:val="21"/>
        </w:rPr>
        <w:t>This proposal will be possible if interchange benchmarks are retained a</w:t>
      </w:r>
      <w:r w:rsidR="00E526C1">
        <w:rPr>
          <w:rFonts w:cstheme="minorHAnsi"/>
          <w:sz w:val="21"/>
          <w:szCs w:val="21"/>
        </w:rPr>
        <w:t>s</w:t>
      </w:r>
      <w:r w:rsidRPr="00C04CE2">
        <w:rPr>
          <w:rFonts w:cstheme="minorHAnsi"/>
          <w:sz w:val="21"/>
          <w:szCs w:val="21"/>
        </w:rPr>
        <w:t xml:space="preserve"> </w:t>
      </w:r>
      <w:r w:rsidR="00E526C1">
        <w:rPr>
          <w:rFonts w:cstheme="minorHAnsi"/>
          <w:sz w:val="21"/>
          <w:szCs w:val="21"/>
        </w:rPr>
        <w:t>proposed</w:t>
      </w:r>
      <w:r>
        <w:rPr>
          <w:rFonts w:cstheme="minorHAnsi"/>
          <w:sz w:val="21"/>
          <w:szCs w:val="21"/>
        </w:rPr>
        <w:t xml:space="preserve"> and</w:t>
      </w:r>
      <w:r w:rsidRPr="00C04CE2">
        <w:rPr>
          <w:rFonts w:cstheme="minorHAnsi"/>
          <w:sz w:val="21"/>
          <w:szCs w:val="21"/>
        </w:rPr>
        <w:t xml:space="preserve"> the disparity between small and large business interchange is reduced.</w:t>
      </w:r>
    </w:p>
    <w:p w14:paraId="09A3555D" w14:textId="77777777" w:rsidR="00AD14E2" w:rsidRPr="00942B13" w:rsidRDefault="00AD14E2" w:rsidP="003A4BB4">
      <w:pPr>
        <w:keepNext/>
        <w:rPr>
          <w:rFonts w:cstheme="minorHAnsi"/>
          <w:sz w:val="21"/>
          <w:szCs w:val="21"/>
        </w:rPr>
      </w:pPr>
    </w:p>
    <w:p w14:paraId="1891C500" w14:textId="77777777" w:rsidR="003A4BB4" w:rsidRDefault="003A4BB4" w:rsidP="003A4BB4">
      <w:pPr>
        <w:rPr>
          <w:rFonts w:cstheme="minorHAnsi"/>
          <w:b/>
          <w:bCs/>
          <w:sz w:val="21"/>
          <w:szCs w:val="21"/>
        </w:rPr>
      </w:pPr>
      <w:r w:rsidRPr="004C0559">
        <w:rPr>
          <w:rFonts w:cstheme="minorHAnsi"/>
          <w:b/>
          <w:bCs/>
          <w:sz w:val="21"/>
          <w:szCs w:val="21"/>
        </w:rPr>
        <w:t xml:space="preserve">Give businesses transparency and a marketplace to find a better deal </w:t>
      </w:r>
    </w:p>
    <w:p w14:paraId="2B3F5B68" w14:textId="03D47CA6" w:rsidR="003A4BB4" w:rsidRDefault="003A4BB4" w:rsidP="003A4BB4">
      <w:pPr>
        <w:rPr>
          <w:rFonts w:cstheme="minorHAnsi"/>
          <w:sz w:val="21"/>
          <w:szCs w:val="21"/>
        </w:rPr>
      </w:pPr>
      <w:r>
        <w:rPr>
          <w:rFonts w:cstheme="minorHAnsi"/>
          <w:sz w:val="21"/>
          <w:szCs w:val="21"/>
        </w:rPr>
        <w:t xml:space="preserve">We agree with the RBA that </w:t>
      </w:r>
      <w:r w:rsidR="00805F1E" w:rsidRPr="00497186">
        <w:rPr>
          <w:rFonts w:cstheme="minorHAnsi"/>
          <w:i/>
          <w:sz w:val="21"/>
          <w:szCs w:val="21"/>
        </w:rPr>
        <w:t>“</w:t>
      </w:r>
      <w:r w:rsidR="00805F1E">
        <w:rPr>
          <w:rFonts w:cstheme="minorHAnsi"/>
          <w:i/>
          <w:iCs/>
          <w:sz w:val="21"/>
          <w:szCs w:val="21"/>
        </w:rPr>
        <w:t>…</w:t>
      </w:r>
      <w:r w:rsidR="00805F1E" w:rsidRPr="00497186">
        <w:rPr>
          <w:rFonts w:cstheme="minorHAnsi"/>
          <w:i/>
          <w:sz w:val="21"/>
          <w:szCs w:val="21"/>
        </w:rPr>
        <w:t>greater transparency of acquirer’s pricing could</w:t>
      </w:r>
      <w:r w:rsidR="006D5E74">
        <w:rPr>
          <w:rFonts w:cstheme="minorHAnsi"/>
          <w:i/>
          <w:iCs/>
          <w:sz w:val="21"/>
          <w:szCs w:val="21"/>
        </w:rPr>
        <w:t>…</w:t>
      </w:r>
      <w:r w:rsidR="00805F1E" w:rsidRPr="00497186">
        <w:rPr>
          <w:rFonts w:cstheme="minorHAnsi"/>
          <w:i/>
          <w:sz w:val="21"/>
          <w:szCs w:val="21"/>
        </w:rPr>
        <w:t>support competition between acquirers, including by empowering merchants to seek a better deal</w:t>
      </w:r>
      <w:r w:rsidR="00B85E0E">
        <w:rPr>
          <w:rFonts w:cstheme="minorHAnsi"/>
          <w:i/>
          <w:iCs/>
          <w:sz w:val="21"/>
          <w:szCs w:val="21"/>
        </w:rPr>
        <w:t>.</w:t>
      </w:r>
      <w:r w:rsidR="00805F1E" w:rsidRPr="00497186">
        <w:rPr>
          <w:rFonts w:cstheme="minorHAnsi"/>
          <w:i/>
          <w:sz w:val="21"/>
          <w:szCs w:val="21"/>
        </w:rPr>
        <w:t>”</w:t>
      </w:r>
      <w:r>
        <w:rPr>
          <w:rFonts w:cstheme="minorHAnsi"/>
          <w:sz w:val="21"/>
          <w:szCs w:val="21"/>
        </w:rPr>
        <w:t xml:space="preserve"> </w:t>
      </w:r>
      <w:r w:rsidR="0076165E">
        <w:rPr>
          <w:rFonts w:cstheme="minorHAnsi"/>
          <w:sz w:val="21"/>
          <w:szCs w:val="21"/>
        </w:rPr>
        <w:t>We have prepared a prototype</w:t>
      </w:r>
      <w:r w:rsidR="004321B8">
        <w:rPr>
          <w:rFonts w:cstheme="minorHAnsi"/>
          <w:sz w:val="21"/>
          <w:szCs w:val="21"/>
        </w:rPr>
        <w:t xml:space="preserve"> disclosure</w:t>
      </w:r>
      <w:r w:rsidR="0076165E">
        <w:rPr>
          <w:rFonts w:cstheme="minorHAnsi"/>
          <w:sz w:val="21"/>
          <w:szCs w:val="21"/>
        </w:rPr>
        <w:t xml:space="preserve"> in this submission and are committed to working with the banking and small business industry groups to align to a standard set of disclosures to support merchant transparency.</w:t>
      </w:r>
      <w:r w:rsidR="0093793B">
        <w:rPr>
          <w:rStyle w:val="FootnoteReference"/>
          <w:rFonts w:cstheme="minorHAnsi"/>
          <w:sz w:val="21"/>
          <w:szCs w:val="21"/>
        </w:rPr>
        <w:footnoteReference w:id="38"/>
      </w:r>
    </w:p>
    <w:p w14:paraId="4B8D31E9" w14:textId="6E2A56E3" w:rsidR="00083D08" w:rsidRDefault="003A4BB4" w:rsidP="003A4BB4">
      <w:pPr>
        <w:rPr>
          <w:rFonts w:cstheme="minorHAnsi"/>
          <w:sz w:val="21"/>
          <w:szCs w:val="21"/>
        </w:rPr>
      </w:pPr>
      <w:r>
        <w:rPr>
          <w:rFonts w:cstheme="minorHAnsi"/>
          <w:sz w:val="21"/>
          <w:szCs w:val="21"/>
        </w:rPr>
        <w:t xml:space="preserve">COSBOA has </w:t>
      </w:r>
      <w:r w:rsidR="00F4424B">
        <w:rPr>
          <w:rFonts w:cstheme="minorHAnsi"/>
          <w:sz w:val="21"/>
          <w:szCs w:val="21"/>
        </w:rPr>
        <w:t>highlighted</w:t>
      </w:r>
      <w:r>
        <w:rPr>
          <w:rFonts w:cstheme="minorHAnsi"/>
          <w:sz w:val="21"/>
          <w:szCs w:val="21"/>
        </w:rPr>
        <w:t xml:space="preserve"> the complexity </w:t>
      </w:r>
      <w:r w:rsidR="00F4424B">
        <w:rPr>
          <w:rFonts w:cstheme="minorHAnsi"/>
          <w:sz w:val="21"/>
          <w:szCs w:val="21"/>
        </w:rPr>
        <w:t xml:space="preserve">faced </w:t>
      </w:r>
      <w:r w:rsidR="008A7032">
        <w:rPr>
          <w:rFonts w:cstheme="minorHAnsi"/>
          <w:sz w:val="21"/>
          <w:szCs w:val="21"/>
        </w:rPr>
        <w:t>by</w:t>
      </w:r>
      <w:r>
        <w:rPr>
          <w:rFonts w:cstheme="minorHAnsi"/>
          <w:sz w:val="21"/>
          <w:szCs w:val="21"/>
        </w:rPr>
        <w:t xml:space="preserve"> small business</w:t>
      </w:r>
      <w:r w:rsidR="008A7032">
        <w:rPr>
          <w:rFonts w:cstheme="minorHAnsi"/>
          <w:sz w:val="21"/>
          <w:szCs w:val="21"/>
        </w:rPr>
        <w:t>es</w:t>
      </w:r>
      <w:r>
        <w:rPr>
          <w:rFonts w:cstheme="minorHAnsi"/>
          <w:sz w:val="21"/>
          <w:szCs w:val="21"/>
        </w:rPr>
        <w:t xml:space="preserve"> in knowing which provider or product to choose</w:t>
      </w:r>
      <w:r w:rsidR="006D06FF">
        <w:rPr>
          <w:rFonts w:cstheme="minorHAnsi"/>
          <w:sz w:val="21"/>
          <w:szCs w:val="21"/>
        </w:rPr>
        <w:t>.</w:t>
      </w:r>
      <w:r w:rsidR="00225C64">
        <w:rPr>
          <w:rFonts w:cstheme="minorHAnsi"/>
          <w:sz w:val="21"/>
          <w:szCs w:val="21"/>
        </w:rPr>
        <w:t xml:space="preserve"> </w:t>
      </w:r>
      <w:r w:rsidR="006D06FF">
        <w:rPr>
          <w:rFonts w:cstheme="minorHAnsi"/>
          <w:sz w:val="21"/>
          <w:szCs w:val="21"/>
        </w:rPr>
        <w:t xml:space="preserve">They have advised that </w:t>
      </w:r>
      <w:r>
        <w:rPr>
          <w:rFonts w:cstheme="minorHAnsi"/>
          <w:sz w:val="21"/>
          <w:szCs w:val="21"/>
        </w:rPr>
        <w:t xml:space="preserve">a marketplace for card acceptance solutions </w:t>
      </w:r>
      <w:r w:rsidR="006D06FF">
        <w:rPr>
          <w:rFonts w:cstheme="minorHAnsi"/>
          <w:sz w:val="21"/>
          <w:szCs w:val="21"/>
        </w:rPr>
        <w:t xml:space="preserve">would </w:t>
      </w:r>
      <w:r w:rsidR="000370A1">
        <w:rPr>
          <w:rFonts w:cstheme="minorHAnsi"/>
          <w:sz w:val="21"/>
          <w:szCs w:val="21"/>
        </w:rPr>
        <w:t>help</w:t>
      </w:r>
      <w:r>
        <w:rPr>
          <w:rFonts w:cstheme="minorHAnsi"/>
          <w:sz w:val="21"/>
          <w:szCs w:val="21"/>
        </w:rPr>
        <w:t xml:space="preserve"> small businesses</w:t>
      </w:r>
      <w:r w:rsidR="000F7CA2">
        <w:rPr>
          <w:rFonts w:cstheme="minorHAnsi"/>
          <w:sz w:val="21"/>
          <w:szCs w:val="21"/>
        </w:rPr>
        <w:t xml:space="preserve"> compare pric</w:t>
      </w:r>
      <w:r w:rsidR="00A875FD">
        <w:rPr>
          <w:rFonts w:cstheme="minorHAnsi"/>
          <w:sz w:val="21"/>
          <w:szCs w:val="21"/>
        </w:rPr>
        <w:t>ing across providers</w:t>
      </w:r>
      <w:r>
        <w:rPr>
          <w:rFonts w:cstheme="minorHAnsi"/>
          <w:sz w:val="21"/>
          <w:szCs w:val="21"/>
        </w:rPr>
        <w:t>.</w:t>
      </w:r>
      <w:r w:rsidR="007E570C">
        <w:rPr>
          <w:rFonts w:cstheme="minorHAnsi"/>
          <w:sz w:val="21"/>
          <w:szCs w:val="21"/>
        </w:rPr>
        <w:t xml:space="preserve"> The data</w:t>
      </w:r>
      <w:r w:rsidR="00225C64">
        <w:rPr>
          <w:rFonts w:cstheme="minorHAnsi"/>
          <w:sz w:val="21"/>
          <w:szCs w:val="21"/>
        </w:rPr>
        <w:t xml:space="preserve"> </w:t>
      </w:r>
      <w:r w:rsidR="001A587E">
        <w:rPr>
          <w:rFonts w:cstheme="minorHAnsi"/>
          <w:sz w:val="21"/>
          <w:szCs w:val="21"/>
        </w:rPr>
        <w:t>gathering</w:t>
      </w:r>
      <w:r w:rsidR="00040CEE">
        <w:rPr>
          <w:rFonts w:cstheme="minorHAnsi"/>
          <w:sz w:val="21"/>
          <w:szCs w:val="21"/>
        </w:rPr>
        <w:t xml:space="preserve"> and standardisation</w:t>
      </w:r>
      <w:r w:rsidR="001A587E">
        <w:rPr>
          <w:rFonts w:cstheme="minorHAnsi"/>
          <w:sz w:val="21"/>
          <w:szCs w:val="21"/>
        </w:rPr>
        <w:t xml:space="preserve"> required for such a marketplace could be supported by an RBA standard or </w:t>
      </w:r>
      <w:r w:rsidR="006556E6">
        <w:rPr>
          <w:rFonts w:cstheme="minorHAnsi"/>
          <w:sz w:val="21"/>
          <w:szCs w:val="21"/>
        </w:rPr>
        <w:t xml:space="preserve">the Government could designate </w:t>
      </w:r>
      <w:r w:rsidR="001A587E">
        <w:rPr>
          <w:rFonts w:cstheme="minorHAnsi"/>
          <w:sz w:val="21"/>
          <w:szCs w:val="21"/>
        </w:rPr>
        <w:t xml:space="preserve">merchant services </w:t>
      </w:r>
      <w:r w:rsidR="00DF2633">
        <w:rPr>
          <w:rFonts w:cstheme="minorHAnsi"/>
          <w:sz w:val="21"/>
          <w:szCs w:val="21"/>
        </w:rPr>
        <w:t>under the</w:t>
      </w:r>
      <w:r w:rsidR="001A587E">
        <w:rPr>
          <w:rFonts w:cstheme="minorHAnsi"/>
          <w:sz w:val="21"/>
          <w:szCs w:val="21"/>
        </w:rPr>
        <w:t xml:space="preserve"> </w:t>
      </w:r>
      <w:r w:rsidR="002A6246">
        <w:rPr>
          <w:rFonts w:cstheme="minorHAnsi"/>
          <w:sz w:val="21"/>
          <w:szCs w:val="21"/>
        </w:rPr>
        <w:t>Consumer</w:t>
      </w:r>
      <w:r w:rsidR="001A587E">
        <w:rPr>
          <w:rFonts w:cstheme="minorHAnsi"/>
          <w:sz w:val="21"/>
          <w:szCs w:val="21"/>
        </w:rPr>
        <w:t xml:space="preserve"> Data Right</w:t>
      </w:r>
      <w:r w:rsidR="00DF2633">
        <w:rPr>
          <w:rFonts w:cstheme="minorHAnsi"/>
          <w:sz w:val="21"/>
          <w:szCs w:val="21"/>
        </w:rPr>
        <w:t xml:space="preserve"> (CDR</w:t>
      </w:r>
      <w:r w:rsidR="00684D9C">
        <w:rPr>
          <w:rFonts w:cstheme="minorHAnsi"/>
          <w:sz w:val="21"/>
          <w:szCs w:val="21"/>
        </w:rPr>
        <w:t>) regime</w:t>
      </w:r>
      <w:r w:rsidR="001A587E">
        <w:rPr>
          <w:rFonts w:cstheme="minorHAnsi"/>
          <w:sz w:val="21"/>
          <w:szCs w:val="21"/>
        </w:rPr>
        <w:t>.</w:t>
      </w:r>
      <w:r w:rsidR="0093793B">
        <w:rPr>
          <w:rStyle w:val="FootnoteReference"/>
          <w:rFonts w:cstheme="minorHAnsi"/>
          <w:sz w:val="21"/>
          <w:szCs w:val="21"/>
        </w:rPr>
        <w:footnoteReference w:id="39"/>
      </w:r>
    </w:p>
    <w:p w14:paraId="31E5DB54" w14:textId="77777777" w:rsidR="0009712C" w:rsidRDefault="00A91652" w:rsidP="003A4BB4">
      <w:pPr>
        <w:rPr>
          <w:rFonts w:cstheme="minorHAnsi"/>
          <w:sz w:val="21"/>
          <w:szCs w:val="21"/>
        </w:rPr>
      </w:pPr>
      <w:r>
        <w:rPr>
          <w:rFonts w:cstheme="minorHAnsi"/>
          <w:sz w:val="21"/>
          <w:szCs w:val="21"/>
        </w:rPr>
        <w:t>The Commonwealth Bank</w:t>
      </w:r>
      <w:r w:rsidR="003A4BB4">
        <w:rPr>
          <w:rFonts w:cstheme="minorHAnsi"/>
          <w:sz w:val="21"/>
          <w:szCs w:val="21"/>
        </w:rPr>
        <w:t xml:space="preserve"> would be willing to </w:t>
      </w:r>
      <w:r w:rsidR="00E8263E">
        <w:rPr>
          <w:rFonts w:cstheme="minorHAnsi"/>
          <w:sz w:val="21"/>
          <w:szCs w:val="21"/>
        </w:rPr>
        <w:t>help</w:t>
      </w:r>
      <w:r>
        <w:rPr>
          <w:rFonts w:cstheme="minorHAnsi"/>
          <w:sz w:val="21"/>
          <w:szCs w:val="21"/>
        </w:rPr>
        <w:t xml:space="preserve"> </w:t>
      </w:r>
      <w:r w:rsidR="00AB07A7">
        <w:rPr>
          <w:rFonts w:cstheme="minorHAnsi"/>
          <w:sz w:val="21"/>
          <w:szCs w:val="21"/>
        </w:rPr>
        <w:t>fund</w:t>
      </w:r>
      <w:r w:rsidR="003A4BB4">
        <w:rPr>
          <w:rFonts w:cstheme="minorHAnsi"/>
          <w:sz w:val="21"/>
          <w:szCs w:val="21"/>
        </w:rPr>
        <w:t xml:space="preserve"> such a solution </w:t>
      </w:r>
      <w:r w:rsidR="00752EE9">
        <w:rPr>
          <w:rFonts w:cstheme="minorHAnsi"/>
          <w:sz w:val="21"/>
          <w:szCs w:val="21"/>
        </w:rPr>
        <w:t>for</w:t>
      </w:r>
      <w:r w:rsidR="005F4294">
        <w:rPr>
          <w:rFonts w:cstheme="minorHAnsi"/>
          <w:sz w:val="21"/>
          <w:szCs w:val="21"/>
        </w:rPr>
        <w:t xml:space="preserve"> </w:t>
      </w:r>
      <w:r w:rsidR="00C90344">
        <w:rPr>
          <w:rFonts w:cstheme="minorHAnsi"/>
          <w:sz w:val="21"/>
          <w:szCs w:val="21"/>
        </w:rPr>
        <w:t xml:space="preserve">the small business industry or </w:t>
      </w:r>
      <w:r w:rsidR="000702C1">
        <w:rPr>
          <w:rFonts w:cstheme="minorHAnsi"/>
          <w:sz w:val="21"/>
          <w:szCs w:val="21"/>
        </w:rPr>
        <w:t xml:space="preserve">Australian Small Business and Family Enterprise Ombudsman to </w:t>
      </w:r>
      <w:r>
        <w:rPr>
          <w:rFonts w:cstheme="minorHAnsi"/>
          <w:sz w:val="21"/>
          <w:szCs w:val="21"/>
        </w:rPr>
        <w:t>operate</w:t>
      </w:r>
      <w:r w:rsidR="003A4BB4">
        <w:rPr>
          <w:rFonts w:cstheme="minorHAnsi"/>
          <w:sz w:val="21"/>
          <w:szCs w:val="21"/>
        </w:rPr>
        <w:t xml:space="preserve">. If others are unwilling to contribute, we would consider funding this in its entirety. </w:t>
      </w:r>
    </w:p>
    <w:p w14:paraId="7FEDA48E" w14:textId="77777777" w:rsidR="00866ABB" w:rsidRDefault="00866ABB" w:rsidP="00F54B14">
      <w:pPr>
        <w:rPr>
          <w:rFonts w:cstheme="minorHAnsi"/>
          <w:sz w:val="21"/>
          <w:szCs w:val="21"/>
        </w:rPr>
      </w:pPr>
    </w:p>
    <w:p w14:paraId="1AA68BF7" w14:textId="08F07854" w:rsidR="00866ABB" w:rsidRDefault="00866ABB" w:rsidP="00F54B14">
      <w:pPr>
        <w:rPr>
          <w:rFonts w:cstheme="minorHAnsi"/>
          <w:b/>
          <w:bCs/>
          <w:sz w:val="21"/>
          <w:szCs w:val="21"/>
        </w:rPr>
      </w:pPr>
      <w:r>
        <w:rPr>
          <w:rFonts w:cstheme="minorHAnsi"/>
          <w:b/>
          <w:bCs/>
          <w:sz w:val="21"/>
          <w:szCs w:val="21"/>
        </w:rPr>
        <w:t xml:space="preserve">Targeting fraud with </w:t>
      </w:r>
      <w:r w:rsidR="00640AD3">
        <w:rPr>
          <w:rFonts w:cstheme="minorHAnsi"/>
          <w:b/>
          <w:bCs/>
          <w:sz w:val="21"/>
          <w:szCs w:val="21"/>
        </w:rPr>
        <w:t xml:space="preserve">Strong </w:t>
      </w:r>
      <w:r w:rsidR="00CD79BF">
        <w:rPr>
          <w:rFonts w:cstheme="minorHAnsi"/>
          <w:b/>
          <w:bCs/>
          <w:sz w:val="21"/>
          <w:szCs w:val="21"/>
        </w:rPr>
        <w:t>Customer Authentication</w:t>
      </w:r>
    </w:p>
    <w:p w14:paraId="5D6D2A0F" w14:textId="514E758D" w:rsidR="00FF3242" w:rsidRDefault="00271C48" w:rsidP="002D1530">
      <w:pPr>
        <w:rPr>
          <w:rFonts w:cstheme="minorHAnsi"/>
          <w:sz w:val="21"/>
          <w:szCs w:val="21"/>
        </w:rPr>
      </w:pPr>
      <w:r w:rsidRPr="00AC1834">
        <w:rPr>
          <w:rFonts w:cstheme="minorHAnsi"/>
          <w:sz w:val="21"/>
          <w:szCs w:val="21"/>
        </w:rPr>
        <w:t>To continue to drive sustainable payment economics, while also reducing total system costs, it is important that policy interventions target the areas that drive cost into our payments system. One such area is fraud</w:t>
      </w:r>
      <w:r w:rsidR="00FF3242">
        <w:rPr>
          <w:rFonts w:cstheme="minorHAnsi"/>
          <w:sz w:val="21"/>
          <w:szCs w:val="21"/>
        </w:rPr>
        <w:t>.</w:t>
      </w:r>
      <w:r w:rsidRPr="00361BEC">
        <w:rPr>
          <w:rFonts w:cstheme="minorHAnsi"/>
          <w:sz w:val="21"/>
          <w:szCs w:val="21"/>
        </w:rPr>
        <w:t xml:space="preserve"> </w:t>
      </w:r>
      <w:proofErr w:type="gramStart"/>
      <w:r w:rsidR="00FF3242">
        <w:rPr>
          <w:rFonts w:cstheme="minorHAnsi"/>
          <w:sz w:val="21"/>
          <w:szCs w:val="21"/>
        </w:rPr>
        <w:t>The</w:t>
      </w:r>
      <w:r w:rsidRPr="00AC1834">
        <w:rPr>
          <w:rFonts w:cstheme="minorHAnsi"/>
          <w:sz w:val="21"/>
          <w:szCs w:val="21"/>
        </w:rPr>
        <w:t xml:space="preserve"> vast majority of</w:t>
      </w:r>
      <w:proofErr w:type="gramEnd"/>
      <w:r w:rsidRPr="00AC1834">
        <w:rPr>
          <w:rFonts w:cstheme="minorHAnsi"/>
          <w:sz w:val="21"/>
          <w:szCs w:val="21"/>
        </w:rPr>
        <w:t xml:space="preserve"> the fraud losses are concentrated in </w:t>
      </w:r>
      <w:r w:rsidR="00A32E9A">
        <w:rPr>
          <w:rFonts w:cstheme="minorHAnsi"/>
          <w:sz w:val="21"/>
          <w:szCs w:val="21"/>
        </w:rPr>
        <w:t>online (</w:t>
      </w:r>
      <w:r w:rsidRPr="00AC1834">
        <w:rPr>
          <w:rFonts w:cstheme="minorHAnsi"/>
          <w:sz w:val="21"/>
          <w:szCs w:val="21"/>
        </w:rPr>
        <w:t>card not present</w:t>
      </w:r>
      <w:r w:rsidR="006253F1">
        <w:rPr>
          <w:rFonts w:cstheme="minorHAnsi"/>
          <w:sz w:val="21"/>
          <w:szCs w:val="21"/>
        </w:rPr>
        <w:t xml:space="preserve">) </w:t>
      </w:r>
      <w:r w:rsidRPr="00AC1834">
        <w:rPr>
          <w:rFonts w:cstheme="minorHAnsi"/>
          <w:sz w:val="21"/>
          <w:szCs w:val="21"/>
        </w:rPr>
        <w:t xml:space="preserve">transactions. </w:t>
      </w:r>
    </w:p>
    <w:p w14:paraId="03122D9A" w14:textId="411E3889" w:rsidR="00F17A44" w:rsidRDefault="004E4F2E" w:rsidP="002D1530">
      <w:pPr>
        <w:rPr>
          <w:rFonts w:cstheme="minorHAnsi"/>
          <w:sz w:val="21"/>
          <w:szCs w:val="21"/>
        </w:rPr>
      </w:pPr>
      <w:r w:rsidRPr="00870362">
        <w:rPr>
          <w:rFonts w:cstheme="minorHAnsi"/>
          <w:sz w:val="21"/>
          <w:szCs w:val="21"/>
        </w:rPr>
        <w:t xml:space="preserve">Strong Customer Authentication (SCA) is an additional level of authentication designed to make electronic payments safer. </w:t>
      </w:r>
      <w:r w:rsidR="00271C48" w:rsidRPr="00CD79BF">
        <w:rPr>
          <w:rFonts w:cstheme="minorHAnsi"/>
          <w:sz w:val="21"/>
          <w:szCs w:val="21"/>
        </w:rPr>
        <w:t xml:space="preserve">Europe </w:t>
      </w:r>
      <w:r w:rsidR="00A92F33">
        <w:rPr>
          <w:rFonts w:cstheme="minorHAnsi"/>
          <w:sz w:val="21"/>
          <w:szCs w:val="21"/>
        </w:rPr>
        <w:t>mandated</w:t>
      </w:r>
      <w:r w:rsidR="00271C48" w:rsidRPr="00CD79BF">
        <w:rPr>
          <w:rFonts w:cstheme="minorHAnsi"/>
          <w:sz w:val="21"/>
          <w:szCs w:val="21"/>
        </w:rPr>
        <w:t xml:space="preserve"> </w:t>
      </w:r>
      <w:r>
        <w:rPr>
          <w:rFonts w:cstheme="minorHAnsi"/>
          <w:sz w:val="21"/>
          <w:szCs w:val="21"/>
        </w:rPr>
        <w:t>SCA</w:t>
      </w:r>
      <w:r w:rsidR="00271C48" w:rsidRPr="00CD79BF">
        <w:rPr>
          <w:rFonts w:cstheme="minorHAnsi"/>
          <w:sz w:val="21"/>
          <w:szCs w:val="21"/>
        </w:rPr>
        <w:t xml:space="preserve"> standards alongside interchange interventions, with enforcement live since 2021. Australia has not progressed on whole-of-market fraud requirements since the application to the ACCC to mandate 3DS failed in 2016. </w:t>
      </w:r>
      <w:r w:rsidR="00B55500">
        <w:rPr>
          <w:rFonts w:cstheme="minorHAnsi"/>
          <w:sz w:val="21"/>
          <w:szCs w:val="21"/>
        </w:rPr>
        <w:t xml:space="preserve">In Australia SCA is </w:t>
      </w:r>
      <w:r w:rsidR="00D27663">
        <w:rPr>
          <w:rFonts w:cstheme="minorHAnsi"/>
          <w:sz w:val="21"/>
          <w:szCs w:val="21"/>
        </w:rPr>
        <w:t>voluntary</w:t>
      </w:r>
      <w:r w:rsidR="000E7138">
        <w:rPr>
          <w:rFonts w:cstheme="minorHAnsi"/>
          <w:sz w:val="21"/>
          <w:szCs w:val="21"/>
        </w:rPr>
        <w:t xml:space="preserve">, or subject to industry self-regulation </w:t>
      </w:r>
      <w:r w:rsidR="00AE1B73">
        <w:rPr>
          <w:rFonts w:cstheme="minorHAnsi"/>
          <w:sz w:val="21"/>
          <w:szCs w:val="21"/>
        </w:rPr>
        <w:t>for merchants with high online fraud rates</w:t>
      </w:r>
      <w:r w:rsidR="00561EE6">
        <w:rPr>
          <w:rFonts w:cstheme="minorHAnsi"/>
          <w:sz w:val="21"/>
          <w:szCs w:val="21"/>
        </w:rPr>
        <w:t>.</w:t>
      </w:r>
      <w:r w:rsidR="00105067" w:rsidRPr="002D1530">
        <w:rPr>
          <w:vertAlign w:val="superscript"/>
        </w:rPr>
        <w:footnoteReference w:id="40"/>
      </w:r>
      <w:r w:rsidR="00D27663">
        <w:rPr>
          <w:rFonts w:cstheme="minorHAnsi"/>
          <w:sz w:val="21"/>
          <w:szCs w:val="21"/>
        </w:rPr>
        <w:t xml:space="preserve"> </w:t>
      </w:r>
    </w:p>
    <w:p w14:paraId="4BE0E203" w14:textId="23FB2250" w:rsidR="00B52BA8" w:rsidRPr="008B4554" w:rsidRDefault="00271C48" w:rsidP="00925887">
      <w:pPr>
        <w:rPr>
          <w:rFonts w:cstheme="minorHAnsi"/>
          <w:sz w:val="21"/>
          <w:szCs w:val="21"/>
        </w:rPr>
      </w:pPr>
      <w:r w:rsidRPr="00CD79BF">
        <w:rPr>
          <w:rFonts w:cstheme="minorHAnsi"/>
          <w:sz w:val="21"/>
          <w:szCs w:val="21"/>
        </w:rPr>
        <w:t xml:space="preserve">With enhancements to technology that have lowered implementation costs and customer friction, Commonwealth Bank supports stronger whole-of-market </w:t>
      </w:r>
      <w:r w:rsidR="001818CD">
        <w:rPr>
          <w:rFonts w:cstheme="minorHAnsi"/>
          <w:sz w:val="21"/>
          <w:szCs w:val="21"/>
        </w:rPr>
        <w:t xml:space="preserve">SCA </w:t>
      </w:r>
      <w:r w:rsidRPr="00CD79BF">
        <w:rPr>
          <w:rFonts w:cstheme="minorHAnsi"/>
          <w:sz w:val="21"/>
          <w:szCs w:val="21"/>
        </w:rPr>
        <w:t>standards</w:t>
      </w:r>
      <w:r w:rsidR="0064347D">
        <w:rPr>
          <w:rFonts w:cstheme="minorHAnsi"/>
          <w:sz w:val="21"/>
          <w:szCs w:val="21"/>
        </w:rPr>
        <w:t xml:space="preserve"> for online transactions</w:t>
      </w:r>
      <w:r w:rsidRPr="00CD79BF">
        <w:rPr>
          <w:rFonts w:cstheme="minorHAnsi"/>
          <w:sz w:val="21"/>
          <w:szCs w:val="21"/>
        </w:rPr>
        <w:t xml:space="preserve"> that will reduce fraud in card payments and with it the associated costs of fraud and dispute management by all participants in the ecosystem. </w:t>
      </w:r>
    </w:p>
    <w:p w14:paraId="761ABEFB" w14:textId="77777777" w:rsidR="00AB32D2" w:rsidRDefault="00AB32D2" w:rsidP="003A4BB4">
      <w:pPr>
        <w:rPr>
          <w:rFonts w:cstheme="minorHAnsi"/>
          <w:b/>
          <w:bCs/>
          <w:sz w:val="21"/>
          <w:szCs w:val="21"/>
        </w:rPr>
      </w:pPr>
    </w:p>
    <w:p w14:paraId="77D94E86" w14:textId="6BA77515" w:rsidR="00705A9F" w:rsidRDefault="00705A9F" w:rsidP="003A4BB4">
      <w:pPr>
        <w:rPr>
          <w:rFonts w:cstheme="minorHAnsi"/>
          <w:b/>
          <w:bCs/>
          <w:sz w:val="21"/>
          <w:szCs w:val="21"/>
        </w:rPr>
      </w:pPr>
      <w:r>
        <w:rPr>
          <w:rFonts w:cstheme="minorHAnsi"/>
          <w:b/>
          <w:bCs/>
          <w:sz w:val="21"/>
          <w:szCs w:val="21"/>
        </w:rPr>
        <w:t>Further thoughts on the PSRA</w:t>
      </w:r>
    </w:p>
    <w:p w14:paraId="22B2EF38" w14:textId="7D6F267A" w:rsidR="00E334C4" w:rsidRDefault="005F17D6" w:rsidP="00E334C4">
      <w:pPr>
        <w:rPr>
          <w:rFonts w:cstheme="minorHAnsi"/>
          <w:sz w:val="21"/>
          <w:szCs w:val="21"/>
        </w:rPr>
      </w:pPr>
      <w:r>
        <w:rPr>
          <w:rFonts w:cstheme="minorHAnsi"/>
          <w:sz w:val="21"/>
          <w:szCs w:val="21"/>
        </w:rPr>
        <w:t xml:space="preserve">The Commonwealth Bank welcomes </w:t>
      </w:r>
      <w:r w:rsidR="001826DF">
        <w:rPr>
          <w:rFonts w:cstheme="minorHAnsi"/>
          <w:sz w:val="21"/>
          <w:szCs w:val="21"/>
        </w:rPr>
        <w:t>Parliament</w:t>
      </w:r>
      <w:r>
        <w:rPr>
          <w:rFonts w:cstheme="minorHAnsi"/>
          <w:sz w:val="21"/>
          <w:szCs w:val="21"/>
        </w:rPr>
        <w:t xml:space="preserve">’s recent decision to pass the PSRA into law. </w:t>
      </w:r>
    </w:p>
    <w:p w14:paraId="6E52FC54" w14:textId="77777777" w:rsidR="00E334C4" w:rsidRDefault="00E334C4" w:rsidP="00E334C4">
      <w:pPr>
        <w:rPr>
          <w:rFonts w:cstheme="minorHAnsi"/>
          <w:sz w:val="21"/>
          <w:szCs w:val="21"/>
        </w:rPr>
      </w:pPr>
      <w:r>
        <w:rPr>
          <w:rFonts w:cstheme="minorHAnsi"/>
          <w:sz w:val="21"/>
          <w:szCs w:val="21"/>
        </w:rPr>
        <w:t xml:space="preserve">To be effective, the RBA’s powers must be applied across the value chain. The RBA now has the remit to address the potential risks to efficiency and competition in relation to three party schemes, BNPL and digital wallets that the RBA has previously identified. </w:t>
      </w:r>
    </w:p>
    <w:p w14:paraId="469A87D8" w14:textId="51E3A436" w:rsidR="00705A9F" w:rsidRPr="007B0810" w:rsidRDefault="00705A9F" w:rsidP="00705A9F">
      <w:pPr>
        <w:rPr>
          <w:rFonts w:cstheme="minorHAnsi"/>
          <w:sz w:val="21"/>
          <w:szCs w:val="21"/>
        </w:rPr>
      </w:pPr>
      <w:r w:rsidRPr="007B0810">
        <w:rPr>
          <w:rFonts w:cstheme="minorHAnsi"/>
          <w:sz w:val="21"/>
          <w:szCs w:val="21"/>
        </w:rPr>
        <w:t xml:space="preserve">The </w:t>
      </w:r>
      <w:r w:rsidR="00A272CA">
        <w:rPr>
          <w:rFonts w:cstheme="minorHAnsi"/>
          <w:sz w:val="21"/>
          <w:szCs w:val="21"/>
        </w:rPr>
        <w:t>Consultation paper notes that the</w:t>
      </w:r>
      <w:r w:rsidRPr="007B0810">
        <w:rPr>
          <w:rFonts w:cstheme="minorHAnsi"/>
          <w:sz w:val="21"/>
          <w:szCs w:val="21"/>
        </w:rPr>
        <w:t xml:space="preserve"> reforms to the PSRA would bring three-party networks clearly within the regulatory perimeter</w:t>
      </w:r>
      <w:r w:rsidR="00101E95">
        <w:rPr>
          <w:rFonts w:cstheme="minorHAnsi"/>
          <w:sz w:val="21"/>
          <w:szCs w:val="21"/>
        </w:rPr>
        <w:t>, stating</w:t>
      </w:r>
      <w:r w:rsidR="00617AD0">
        <w:rPr>
          <w:rFonts w:cstheme="minorHAnsi"/>
          <w:sz w:val="21"/>
          <w:szCs w:val="21"/>
        </w:rPr>
        <w:t xml:space="preserve"> </w:t>
      </w:r>
      <w:r w:rsidRPr="007B0810">
        <w:rPr>
          <w:rFonts w:cstheme="minorHAnsi"/>
          <w:sz w:val="21"/>
          <w:szCs w:val="21"/>
        </w:rPr>
        <w:t>“</w:t>
      </w:r>
      <w:r w:rsidRPr="00B46D15">
        <w:rPr>
          <w:rFonts w:cstheme="minorHAnsi"/>
          <w:i/>
          <w:iCs/>
          <w:sz w:val="21"/>
          <w:szCs w:val="21"/>
        </w:rPr>
        <w:t>This is a significant development, that would enable the RBA to consider taking regulatory action under the PSRA if efficiency or competition issues were to arise involving the three-party networks</w:t>
      </w:r>
      <w:r w:rsidRPr="007B0810">
        <w:rPr>
          <w:rFonts w:cstheme="minorHAnsi"/>
          <w:sz w:val="21"/>
          <w:szCs w:val="21"/>
        </w:rPr>
        <w:t>.</w:t>
      </w:r>
      <w:r w:rsidR="0016315A">
        <w:rPr>
          <w:rStyle w:val="FootnoteReference"/>
          <w:rFonts w:cstheme="minorHAnsi"/>
          <w:sz w:val="21"/>
          <w:szCs w:val="21"/>
        </w:rPr>
        <w:footnoteReference w:id="41"/>
      </w:r>
      <w:r w:rsidRPr="007B0810">
        <w:rPr>
          <w:rFonts w:cstheme="minorHAnsi"/>
          <w:sz w:val="21"/>
          <w:szCs w:val="21"/>
        </w:rPr>
        <w:t>”</w:t>
      </w:r>
    </w:p>
    <w:p w14:paraId="315A37EB" w14:textId="46AA7EDE" w:rsidR="00705A9F" w:rsidRDefault="00675386" w:rsidP="00705A9F">
      <w:pPr>
        <w:rPr>
          <w:rFonts w:cstheme="minorHAnsi"/>
          <w:sz w:val="21"/>
          <w:szCs w:val="21"/>
        </w:rPr>
      </w:pPr>
      <w:r>
        <w:rPr>
          <w:rFonts w:cstheme="minorHAnsi"/>
          <w:sz w:val="21"/>
          <w:szCs w:val="21"/>
        </w:rPr>
        <w:t xml:space="preserve">However, achieving this outcome will require expanded powers under the PSRA to be used to </w:t>
      </w:r>
      <w:r w:rsidR="00CB58E2">
        <w:rPr>
          <w:rFonts w:cstheme="minorHAnsi"/>
          <w:sz w:val="21"/>
          <w:szCs w:val="21"/>
        </w:rPr>
        <w:t>limit the extent of the regulatory arbitrage</w:t>
      </w:r>
      <w:r w:rsidR="00705A9F" w:rsidRPr="007B0810">
        <w:rPr>
          <w:rFonts w:cstheme="minorHAnsi"/>
          <w:sz w:val="21"/>
          <w:szCs w:val="21"/>
        </w:rPr>
        <w:t xml:space="preserve">. </w:t>
      </w:r>
      <w:r w:rsidR="00CB58E2">
        <w:rPr>
          <w:rFonts w:cstheme="minorHAnsi"/>
          <w:sz w:val="21"/>
          <w:szCs w:val="21"/>
        </w:rPr>
        <w:t>T</w:t>
      </w:r>
      <w:r w:rsidR="00705A9F" w:rsidRPr="007B0810">
        <w:rPr>
          <w:rFonts w:cstheme="minorHAnsi"/>
          <w:sz w:val="21"/>
          <w:szCs w:val="21"/>
        </w:rPr>
        <w:t xml:space="preserve">he RBA has not indicated in the Consultation Paper that it has any concerns about </w:t>
      </w:r>
      <w:r w:rsidR="00705A9F" w:rsidRPr="007B0810">
        <w:rPr>
          <w:rFonts w:cstheme="minorHAnsi"/>
          <w:sz w:val="21"/>
          <w:szCs w:val="21"/>
        </w:rPr>
        <w:lastRenderedPageBreak/>
        <w:t xml:space="preserve">efficiency or competition issues involving three-party networks. </w:t>
      </w:r>
      <w:r w:rsidR="005C40E9">
        <w:rPr>
          <w:rFonts w:cstheme="minorHAnsi"/>
          <w:sz w:val="21"/>
          <w:szCs w:val="21"/>
        </w:rPr>
        <w:t xml:space="preserve">The proposed </w:t>
      </w:r>
      <w:r w:rsidR="004E56F2">
        <w:rPr>
          <w:rFonts w:cstheme="minorHAnsi"/>
          <w:sz w:val="21"/>
          <w:szCs w:val="21"/>
        </w:rPr>
        <w:t xml:space="preserve">regulatory </w:t>
      </w:r>
      <w:r w:rsidR="00C71BF8">
        <w:rPr>
          <w:rFonts w:cstheme="minorHAnsi"/>
          <w:sz w:val="21"/>
          <w:szCs w:val="21"/>
        </w:rPr>
        <w:t>pathway</w:t>
      </w:r>
      <w:r w:rsidR="00705A9F" w:rsidRPr="007B0810">
        <w:rPr>
          <w:rFonts w:cstheme="minorHAnsi"/>
          <w:sz w:val="21"/>
          <w:szCs w:val="21"/>
        </w:rPr>
        <w:t xml:space="preserve"> to regulate three-party networks</w:t>
      </w:r>
      <w:r w:rsidR="00862C04">
        <w:rPr>
          <w:rFonts w:cstheme="minorHAnsi"/>
          <w:sz w:val="21"/>
          <w:szCs w:val="21"/>
        </w:rPr>
        <w:t xml:space="preserve"> </w:t>
      </w:r>
      <w:r w:rsidR="00705A9F" w:rsidRPr="007B0810">
        <w:rPr>
          <w:rFonts w:cstheme="minorHAnsi"/>
          <w:sz w:val="21"/>
          <w:szCs w:val="21"/>
        </w:rPr>
        <w:t xml:space="preserve">to deal with </w:t>
      </w:r>
      <w:r w:rsidR="005C40E9">
        <w:rPr>
          <w:rFonts w:cstheme="minorHAnsi"/>
          <w:sz w:val="21"/>
          <w:szCs w:val="21"/>
        </w:rPr>
        <w:t xml:space="preserve">these </w:t>
      </w:r>
      <w:r w:rsidR="00705A9F" w:rsidRPr="007B0810">
        <w:rPr>
          <w:rFonts w:cstheme="minorHAnsi"/>
          <w:sz w:val="21"/>
          <w:szCs w:val="21"/>
        </w:rPr>
        <w:t>concerns</w:t>
      </w:r>
      <w:r w:rsidR="005C40E9">
        <w:rPr>
          <w:rFonts w:cstheme="minorHAnsi"/>
          <w:sz w:val="21"/>
          <w:szCs w:val="21"/>
        </w:rPr>
        <w:t xml:space="preserve"> is also unclear</w:t>
      </w:r>
      <w:r w:rsidR="00705A9F" w:rsidRPr="007B0810">
        <w:rPr>
          <w:rFonts w:cstheme="minorHAnsi"/>
          <w:sz w:val="21"/>
          <w:szCs w:val="21"/>
        </w:rPr>
        <w:t xml:space="preserve">. </w:t>
      </w:r>
    </w:p>
    <w:p w14:paraId="36E5340C" w14:textId="66491035" w:rsidR="00936F1A" w:rsidRPr="007B0810" w:rsidRDefault="00936F1A" w:rsidP="00705A9F">
      <w:pPr>
        <w:rPr>
          <w:rFonts w:cstheme="minorHAnsi"/>
          <w:sz w:val="21"/>
          <w:szCs w:val="21"/>
        </w:rPr>
      </w:pPr>
      <w:r>
        <w:rPr>
          <w:rFonts w:cstheme="minorHAnsi"/>
          <w:sz w:val="21"/>
          <w:szCs w:val="21"/>
        </w:rPr>
        <w:t xml:space="preserve">Following commencement of the PSRA the RBA will be empowered to obtain the necessary information to undertake a comprehensive assessment of three-party schemes and consider appropriate intervention. As </w:t>
      </w:r>
      <w:r w:rsidR="00DF3615">
        <w:rPr>
          <w:rFonts w:cstheme="minorHAnsi"/>
          <w:sz w:val="21"/>
          <w:szCs w:val="21"/>
        </w:rPr>
        <w:t>three-party</w:t>
      </w:r>
      <w:r>
        <w:rPr>
          <w:rFonts w:cstheme="minorHAnsi"/>
          <w:sz w:val="21"/>
          <w:szCs w:val="21"/>
        </w:rPr>
        <w:t xml:space="preserve"> schemes are already within the scope of this Review, a separate consultation under the amended PSRA should not be required.  </w:t>
      </w:r>
    </w:p>
    <w:p w14:paraId="6D201307" w14:textId="251F93B2" w:rsidR="00705A9F" w:rsidRPr="007B0810" w:rsidRDefault="00705A9F" w:rsidP="00705A9F">
      <w:pPr>
        <w:rPr>
          <w:rFonts w:cstheme="minorHAnsi"/>
          <w:sz w:val="21"/>
          <w:szCs w:val="21"/>
        </w:rPr>
      </w:pPr>
      <w:r w:rsidRPr="007B0810">
        <w:rPr>
          <w:rFonts w:cstheme="minorHAnsi"/>
          <w:sz w:val="21"/>
          <w:szCs w:val="21"/>
        </w:rPr>
        <w:t xml:space="preserve">CBA </w:t>
      </w:r>
      <w:r w:rsidR="001F1092">
        <w:rPr>
          <w:rFonts w:cstheme="minorHAnsi"/>
          <w:sz w:val="21"/>
          <w:szCs w:val="21"/>
        </w:rPr>
        <w:t xml:space="preserve">believes </w:t>
      </w:r>
      <w:r w:rsidRPr="007B0810">
        <w:rPr>
          <w:rFonts w:cstheme="minorHAnsi"/>
          <w:sz w:val="21"/>
          <w:szCs w:val="21"/>
        </w:rPr>
        <w:t>that it would be</w:t>
      </w:r>
      <w:r w:rsidRPr="007B0810" w:rsidDel="001F1092">
        <w:rPr>
          <w:rFonts w:cstheme="minorHAnsi"/>
          <w:sz w:val="21"/>
          <w:szCs w:val="21"/>
        </w:rPr>
        <w:t xml:space="preserve"> </w:t>
      </w:r>
      <w:r w:rsidR="001F1092">
        <w:rPr>
          <w:rFonts w:cstheme="minorHAnsi"/>
          <w:sz w:val="21"/>
          <w:szCs w:val="21"/>
        </w:rPr>
        <w:t xml:space="preserve">highly </w:t>
      </w:r>
      <w:r w:rsidR="000C5A11">
        <w:rPr>
          <w:rFonts w:cstheme="minorHAnsi"/>
          <w:sz w:val="21"/>
          <w:szCs w:val="21"/>
        </w:rPr>
        <w:t xml:space="preserve">problematic </w:t>
      </w:r>
      <w:r w:rsidRPr="007B0810">
        <w:rPr>
          <w:rFonts w:cstheme="minorHAnsi"/>
          <w:sz w:val="21"/>
          <w:szCs w:val="21"/>
        </w:rPr>
        <w:t xml:space="preserve">to make regulatory changes that are certain to have significant effects on the competitive landscape without </w:t>
      </w:r>
      <w:r w:rsidR="00DD4646">
        <w:rPr>
          <w:rFonts w:cstheme="minorHAnsi"/>
          <w:sz w:val="21"/>
          <w:szCs w:val="21"/>
        </w:rPr>
        <w:t>confirmation</w:t>
      </w:r>
      <w:r w:rsidR="00761F3E">
        <w:rPr>
          <w:rFonts w:cstheme="minorHAnsi"/>
          <w:sz w:val="21"/>
          <w:szCs w:val="21"/>
        </w:rPr>
        <w:t xml:space="preserve"> </w:t>
      </w:r>
      <w:r w:rsidR="0021393D">
        <w:rPr>
          <w:rFonts w:cstheme="minorHAnsi"/>
          <w:sz w:val="21"/>
          <w:szCs w:val="21"/>
        </w:rPr>
        <w:t>of how</w:t>
      </w:r>
      <w:r w:rsidR="0021393D" w:rsidRPr="007B0810">
        <w:rPr>
          <w:rFonts w:cstheme="minorHAnsi"/>
          <w:sz w:val="21"/>
          <w:szCs w:val="21"/>
        </w:rPr>
        <w:t xml:space="preserve"> </w:t>
      </w:r>
      <w:r w:rsidRPr="007B0810">
        <w:rPr>
          <w:rFonts w:cstheme="minorHAnsi"/>
          <w:sz w:val="21"/>
          <w:szCs w:val="21"/>
        </w:rPr>
        <w:t xml:space="preserve">the RBA will </w:t>
      </w:r>
      <w:r w:rsidR="005203FA">
        <w:rPr>
          <w:rFonts w:cstheme="minorHAnsi"/>
          <w:sz w:val="21"/>
          <w:szCs w:val="21"/>
        </w:rPr>
        <w:t xml:space="preserve">use </w:t>
      </w:r>
      <w:r w:rsidRPr="007B0810">
        <w:rPr>
          <w:rFonts w:cstheme="minorHAnsi"/>
          <w:sz w:val="21"/>
          <w:szCs w:val="21"/>
        </w:rPr>
        <w:t>these additional powers</w:t>
      </w:r>
      <w:r w:rsidR="00DD4646">
        <w:rPr>
          <w:rFonts w:cstheme="minorHAnsi"/>
          <w:sz w:val="21"/>
          <w:szCs w:val="21"/>
        </w:rPr>
        <w:t xml:space="preserve"> </w:t>
      </w:r>
      <w:r w:rsidR="00FA1362">
        <w:rPr>
          <w:rFonts w:cstheme="minorHAnsi"/>
          <w:sz w:val="21"/>
          <w:szCs w:val="21"/>
        </w:rPr>
        <w:t xml:space="preserve">to </w:t>
      </w:r>
      <w:r w:rsidR="00DF1C55">
        <w:rPr>
          <w:rFonts w:cstheme="minorHAnsi"/>
          <w:sz w:val="21"/>
          <w:szCs w:val="21"/>
        </w:rPr>
        <w:t xml:space="preserve">deal with </w:t>
      </w:r>
      <w:r w:rsidR="00761F3E">
        <w:rPr>
          <w:rFonts w:cstheme="minorHAnsi"/>
          <w:sz w:val="21"/>
          <w:szCs w:val="21"/>
        </w:rPr>
        <w:t>the specific problem of competitive neutrality</w:t>
      </w:r>
      <w:r w:rsidRPr="007B0810">
        <w:rPr>
          <w:rFonts w:cstheme="minorHAnsi"/>
          <w:sz w:val="21"/>
          <w:szCs w:val="21"/>
        </w:rPr>
        <w:t xml:space="preserve">. </w:t>
      </w:r>
    </w:p>
    <w:p w14:paraId="796750BA" w14:textId="77777777" w:rsidR="00705A9F" w:rsidRDefault="00705A9F" w:rsidP="003A4BB4">
      <w:pPr>
        <w:rPr>
          <w:rFonts w:cstheme="minorHAnsi"/>
          <w:b/>
          <w:bCs/>
          <w:sz w:val="21"/>
          <w:szCs w:val="21"/>
        </w:rPr>
      </w:pPr>
    </w:p>
    <w:p w14:paraId="0C09BB37" w14:textId="4BA631FD" w:rsidR="003A4BB4" w:rsidRPr="001515FE" w:rsidRDefault="003A4BB4" w:rsidP="003A4BB4">
      <w:pPr>
        <w:rPr>
          <w:rFonts w:cstheme="minorHAnsi"/>
          <w:b/>
          <w:bCs/>
          <w:sz w:val="21"/>
          <w:szCs w:val="21"/>
        </w:rPr>
      </w:pPr>
      <w:r w:rsidRPr="001515FE">
        <w:rPr>
          <w:rFonts w:cstheme="minorHAnsi"/>
          <w:b/>
          <w:bCs/>
          <w:sz w:val="21"/>
          <w:szCs w:val="21"/>
        </w:rPr>
        <w:t xml:space="preserve">Summary </w:t>
      </w:r>
    </w:p>
    <w:p w14:paraId="6C5FEB52" w14:textId="1486D109" w:rsidR="003A4BB4" w:rsidRDefault="003A4BB4" w:rsidP="003A4BB4">
      <w:pPr>
        <w:rPr>
          <w:rFonts w:cstheme="minorHAnsi"/>
          <w:sz w:val="21"/>
          <w:szCs w:val="21"/>
        </w:rPr>
      </w:pPr>
      <w:r w:rsidRPr="00176E20">
        <w:rPr>
          <w:rFonts w:cstheme="minorHAnsi"/>
          <w:sz w:val="21"/>
          <w:szCs w:val="21"/>
        </w:rPr>
        <w:t xml:space="preserve">CBA’s alternative approach delivers on the RBA’s mandate for safety, competition and efficiency. It creates pricing certainty </w:t>
      </w:r>
      <w:r>
        <w:rPr>
          <w:rFonts w:cstheme="minorHAnsi"/>
          <w:sz w:val="21"/>
          <w:szCs w:val="21"/>
        </w:rPr>
        <w:t xml:space="preserve">and relief </w:t>
      </w:r>
      <w:r w:rsidRPr="00176E20">
        <w:rPr>
          <w:rFonts w:cstheme="minorHAnsi"/>
          <w:sz w:val="21"/>
          <w:szCs w:val="21"/>
        </w:rPr>
        <w:t xml:space="preserve">for consumers and savings for small </w:t>
      </w:r>
      <w:proofErr w:type="gramStart"/>
      <w:r w:rsidRPr="00176E20">
        <w:rPr>
          <w:rFonts w:cstheme="minorHAnsi"/>
          <w:sz w:val="21"/>
          <w:szCs w:val="21"/>
        </w:rPr>
        <w:t>businesses</w:t>
      </w:r>
      <w:r>
        <w:rPr>
          <w:rFonts w:cstheme="minorHAnsi"/>
          <w:sz w:val="21"/>
          <w:szCs w:val="21"/>
        </w:rPr>
        <w:t>, and</w:t>
      </w:r>
      <w:proofErr w:type="gramEnd"/>
      <w:r>
        <w:rPr>
          <w:rFonts w:cstheme="minorHAnsi"/>
          <w:sz w:val="21"/>
          <w:szCs w:val="21"/>
        </w:rPr>
        <w:t xml:space="preserve"> will </w:t>
      </w:r>
      <w:r w:rsidR="00F051F5">
        <w:rPr>
          <w:rFonts w:cstheme="minorHAnsi"/>
          <w:sz w:val="21"/>
          <w:szCs w:val="21"/>
        </w:rPr>
        <w:t xml:space="preserve">continue to </w:t>
      </w:r>
      <w:r>
        <w:rPr>
          <w:rFonts w:cstheme="minorHAnsi"/>
          <w:sz w:val="21"/>
          <w:szCs w:val="21"/>
        </w:rPr>
        <w:t>deliver interchange cost outcomes below the EU and UK</w:t>
      </w:r>
      <w:r w:rsidRPr="00176E20">
        <w:rPr>
          <w:rFonts w:cstheme="minorHAnsi"/>
          <w:sz w:val="21"/>
          <w:szCs w:val="21"/>
        </w:rPr>
        <w:t xml:space="preserve">. </w:t>
      </w:r>
    </w:p>
    <w:p w14:paraId="36D3876D" w14:textId="64C5B459" w:rsidR="003A4BB4" w:rsidRDefault="003A4BB4" w:rsidP="003A4BB4">
      <w:pPr>
        <w:rPr>
          <w:rFonts w:cstheme="minorHAnsi"/>
          <w:sz w:val="21"/>
          <w:szCs w:val="21"/>
        </w:rPr>
      </w:pPr>
      <w:r>
        <w:rPr>
          <w:rFonts w:cstheme="minorHAnsi"/>
          <w:sz w:val="21"/>
          <w:szCs w:val="21"/>
        </w:rPr>
        <w:t>I</w:t>
      </w:r>
      <w:r w:rsidRPr="00176E20">
        <w:rPr>
          <w:rFonts w:cstheme="minorHAnsi"/>
          <w:sz w:val="21"/>
          <w:szCs w:val="21"/>
        </w:rPr>
        <w:t xml:space="preserve">t avoids </w:t>
      </w:r>
      <w:r w:rsidR="00374E0B">
        <w:rPr>
          <w:rFonts w:cstheme="minorHAnsi"/>
          <w:sz w:val="21"/>
          <w:szCs w:val="21"/>
        </w:rPr>
        <w:t>adverse unintended consequences such as</w:t>
      </w:r>
      <w:r w:rsidRPr="00176E20">
        <w:rPr>
          <w:rFonts w:cstheme="minorHAnsi"/>
          <w:sz w:val="21"/>
          <w:szCs w:val="21"/>
        </w:rPr>
        <w:t xml:space="preserve"> driving growth of high-cost three party schemes </w:t>
      </w:r>
      <w:r w:rsidR="001C4119">
        <w:rPr>
          <w:rFonts w:cstheme="minorHAnsi"/>
          <w:sz w:val="21"/>
          <w:szCs w:val="21"/>
        </w:rPr>
        <w:t xml:space="preserve">and benefiting global companies </w:t>
      </w:r>
      <w:r w:rsidRPr="00176E20">
        <w:rPr>
          <w:rFonts w:cstheme="minorHAnsi"/>
          <w:sz w:val="21"/>
          <w:szCs w:val="21"/>
        </w:rPr>
        <w:t xml:space="preserve">at the expense of investment into domestic payments </w:t>
      </w:r>
      <w:proofErr w:type="gramStart"/>
      <w:r w:rsidRPr="00176E20">
        <w:rPr>
          <w:rFonts w:cstheme="minorHAnsi"/>
          <w:sz w:val="21"/>
          <w:szCs w:val="21"/>
        </w:rPr>
        <w:t>infrastructure</w:t>
      </w:r>
      <w:r w:rsidR="00374E0B">
        <w:rPr>
          <w:rFonts w:cstheme="minorHAnsi"/>
          <w:sz w:val="21"/>
          <w:szCs w:val="21"/>
        </w:rPr>
        <w:t xml:space="preserve">, </w:t>
      </w:r>
      <w:r w:rsidR="00B67264">
        <w:rPr>
          <w:rFonts w:cstheme="minorHAnsi"/>
          <w:sz w:val="21"/>
          <w:szCs w:val="21"/>
        </w:rPr>
        <w:t>and</w:t>
      </w:r>
      <w:proofErr w:type="gramEnd"/>
      <w:r w:rsidR="00A86BBA">
        <w:rPr>
          <w:rFonts w:cstheme="minorHAnsi"/>
          <w:sz w:val="21"/>
          <w:szCs w:val="21"/>
        </w:rPr>
        <w:t xml:space="preserve"> </w:t>
      </w:r>
      <w:r w:rsidR="00F75B29">
        <w:rPr>
          <w:rFonts w:cstheme="minorHAnsi"/>
          <w:sz w:val="21"/>
          <w:szCs w:val="21"/>
        </w:rPr>
        <w:t>threatening the viability of small issuers</w:t>
      </w:r>
      <w:r w:rsidRPr="00176E20">
        <w:rPr>
          <w:rFonts w:cstheme="minorHAnsi"/>
          <w:sz w:val="21"/>
          <w:szCs w:val="21"/>
        </w:rPr>
        <w:t>.</w:t>
      </w:r>
      <w:r>
        <w:rPr>
          <w:rFonts w:cstheme="minorHAnsi"/>
          <w:sz w:val="21"/>
          <w:szCs w:val="21"/>
        </w:rPr>
        <w:t xml:space="preserve"> Large businesses will pay more for regulated payments than they do today. But</w:t>
      </w:r>
      <w:r w:rsidR="008B72C8">
        <w:rPr>
          <w:rFonts w:cstheme="minorHAnsi"/>
          <w:sz w:val="21"/>
          <w:szCs w:val="21"/>
        </w:rPr>
        <w:t xml:space="preserve"> there</w:t>
      </w:r>
      <w:r>
        <w:rPr>
          <w:rFonts w:cstheme="minorHAnsi"/>
          <w:sz w:val="21"/>
          <w:szCs w:val="21"/>
        </w:rPr>
        <w:t xml:space="preserve"> will not </w:t>
      </w:r>
      <w:r w:rsidR="008B72C8">
        <w:rPr>
          <w:rFonts w:cstheme="minorHAnsi"/>
          <w:sz w:val="21"/>
          <w:szCs w:val="21"/>
        </w:rPr>
        <w:t>be</w:t>
      </w:r>
      <w:r>
        <w:rPr>
          <w:rFonts w:cstheme="minorHAnsi"/>
          <w:sz w:val="21"/>
          <w:szCs w:val="21"/>
        </w:rPr>
        <w:t xml:space="preserve"> a shift in payment mix towards higher-cost unregulated payments.</w:t>
      </w:r>
    </w:p>
    <w:p w14:paraId="6BFF23F5" w14:textId="6B8DAF32" w:rsidR="003A4BB4" w:rsidRPr="00176E20" w:rsidRDefault="003A4BB4" w:rsidP="003A4BB4">
      <w:pPr>
        <w:rPr>
          <w:rFonts w:cstheme="minorHAnsi"/>
          <w:sz w:val="21"/>
          <w:szCs w:val="21"/>
        </w:rPr>
      </w:pPr>
      <w:r>
        <w:rPr>
          <w:rFonts w:cstheme="minorHAnsi"/>
          <w:sz w:val="21"/>
          <w:szCs w:val="21"/>
        </w:rPr>
        <w:t xml:space="preserve">In this way, we believe that the economic impacts of market intervention </w:t>
      </w:r>
      <w:r w:rsidR="008B72C8">
        <w:rPr>
          <w:rFonts w:cstheme="minorHAnsi"/>
          <w:sz w:val="21"/>
          <w:szCs w:val="21"/>
        </w:rPr>
        <w:t>will be better distributed</w:t>
      </w:r>
      <w:r>
        <w:rPr>
          <w:rFonts w:cstheme="minorHAnsi"/>
          <w:sz w:val="21"/>
          <w:szCs w:val="21"/>
        </w:rPr>
        <w:t xml:space="preserve"> across the payments value chain and economy</w:t>
      </w:r>
      <w:r w:rsidR="0001664B">
        <w:rPr>
          <w:rFonts w:cstheme="minorHAnsi"/>
          <w:sz w:val="21"/>
          <w:szCs w:val="21"/>
        </w:rPr>
        <w:t xml:space="preserve">, yielding higher net benefits in the </w:t>
      </w:r>
      <w:r w:rsidR="00865315">
        <w:rPr>
          <w:rFonts w:cstheme="minorHAnsi"/>
          <w:sz w:val="21"/>
          <w:szCs w:val="21"/>
        </w:rPr>
        <w:t>national interest</w:t>
      </w:r>
      <w:r w:rsidR="00E84180">
        <w:rPr>
          <w:rFonts w:cstheme="minorHAnsi"/>
          <w:sz w:val="21"/>
          <w:szCs w:val="21"/>
        </w:rPr>
        <w:t>.</w:t>
      </w:r>
    </w:p>
    <w:p w14:paraId="36135328" w14:textId="5CAC721B" w:rsidR="003A4BB4" w:rsidRDefault="003A4BB4" w:rsidP="003A4BB4">
      <w:pPr>
        <w:rPr>
          <w:rFonts w:cstheme="minorHAnsi"/>
          <w:sz w:val="21"/>
          <w:szCs w:val="21"/>
        </w:rPr>
      </w:pPr>
      <w:r>
        <w:rPr>
          <w:rFonts w:cstheme="minorHAnsi"/>
          <w:sz w:val="21"/>
          <w:szCs w:val="21"/>
        </w:rPr>
        <w:t xml:space="preserve">We believe that </w:t>
      </w:r>
      <w:r w:rsidR="003749C4">
        <w:rPr>
          <w:rFonts w:cstheme="minorHAnsi"/>
          <w:sz w:val="21"/>
          <w:szCs w:val="21"/>
        </w:rPr>
        <w:t>this</w:t>
      </w:r>
      <w:r w:rsidRPr="00176E20">
        <w:rPr>
          <w:rFonts w:cstheme="minorHAnsi"/>
          <w:sz w:val="21"/>
          <w:szCs w:val="21"/>
        </w:rPr>
        <w:t xml:space="preserve"> </w:t>
      </w:r>
      <w:r w:rsidR="001767EB">
        <w:rPr>
          <w:rFonts w:cstheme="minorHAnsi"/>
          <w:sz w:val="21"/>
          <w:szCs w:val="21"/>
        </w:rPr>
        <w:t>approach</w:t>
      </w:r>
      <w:r w:rsidR="001767EB" w:rsidRPr="00176E20">
        <w:rPr>
          <w:rFonts w:cstheme="minorHAnsi"/>
          <w:sz w:val="21"/>
          <w:szCs w:val="21"/>
        </w:rPr>
        <w:t xml:space="preserve"> </w:t>
      </w:r>
      <w:r w:rsidRPr="00176E20">
        <w:rPr>
          <w:rFonts w:cstheme="minorHAnsi"/>
          <w:sz w:val="21"/>
          <w:szCs w:val="21"/>
        </w:rPr>
        <w:t>better meet</w:t>
      </w:r>
      <w:r>
        <w:rPr>
          <w:rFonts w:cstheme="minorHAnsi"/>
          <w:sz w:val="21"/>
          <w:szCs w:val="21"/>
        </w:rPr>
        <w:t>s</w:t>
      </w:r>
      <w:r w:rsidRPr="00176E20">
        <w:rPr>
          <w:rFonts w:cstheme="minorHAnsi"/>
          <w:sz w:val="21"/>
          <w:szCs w:val="21"/>
        </w:rPr>
        <w:t xml:space="preserve"> the </w:t>
      </w:r>
      <w:r w:rsidR="008B19D2">
        <w:rPr>
          <w:rFonts w:cstheme="minorHAnsi"/>
          <w:sz w:val="21"/>
          <w:szCs w:val="21"/>
        </w:rPr>
        <w:t xml:space="preserve">RBA’s </w:t>
      </w:r>
      <w:r w:rsidRPr="00176E20">
        <w:rPr>
          <w:rFonts w:cstheme="minorHAnsi"/>
          <w:sz w:val="21"/>
          <w:szCs w:val="21"/>
        </w:rPr>
        <w:t xml:space="preserve">objectives </w:t>
      </w:r>
      <w:r w:rsidR="004F3F96">
        <w:rPr>
          <w:rFonts w:cstheme="minorHAnsi"/>
          <w:sz w:val="21"/>
          <w:szCs w:val="21"/>
        </w:rPr>
        <w:t>than the proposed interventions</w:t>
      </w:r>
      <w:r w:rsidRPr="00176E20">
        <w:rPr>
          <w:rFonts w:cstheme="minorHAnsi"/>
          <w:sz w:val="21"/>
          <w:szCs w:val="21"/>
        </w:rPr>
        <w:t xml:space="preserve"> once second order effects </w:t>
      </w:r>
      <w:r w:rsidR="00A83D10">
        <w:rPr>
          <w:rFonts w:cstheme="minorHAnsi"/>
          <w:sz w:val="21"/>
          <w:szCs w:val="21"/>
        </w:rPr>
        <w:t xml:space="preserve">and </w:t>
      </w:r>
      <w:r w:rsidR="003566BB">
        <w:rPr>
          <w:rFonts w:cstheme="minorHAnsi"/>
          <w:sz w:val="21"/>
          <w:szCs w:val="21"/>
        </w:rPr>
        <w:t xml:space="preserve">foreseeable competition responses </w:t>
      </w:r>
      <w:r w:rsidRPr="00176E20">
        <w:rPr>
          <w:rFonts w:cstheme="minorHAnsi"/>
          <w:sz w:val="21"/>
          <w:szCs w:val="21"/>
        </w:rPr>
        <w:t xml:space="preserve">are considered. </w:t>
      </w:r>
      <w:r>
        <w:rPr>
          <w:rFonts w:cstheme="minorHAnsi"/>
          <w:sz w:val="21"/>
          <w:szCs w:val="21"/>
        </w:rPr>
        <w:t xml:space="preserve">We estimate that </w:t>
      </w:r>
      <w:r w:rsidR="003749C4">
        <w:rPr>
          <w:rFonts w:cstheme="minorHAnsi"/>
          <w:sz w:val="21"/>
          <w:szCs w:val="21"/>
        </w:rPr>
        <w:t>this</w:t>
      </w:r>
      <w:r>
        <w:rPr>
          <w:rFonts w:cstheme="minorHAnsi"/>
          <w:sz w:val="21"/>
          <w:szCs w:val="21"/>
        </w:rPr>
        <w:t xml:space="preserve"> </w:t>
      </w:r>
      <w:r w:rsidRPr="00176E20">
        <w:rPr>
          <w:rFonts w:cstheme="minorHAnsi"/>
          <w:sz w:val="21"/>
          <w:szCs w:val="21"/>
        </w:rPr>
        <w:t xml:space="preserve">proposal will leave small businesses better off – delivering </w:t>
      </w:r>
      <w:r>
        <w:rPr>
          <w:rFonts w:cstheme="minorHAnsi"/>
          <w:sz w:val="21"/>
          <w:szCs w:val="21"/>
        </w:rPr>
        <w:t>$</w:t>
      </w:r>
      <w:r w:rsidR="009F6F8A">
        <w:rPr>
          <w:rFonts w:cstheme="minorHAnsi"/>
          <w:sz w:val="21"/>
          <w:szCs w:val="21"/>
        </w:rPr>
        <w:t>4</w:t>
      </w:r>
      <w:r w:rsidR="00A01CDA">
        <w:rPr>
          <w:rFonts w:cstheme="minorHAnsi"/>
          <w:sz w:val="21"/>
          <w:szCs w:val="21"/>
        </w:rPr>
        <w:t>40</w:t>
      </w:r>
      <w:r w:rsidR="009F6F8A">
        <w:rPr>
          <w:rFonts w:cstheme="minorHAnsi"/>
          <w:sz w:val="21"/>
          <w:szCs w:val="21"/>
        </w:rPr>
        <w:t>-</w:t>
      </w:r>
      <w:r w:rsidR="006A00E2">
        <w:rPr>
          <w:rFonts w:cstheme="minorHAnsi"/>
          <w:sz w:val="21"/>
          <w:szCs w:val="21"/>
        </w:rPr>
        <w:t>5</w:t>
      </w:r>
      <w:r w:rsidR="00A01CDA">
        <w:rPr>
          <w:rFonts w:cstheme="minorHAnsi"/>
          <w:sz w:val="21"/>
          <w:szCs w:val="21"/>
        </w:rPr>
        <w:t>2</w:t>
      </w:r>
      <w:r w:rsidR="006A00E2">
        <w:rPr>
          <w:rFonts w:cstheme="minorHAnsi"/>
          <w:sz w:val="21"/>
          <w:szCs w:val="21"/>
        </w:rPr>
        <w:t>0</w:t>
      </w:r>
      <w:r>
        <w:rPr>
          <w:rFonts w:cstheme="minorHAnsi"/>
          <w:sz w:val="21"/>
          <w:szCs w:val="21"/>
        </w:rPr>
        <w:t xml:space="preserve"> million in value p.a. after accounting for any adverse surcharging effect. </w:t>
      </w:r>
    </w:p>
    <w:p w14:paraId="3F2AE178" w14:textId="77777777" w:rsidR="001D42E5" w:rsidRDefault="001D42E5">
      <w:pPr>
        <w:spacing w:after="160"/>
        <w:jc w:val="left"/>
        <w:rPr>
          <w:b/>
          <w:bCs/>
          <w:sz w:val="21"/>
          <w:szCs w:val="21"/>
        </w:rPr>
      </w:pPr>
      <w:r>
        <w:rPr>
          <w:b/>
          <w:bCs/>
          <w:sz w:val="21"/>
          <w:szCs w:val="21"/>
        </w:rPr>
        <w:br w:type="page"/>
      </w:r>
    </w:p>
    <w:p w14:paraId="6B27521C" w14:textId="253C7036" w:rsidR="000C317F" w:rsidRPr="00811B45" w:rsidRDefault="000C317F" w:rsidP="00AD02C3">
      <w:pPr>
        <w:spacing w:after="160"/>
        <w:jc w:val="left"/>
        <w:rPr>
          <w:b/>
          <w:bCs/>
          <w:sz w:val="21"/>
          <w:szCs w:val="21"/>
        </w:rPr>
      </w:pPr>
      <w:r w:rsidRPr="00811B45">
        <w:rPr>
          <w:b/>
          <w:bCs/>
          <w:sz w:val="21"/>
          <w:szCs w:val="21"/>
        </w:rPr>
        <w:lastRenderedPageBreak/>
        <w:t xml:space="preserve">Assumed benefits from changes proposed in Consultation paper </w:t>
      </w:r>
      <w:r w:rsidR="00E66F93">
        <w:rPr>
          <w:b/>
          <w:bCs/>
          <w:sz w:val="21"/>
          <w:szCs w:val="21"/>
        </w:rPr>
        <w:t>(per annum)</w:t>
      </w:r>
      <w:r w:rsidR="00E66F93">
        <w:rPr>
          <w:rStyle w:val="FootnoteReference"/>
          <w:b/>
          <w:bCs/>
          <w:sz w:val="21"/>
          <w:szCs w:val="21"/>
        </w:rPr>
        <w:footnoteReference w:id="42"/>
      </w:r>
    </w:p>
    <w:tbl>
      <w:tblPr>
        <w:tblW w:w="96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207"/>
        <w:gridCol w:w="2038"/>
        <w:gridCol w:w="2298"/>
        <w:gridCol w:w="2095"/>
      </w:tblGrid>
      <w:tr w:rsidR="0095242A" w:rsidRPr="002A1D27" w14:paraId="546FC431" w14:textId="2C5A4B52" w:rsidTr="003A7C09">
        <w:trPr>
          <w:trHeight w:val="555"/>
        </w:trPr>
        <w:tc>
          <w:tcPr>
            <w:tcW w:w="3207" w:type="dxa"/>
            <w:tcBorders>
              <w:top w:val="single" w:sz="6" w:space="0" w:color="auto"/>
              <w:left w:val="nil"/>
              <w:bottom w:val="single" w:sz="6" w:space="0" w:color="auto"/>
              <w:right w:val="nil"/>
            </w:tcBorders>
            <w:shd w:val="clear" w:color="auto" w:fill="0B769F"/>
            <w:hideMark/>
          </w:tcPr>
          <w:p w14:paraId="574C1EFE" w14:textId="77777777" w:rsidR="0095242A" w:rsidRPr="006B1904" w:rsidRDefault="0095242A">
            <w:pPr>
              <w:spacing w:after="0" w:line="240" w:lineRule="auto"/>
              <w:jc w:val="left"/>
              <w:textAlignment w:val="baseline"/>
              <w:rPr>
                <w:rFonts w:ascii="Segoe UI" w:eastAsia="Times New Roman" w:hAnsi="Segoe UI" w:cs="Segoe UI"/>
                <w:sz w:val="18"/>
                <w:szCs w:val="18"/>
                <w:lang w:eastAsia="en-AU"/>
              </w:rPr>
            </w:pPr>
            <w:r w:rsidRPr="006B1904">
              <w:rPr>
                <w:rFonts w:ascii="Aptos" w:eastAsia="Times New Roman" w:hAnsi="Aptos" w:cs="Segoe UI"/>
                <w:color w:val="FFFFFF"/>
                <w:sz w:val="22"/>
                <w:szCs w:val="22"/>
                <w:lang w:eastAsia="en-AU"/>
              </w:rPr>
              <w:t> </w:t>
            </w:r>
          </w:p>
        </w:tc>
        <w:tc>
          <w:tcPr>
            <w:tcW w:w="2038" w:type="dxa"/>
            <w:tcBorders>
              <w:top w:val="single" w:sz="6" w:space="0" w:color="auto"/>
              <w:left w:val="nil"/>
              <w:bottom w:val="single" w:sz="6" w:space="0" w:color="auto"/>
              <w:right w:val="nil"/>
            </w:tcBorders>
            <w:shd w:val="clear" w:color="auto" w:fill="0B769F"/>
            <w:hideMark/>
          </w:tcPr>
          <w:p w14:paraId="1E4DD489" w14:textId="1C6104F5" w:rsidR="0095242A" w:rsidRPr="002A1D27" w:rsidRDefault="0095242A">
            <w:pPr>
              <w:spacing w:after="0" w:line="240" w:lineRule="auto"/>
              <w:jc w:val="right"/>
              <w:textAlignment w:val="baseline"/>
              <w:rPr>
                <w:rFonts w:ascii="Segoe UI" w:eastAsia="Times New Roman" w:hAnsi="Segoe UI" w:cs="Segoe UI"/>
                <w:sz w:val="18"/>
                <w:szCs w:val="18"/>
                <w:lang w:eastAsia="en-AU"/>
              </w:rPr>
            </w:pPr>
            <w:r w:rsidRPr="002A1D27">
              <w:rPr>
                <w:rFonts w:ascii="Aptos" w:eastAsia="Times New Roman" w:hAnsi="Aptos" w:cs="Segoe UI"/>
                <w:color w:val="FFFFFF"/>
                <w:sz w:val="22"/>
                <w:szCs w:val="22"/>
                <w:lang w:eastAsia="en-AU"/>
              </w:rPr>
              <w:t>RBA proposal: </w:t>
            </w:r>
            <w:r w:rsidRPr="002A1D27">
              <w:rPr>
                <w:rFonts w:ascii="Aptos" w:eastAsia="Times New Roman" w:hAnsi="Aptos" w:cs="Segoe UI"/>
                <w:color w:val="FFFFFF"/>
                <w:sz w:val="22"/>
                <w:szCs w:val="22"/>
                <w:lang w:eastAsia="en-AU"/>
              </w:rPr>
              <w:br/>
              <w:t>Direct impacts – from Consultation Paper</w:t>
            </w:r>
            <w:r w:rsidRPr="002A1D27">
              <w:rPr>
                <w:rFonts w:ascii="Aptos" w:eastAsia="Times New Roman" w:hAnsi="Aptos" w:cs="Segoe UI"/>
                <w:color w:val="FFFFFF"/>
                <w:sz w:val="17"/>
                <w:szCs w:val="17"/>
                <w:lang w:eastAsia="en-AU"/>
              </w:rPr>
              <w:t> </w:t>
            </w:r>
          </w:p>
        </w:tc>
        <w:tc>
          <w:tcPr>
            <w:tcW w:w="2298" w:type="dxa"/>
            <w:tcBorders>
              <w:top w:val="single" w:sz="6" w:space="0" w:color="auto"/>
              <w:left w:val="nil"/>
              <w:bottom w:val="single" w:sz="6" w:space="0" w:color="auto"/>
              <w:right w:val="nil"/>
            </w:tcBorders>
            <w:shd w:val="clear" w:color="auto" w:fill="0B769F"/>
            <w:hideMark/>
          </w:tcPr>
          <w:p w14:paraId="2ADF5294" w14:textId="77777777" w:rsidR="0095242A" w:rsidRPr="002A1D27" w:rsidRDefault="0095242A">
            <w:pPr>
              <w:spacing w:after="0" w:line="240" w:lineRule="auto"/>
              <w:jc w:val="right"/>
              <w:textAlignment w:val="baseline"/>
              <w:rPr>
                <w:rFonts w:ascii="Segoe UI" w:eastAsia="Times New Roman" w:hAnsi="Segoe UI" w:cs="Segoe UI"/>
                <w:sz w:val="18"/>
                <w:szCs w:val="18"/>
                <w:lang w:eastAsia="en-AU"/>
              </w:rPr>
            </w:pPr>
            <w:r w:rsidRPr="002A1D27">
              <w:rPr>
                <w:rFonts w:ascii="Aptos" w:eastAsia="Times New Roman" w:hAnsi="Aptos" w:cs="Segoe UI"/>
                <w:color w:val="FFFFFF"/>
                <w:sz w:val="22"/>
                <w:szCs w:val="22"/>
                <w:lang w:eastAsia="en-AU"/>
              </w:rPr>
              <w:t>RBA proposal: </w:t>
            </w:r>
            <w:r w:rsidRPr="002A1D27">
              <w:rPr>
                <w:rFonts w:ascii="Aptos" w:eastAsia="Times New Roman" w:hAnsi="Aptos" w:cs="Segoe UI"/>
                <w:color w:val="FFFFFF"/>
                <w:sz w:val="22"/>
                <w:szCs w:val="22"/>
                <w:lang w:eastAsia="en-AU"/>
              </w:rPr>
              <w:br/>
              <w:t>Including</w:t>
            </w:r>
            <w:r>
              <w:rPr>
                <w:rFonts w:ascii="Aptos" w:eastAsia="Times New Roman" w:hAnsi="Aptos" w:cs="Segoe UI"/>
                <w:color w:val="FFFFFF"/>
                <w:sz w:val="22"/>
                <w:szCs w:val="22"/>
                <w:lang w:eastAsia="en-AU"/>
              </w:rPr>
              <w:t xml:space="preserve"> </w:t>
            </w:r>
            <w:r w:rsidRPr="002A1D27">
              <w:rPr>
                <w:rFonts w:ascii="Aptos" w:eastAsia="Times New Roman" w:hAnsi="Aptos" w:cs="Segoe UI"/>
                <w:color w:val="FFFFFF"/>
                <w:sz w:val="22"/>
                <w:szCs w:val="22"/>
                <w:lang w:eastAsia="en-AU"/>
              </w:rPr>
              <w:t>modelled second order impacts </w:t>
            </w:r>
          </w:p>
        </w:tc>
        <w:tc>
          <w:tcPr>
            <w:tcW w:w="2095" w:type="dxa"/>
            <w:tcBorders>
              <w:top w:val="single" w:sz="6" w:space="0" w:color="auto"/>
              <w:left w:val="nil"/>
              <w:bottom w:val="single" w:sz="6" w:space="0" w:color="auto"/>
              <w:right w:val="nil"/>
            </w:tcBorders>
            <w:shd w:val="clear" w:color="auto" w:fill="FFCC00" w:themeFill="accent1"/>
          </w:tcPr>
          <w:p w14:paraId="1F085BD0" w14:textId="09339CCF" w:rsidR="0095242A" w:rsidRPr="002A1D27" w:rsidRDefault="00657AE7">
            <w:pPr>
              <w:spacing w:after="0" w:line="240" w:lineRule="auto"/>
              <w:jc w:val="right"/>
              <w:textAlignment w:val="baseline"/>
              <w:rPr>
                <w:rFonts w:ascii="Aptos" w:eastAsia="Times New Roman" w:hAnsi="Aptos" w:cs="Segoe UI"/>
                <w:color w:val="FFFFFF"/>
                <w:sz w:val="22"/>
                <w:szCs w:val="22"/>
                <w:lang w:eastAsia="en-AU"/>
              </w:rPr>
            </w:pPr>
            <w:r w:rsidRPr="003A7C09">
              <w:rPr>
                <w:rFonts w:ascii="Aptos" w:eastAsia="Times New Roman" w:hAnsi="Aptos" w:cs="Segoe UI"/>
                <w:sz w:val="22"/>
                <w:szCs w:val="22"/>
                <w:lang w:eastAsia="en-AU"/>
              </w:rPr>
              <w:t>CBA alternative proposal: Including modelled second order impacts </w:t>
            </w:r>
          </w:p>
        </w:tc>
      </w:tr>
      <w:tr w:rsidR="0095242A" w:rsidRPr="006B1904" w14:paraId="735D3443" w14:textId="482FEC82" w:rsidTr="003A7C09">
        <w:trPr>
          <w:trHeight w:val="195"/>
        </w:trPr>
        <w:tc>
          <w:tcPr>
            <w:tcW w:w="3207" w:type="dxa"/>
            <w:tcBorders>
              <w:top w:val="single" w:sz="6" w:space="0" w:color="auto"/>
              <w:left w:val="nil"/>
              <w:bottom w:val="single" w:sz="6" w:space="0" w:color="auto"/>
              <w:right w:val="nil"/>
            </w:tcBorders>
            <w:hideMark/>
          </w:tcPr>
          <w:p w14:paraId="5EC67021" w14:textId="77777777" w:rsidR="0095242A" w:rsidRPr="006B1904" w:rsidRDefault="0095242A">
            <w:pPr>
              <w:spacing w:after="0" w:line="240" w:lineRule="auto"/>
              <w:jc w:val="lef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2038" w:type="dxa"/>
            <w:tcBorders>
              <w:top w:val="single" w:sz="6" w:space="0" w:color="auto"/>
              <w:left w:val="nil"/>
              <w:bottom w:val="single" w:sz="6" w:space="0" w:color="auto"/>
              <w:right w:val="nil"/>
            </w:tcBorders>
            <w:hideMark/>
          </w:tcPr>
          <w:p w14:paraId="7DC88424" w14:textId="77777777" w:rsidR="0095242A" w:rsidRPr="006B1904" w:rsidRDefault="0095242A">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million </w:t>
            </w:r>
          </w:p>
        </w:tc>
        <w:tc>
          <w:tcPr>
            <w:tcW w:w="2298" w:type="dxa"/>
            <w:tcBorders>
              <w:top w:val="single" w:sz="6" w:space="0" w:color="auto"/>
              <w:left w:val="nil"/>
              <w:bottom w:val="single" w:sz="6" w:space="0" w:color="auto"/>
              <w:right w:val="nil"/>
            </w:tcBorders>
            <w:hideMark/>
          </w:tcPr>
          <w:p w14:paraId="10825756" w14:textId="77777777" w:rsidR="0095242A" w:rsidRPr="006B1904" w:rsidRDefault="0095242A">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million </w:t>
            </w:r>
          </w:p>
        </w:tc>
        <w:tc>
          <w:tcPr>
            <w:tcW w:w="2095" w:type="dxa"/>
            <w:tcBorders>
              <w:top w:val="single" w:sz="6" w:space="0" w:color="auto"/>
              <w:left w:val="nil"/>
              <w:bottom w:val="single" w:sz="6" w:space="0" w:color="auto"/>
              <w:right w:val="nil"/>
            </w:tcBorders>
          </w:tcPr>
          <w:p w14:paraId="719123CC" w14:textId="2FD6546D" w:rsidR="0095242A" w:rsidRPr="006B1904" w:rsidRDefault="00E66F93">
            <w:pPr>
              <w:spacing w:after="0" w:line="240" w:lineRule="auto"/>
              <w:jc w:val="righ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 million</w:t>
            </w:r>
          </w:p>
        </w:tc>
      </w:tr>
      <w:tr w:rsidR="0095242A" w:rsidRPr="006B1904" w14:paraId="02C78877" w14:textId="78E12B9F" w:rsidTr="003A7C09">
        <w:trPr>
          <w:trHeight w:val="330"/>
        </w:trPr>
        <w:tc>
          <w:tcPr>
            <w:tcW w:w="3207" w:type="dxa"/>
            <w:tcBorders>
              <w:top w:val="single" w:sz="6" w:space="0" w:color="auto"/>
              <w:left w:val="nil"/>
              <w:bottom w:val="single" w:sz="6" w:space="0" w:color="FFFFFF"/>
              <w:right w:val="nil"/>
            </w:tcBorders>
            <w:vAlign w:val="center"/>
            <w:hideMark/>
          </w:tcPr>
          <w:p w14:paraId="59AAED1E" w14:textId="2A97B598" w:rsidR="0095242A" w:rsidRPr="009031F0" w:rsidRDefault="00120BAE">
            <w:pPr>
              <w:spacing w:after="0" w:line="240" w:lineRule="auto"/>
              <w:jc w:val="left"/>
              <w:textAlignment w:val="baseline"/>
              <w:rPr>
                <w:rFonts w:ascii="Segoe UI" w:eastAsia="Times New Roman" w:hAnsi="Segoe UI" w:cs="Segoe UI"/>
                <w:b/>
                <w:bCs/>
                <w:sz w:val="18"/>
                <w:szCs w:val="18"/>
                <w:lang w:eastAsia="en-AU"/>
              </w:rPr>
            </w:pPr>
            <w:r>
              <w:rPr>
                <w:rFonts w:ascii="Aptos" w:eastAsia="Times New Roman" w:hAnsi="Aptos" w:cs="Segoe UI"/>
                <w:b/>
                <w:bCs/>
                <w:sz w:val="22"/>
                <w:szCs w:val="22"/>
                <w:lang w:eastAsia="en-AU"/>
              </w:rPr>
              <w:t>Cardholders</w:t>
            </w:r>
            <w:r w:rsidR="0095242A" w:rsidRPr="009031F0">
              <w:rPr>
                <w:rFonts w:ascii="Aptos" w:eastAsia="Times New Roman" w:hAnsi="Aptos" w:cs="Segoe UI"/>
                <w:b/>
                <w:bCs/>
                <w:sz w:val="22"/>
                <w:szCs w:val="22"/>
                <w:lang w:eastAsia="en-AU"/>
              </w:rPr>
              <w:t> </w:t>
            </w:r>
          </w:p>
        </w:tc>
        <w:tc>
          <w:tcPr>
            <w:tcW w:w="2038" w:type="dxa"/>
            <w:tcBorders>
              <w:top w:val="single" w:sz="6" w:space="0" w:color="auto"/>
              <w:left w:val="nil"/>
              <w:bottom w:val="single" w:sz="6" w:space="0" w:color="FFFFFF"/>
              <w:right w:val="nil"/>
            </w:tcBorders>
            <w:hideMark/>
          </w:tcPr>
          <w:p w14:paraId="0D577EA1" w14:textId="77777777" w:rsidR="0095242A" w:rsidRPr="006B1904" w:rsidRDefault="0095242A">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2298" w:type="dxa"/>
            <w:tcBorders>
              <w:top w:val="single" w:sz="6" w:space="0" w:color="auto"/>
              <w:left w:val="nil"/>
              <w:bottom w:val="single" w:sz="6" w:space="0" w:color="FFFFFF"/>
              <w:right w:val="nil"/>
            </w:tcBorders>
            <w:hideMark/>
          </w:tcPr>
          <w:p w14:paraId="70A19B16" w14:textId="77777777" w:rsidR="0095242A" w:rsidRPr="006B1904" w:rsidRDefault="0095242A">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2095" w:type="dxa"/>
            <w:tcBorders>
              <w:top w:val="single" w:sz="6" w:space="0" w:color="auto"/>
              <w:left w:val="nil"/>
              <w:bottom w:val="single" w:sz="6" w:space="0" w:color="FFFFFF"/>
              <w:right w:val="nil"/>
            </w:tcBorders>
          </w:tcPr>
          <w:p w14:paraId="715366D3" w14:textId="77777777" w:rsidR="0095242A" w:rsidRPr="006B1904" w:rsidRDefault="0095242A">
            <w:pPr>
              <w:spacing w:after="0" w:line="240" w:lineRule="auto"/>
              <w:jc w:val="right"/>
              <w:textAlignment w:val="baseline"/>
              <w:rPr>
                <w:rFonts w:ascii="Aptos" w:eastAsia="Times New Roman" w:hAnsi="Aptos" w:cs="Segoe UI"/>
                <w:sz w:val="22"/>
                <w:szCs w:val="22"/>
                <w:lang w:eastAsia="en-AU"/>
              </w:rPr>
            </w:pPr>
          </w:p>
        </w:tc>
      </w:tr>
      <w:tr w:rsidR="00C9262A" w:rsidRPr="006B1904" w14:paraId="71A796EB" w14:textId="6C32FB56" w:rsidTr="003A7C09">
        <w:trPr>
          <w:trHeight w:val="330"/>
        </w:trPr>
        <w:tc>
          <w:tcPr>
            <w:tcW w:w="3207" w:type="dxa"/>
            <w:tcBorders>
              <w:top w:val="single" w:sz="6" w:space="0" w:color="FFFFFF"/>
              <w:left w:val="nil"/>
              <w:bottom w:val="single" w:sz="6" w:space="0" w:color="FFFFFF"/>
              <w:right w:val="nil"/>
            </w:tcBorders>
            <w:vAlign w:val="center"/>
            <w:hideMark/>
          </w:tcPr>
          <w:p w14:paraId="3BCAFF3E" w14:textId="77777777" w:rsidR="00C9262A" w:rsidRPr="009031F0"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sidRPr="009031F0">
              <w:rPr>
                <w:rFonts w:ascii="Aptos" w:eastAsia="Times New Roman" w:hAnsi="Aptos" w:cs="Segoe UI"/>
                <w:sz w:val="22"/>
                <w:szCs w:val="22"/>
                <w:lang w:eastAsia="en-AU"/>
              </w:rPr>
              <w:t>Consumers </w:t>
            </w:r>
          </w:p>
        </w:tc>
        <w:tc>
          <w:tcPr>
            <w:tcW w:w="2038" w:type="dxa"/>
            <w:vMerge w:val="restart"/>
            <w:tcBorders>
              <w:top w:val="single" w:sz="6" w:space="0" w:color="FFFFFF"/>
              <w:left w:val="nil"/>
              <w:bottom w:val="single" w:sz="6" w:space="0" w:color="FFFFFF"/>
              <w:right w:val="nil"/>
            </w:tcBorders>
            <w:vAlign w:val="center"/>
            <w:hideMark/>
          </w:tcPr>
          <w:p w14:paraId="75AEC856" w14:textId="385EDF6C"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color w:val="4EA72E"/>
                <w:sz w:val="22"/>
                <w:szCs w:val="22"/>
                <w:lang w:eastAsia="en-AU"/>
              </w:rPr>
              <w:t>+1</w:t>
            </w:r>
            <w:r w:rsidR="00E66F93">
              <w:rPr>
                <w:rFonts w:ascii="Aptos" w:eastAsia="Times New Roman" w:hAnsi="Aptos" w:cs="Segoe UI"/>
                <w:color w:val="4EA72E"/>
                <w:sz w:val="22"/>
                <w:szCs w:val="22"/>
                <w:lang w:eastAsia="en-AU"/>
              </w:rPr>
              <w:t>,</w:t>
            </w:r>
            <w:r w:rsidRPr="006B1904">
              <w:rPr>
                <w:rFonts w:ascii="Aptos" w:eastAsia="Times New Roman" w:hAnsi="Aptos" w:cs="Segoe UI"/>
                <w:color w:val="4EA72E"/>
                <w:sz w:val="22"/>
                <w:szCs w:val="22"/>
                <w:lang w:eastAsia="en-AU"/>
              </w:rPr>
              <w:t>225</w:t>
            </w:r>
            <w:r w:rsidRPr="00A67FF5">
              <w:rPr>
                <w:rFonts w:ascii="Aptos" w:eastAsia="Times New Roman" w:hAnsi="Aptos" w:cs="Segoe UI"/>
                <w:sz w:val="17"/>
                <w:szCs w:val="17"/>
                <w:lang w:eastAsia="en-AU"/>
              </w:rPr>
              <w:t> </w:t>
            </w:r>
          </w:p>
        </w:tc>
        <w:tc>
          <w:tcPr>
            <w:tcW w:w="2298" w:type="dxa"/>
            <w:tcBorders>
              <w:top w:val="single" w:sz="6" w:space="0" w:color="FFFFFF"/>
              <w:left w:val="nil"/>
              <w:bottom w:val="single" w:sz="6" w:space="0" w:color="FFFFFF"/>
              <w:right w:val="nil"/>
            </w:tcBorders>
            <w:vAlign w:val="center"/>
            <w:hideMark/>
          </w:tcPr>
          <w:p w14:paraId="4D4881C7"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i/>
                <w:iCs/>
                <w:color w:val="FF0000"/>
                <w:sz w:val="22"/>
                <w:szCs w:val="22"/>
                <w:lang w:eastAsia="en-AU"/>
              </w:rPr>
              <w:t>-200</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color w:val="4EA72E"/>
                <w:sz w:val="22"/>
                <w:szCs w:val="22"/>
                <w:lang w:eastAsia="en-AU"/>
              </w:rPr>
              <w:t>+5 </w:t>
            </w:r>
          </w:p>
        </w:tc>
        <w:tc>
          <w:tcPr>
            <w:tcW w:w="2095" w:type="dxa"/>
            <w:tcBorders>
              <w:top w:val="single" w:sz="6" w:space="0" w:color="FFFFFF"/>
              <w:left w:val="nil"/>
              <w:bottom w:val="single" w:sz="6" w:space="0" w:color="FFFFFF"/>
              <w:right w:val="nil"/>
            </w:tcBorders>
            <w:vAlign w:val="center"/>
          </w:tcPr>
          <w:p w14:paraId="7AE0FBAA" w14:textId="16353809" w:rsidR="00C9262A" w:rsidRPr="006B1904" w:rsidRDefault="00C9262A" w:rsidP="00EA4AA7">
            <w:pPr>
              <w:spacing w:after="0" w:line="240" w:lineRule="auto"/>
              <w:jc w:val="right"/>
              <w:textAlignment w:val="baseline"/>
              <w:rPr>
                <w:rFonts w:ascii="Aptos" w:eastAsia="Times New Roman" w:hAnsi="Aptos" w:cs="Segoe UI"/>
                <w:i/>
                <w:iCs/>
                <w:color w:val="FF0000"/>
                <w:sz w:val="22"/>
                <w:szCs w:val="22"/>
                <w:lang w:eastAsia="en-AU"/>
              </w:rPr>
            </w:pPr>
            <w:r>
              <w:rPr>
                <w:rStyle w:val="normaltextrun"/>
                <w:rFonts w:ascii="Aptos" w:hAnsi="Aptos" w:cs="Segoe UI"/>
                <w:i/>
                <w:iCs/>
                <w:color w:val="FF0000"/>
                <w:sz w:val="22"/>
                <w:szCs w:val="22"/>
              </w:rPr>
              <w:t xml:space="preserve">-135 </w:t>
            </w:r>
            <w:r>
              <w:rPr>
                <w:rStyle w:val="normaltextrun"/>
                <w:rFonts w:ascii="Aptos" w:hAnsi="Aptos" w:cs="Segoe UI"/>
                <w:sz w:val="22"/>
                <w:szCs w:val="22"/>
              </w:rPr>
              <w:t>to</w:t>
            </w:r>
            <w:r>
              <w:rPr>
                <w:rStyle w:val="normaltextrun"/>
                <w:rFonts w:ascii="Aptos" w:hAnsi="Aptos" w:cs="Segoe UI"/>
                <w:color w:val="FF0000"/>
                <w:sz w:val="22"/>
                <w:szCs w:val="22"/>
              </w:rPr>
              <w:t xml:space="preserve"> </w:t>
            </w:r>
            <w:r>
              <w:rPr>
                <w:rStyle w:val="normaltextrun"/>
                <w:rFonts w:ascii="Aptos" w:hAnsi="Aptos" w:cs="Segoe UI"/>
                <w:color w:val="4EA72E"/>
                <w:sz w:val="22"/>
                <w:szCs w:val="22"/>
              </w:rPr>
              <w:t>+145</w:t>
            </w:r>
            <w:r>
              <w:rPr>
                <w:rStyle w:val="eop"/>
                <w:rFonts w:ascii="Aptos" w:hAnsi="Aptos" w:cs="Segoe UI"/>
                <w:color w:val="4EA72E"/>
                <w:sz w:val="22"/>
                <w:szCs w:val="22"/>
              </w:rPr>
              <w:t> </w:t>
            </w:r>
          </w:p>
        </w:tc>
      </w:tr>
      <w:tr w:rsidR="00C9262A" w:rsidRPr="006B1904" w14:paraId="57AF9148" w14:textId="279391F4" w:rsidTr="003A7C09">
        <w:trPr>
          <w:trHeight w:val="330"/>
        </w:trPr>
        <w:tc>
          <w:tcPr>
            <w:tcW w:w="3207" w:type="dxa"/>
            <w:tcBorders>
              <w:top w:val="single" w:sz="6" w:space="0" w:color="FFFFFF"/>
              <w:left w:val="nil"/>
              <w:bottom w:val="single" w:sz="6" w:space="0" w:color="000000"/>
              <w:right w:val="nil"/>
            </w:tcBorders>
            <w:vAlign w:val="center"/>
            <w:hideMark/>
          </w:tcPr>
          <w:p w14:paraId="4555973A" w14:textId="77777777" w:rsidR="00C9262A" w:rsidRPr="009031F0"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sidRPr="009031F0">
              <w:rPr>
                <w:rFonts w:ascii="Aptos" w:eastAsia="Times New Roman" w:hAnsi="Aptos" w:cs="Segoe UI"/>
                <w:sz w:val="22"/>
                <w:szCs w:val="22"/>
                <w:lang w:eastAsia="en-AU"/>
              </w:rPr>
              <w:t>Commercial </w:t>
            </w:r>
          </w:p>
        </w:tc>
        <w:tc>
          <w:tcPr>
            <w:tcW w:w="2038" w:type="dxa"/>
            <w:vMerge/>
            <w:tcBorders>
              <w:top w:val="single" w:sz="6" w:space="0" w:color="FFFFFF"/>
              <w:left w:val="nil"/>
              <w:bottom w:val="single" w:sz="6" w:space="0" w:color="FFFFFF"/>
              <w:right w:val="nil"/>
            </w:tcBorders>
            <w:vAlign w:val="center"/>
            <w:hideMark/>
          </w:tcPr>
          <w:p w14:paraId="7F976E99" w14:textId="77777777" w:rsidR="00C9262A" w:rsidRPr="006B1904" w:rsidRDefault="00C9262A" w:rsidP="00EA4AA7">
            <w:pPr>
              <w:spacing w:after="0" w:line="240" w:lineRule="auto"/>
              <w:jc w:val="right"/>
              <w:rPr>
                <w:rFonts w:ascii="Segoe UI" w:eastAsia="Times New Roman" w:hAnsi="Segoe UI" w:cs="Segoe UI"/>
                <w:sz w:val="18"/>
                <w:szCs w:val="18"/>
                <w:lang w:eastAsia="en-AU"/>
              </w:rPr>
            </w:pPr>
          </w:p>
        </w:tc>
        <w:tc>
          <w:tcPr>
            <w:tcW w:w="2298" w:type="dxa"/>
            <w:tcBorders>
              <w:top w:val="single" w:sz="6" w:space="0" w:color="FFFFFF"/>
              <w:left w:val="nil"/>
              <w:bottom w:val="single" w:sz="6" w:space="0" w:color="000000"/>
              <w:right w:val="nil"/>
            </w:tcBorders>
            <w:vAlign w:val="center"/>
            <w:hideMark/>
          </w:tcPr>
          <w:p w14:paraId="6F7ADE50"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color w:val="4EA72E"/>
                <w:sz w:val="22"/>
                <w:szCs w:val="22"/>
                <w:lang w:eastAsia="en-AU"/>
              </w:rPr>
              <w:t>+45</w:t>
            </w:r>
            <w:r w:rsidRPr="006B1904">
              <w:rPr>
                <w:rFonts w:ascii="Aptos" w:eastAsia="Times New Roman" w:hAnsi="Aptos" w:cs="Segoe UI"/>
                <w:i/>
                <w:iCs/>
                <w:color w:val="FF0000"/>
                <w:sz w:val="22"/>
                <w:szCs w:val="22"/>
                <w:lang w:eastAsia="en-AU"/>
              </w:rPr>
              <w:t xml:space="preserve"> </w:t>
            </w:r>
            <w:r w:rsidRPr="003A7C09">
              <w:rPr>
                <w:rFonts w:ascii="Aptos" w:eastAsia="Times New Roman" w:hAnsi="Aptos" w:cs="Segoe UI"/>
                <w:sz w:val="22"/>
                <w:szCs w:val="22"/>
                <w:lang w:eastAsia="en-AU"/>
              </w:rPr>
              <w:t>to</w:t>
            </w:r>
            <w:r w:rsidRPr="006B1904">
              <w:rPr>
                <w:rFonts w:ascii="Aptos" w:eastAsia="Times New Roman" w:hAnsi="Aptos" w:cs="Segoe UI"/>
                <w:i/>
                <w:iCs/>
                <w:color w:val="FF0000"/>
                <w:sz w:val="22"/>
                <w:szCs w:val="22"/>
                <w:lang w:eastAsia="en-AU"/>
              </w:rPr>
              <w:t xml:space="preserve"> </w:t>
            </w:r>
            <w:r w:rsidRPr="006B1904">
              <w:rPr>
                <w:rFonts w:ascii="Aptos" w:eastAsia="Times New Roman" w:hAnsi="Aptos" w:cs="Segoe UI"/>
                <w:color w:val="4EA72E"/>
                <w:sz w:val="22"/>
                <w:szCs w:val="22"/>
                <w:lang w:eastAsia="en-AU"/>
              </w:rPr>
              <w:t>+60 </w:t>
            </w:r>
          </w:p>
        </w:tc>
        <w:tc>
          <w:tcPr>
            <w:tcW w:w="2095" w:type="dxa"/>
            <w:tcBorders>
              <w:top w:val="single" w:sz="6" w:space="0" w:color="FFFFFF"/>
              <w:left w:val="nil"/>
              <w:bottom w:val="single" w:sz="6" w:space="0" w:color="000000"/>
              <w:right w:val="nil"/>
            </w:tcBorders>
            <w:vAlign w:val="center"/>
          </w:tcPr>
          <w:p w14:paraId="63530E90" w14:textId="12B37010"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Pr>
                <w:rStyle w:val="normaltextrun"/>
                <w:rFonts w:ascii="Aptos" w:hAnsi="Aptos" w:cs="Segoe UI"/>
                <w:i/>
                <w:iCs/>
                <w:color w:val="4EA72E"/>
                <w:sz w:val="22"/>
                <w:szCs w:val="22"/>
              </w:rPr>
              <w:t>+70</w:t>
            </w:r>
            <w:r>
              <w:rPr>
                <w:rStyle w:val="normaltextrun"/>
                <w:rFonts w:ascii="Aptos" w:hAnsi="Aptos" w:cs="Segoe UI"/>
                <w:i/>
                <w:iCs/>
                <w:color w:val="FF0000"/>
                <w:sz w:val="22"/>
                <w:szCs w:val="22"/>
              </w:rPr>
              <w:t xml:space="preserve"> </w:t>
            </w:r>
            <w:r>
              <w:rPr>
                <w:rStyle w:val="normaltextrun"/>
                <w:rFonts w:ascii="Aptos" w:hAnsi="Aptos" w:cs="Segoe UI"/>
                <w:sz w:val="22"/>
                <w:szCs w:val="22"/>
              </w:rPr>
              <w:t>to</w:t>
            </w:r>
            <w:r>
              <w:rPr>
                <w:rStyle w:val="normaltextrun"/>
                <w:rFonts w:ascii="Aptos" w:hAnsi="Aptos" w:cs="Segoe UI"/>
                <w:i/>
                <w:iCs/>
                <w:color w:val="FF0000"/>
                <w:sz w:val="22"/>
                <w:szCs w:val="22"/>
              </w:rPr>
              <w:t xml:space="preserve"> </w:t>
            </w:r>
            <w:r>
              <w:rPr>
                <w:rStyle w:val="normaltextrun"/>
                <w:rFonts w:ascii="Aptos" w:hAnsi="Aptos" w:cs="Segoe UI"/>
                <w:color w:val="4EA72E"/>
                <w:sz w:val="22"/>
                <w:szCs w:val="22"/>
              </w:rPr>
              <w:t>+85</w:t>
            </w:r>
            <w:r>
              <w:rPr>
                <w:rStyle w:val="eop"/>
                <w:rFonts w:ascii="Aptos" w:hAnsi="Aptos" w:cs="Segoe UI"/>
                <w:color w:val="4EA72E"/>
                <w:sz w:val="22"/>
                <w:szCs w:val="22"/>
              </w:rPr>
              <w:t> </w:t>
            </w:r>
          </w:p>
        </w:tc>
      </w:tr>
      <w:tr w:rsidR="00C9262A" w:rsidRPr="006B1904" w14:paraId="186B5CDC" w14:textId="470C80E0" w:rsidTr="003A7C09">
        <w:trPr>
          <w:trHeight w:val="330"/>
        </w:trPr>
        <w:tc>
          <w:tcPr>
            <w:tcW w:w="3207" w:type="dxa"/>
            <w:tcBorders>
              <w:top w:val="single" w:sz="6" w:space="0" w:color="000000"/>
              <w:left w:val="nil"/>
              <w:bottom w:val="nil"/>
              <w:right w:val="nil"/>
            </w:tcBorders>
            <w:vAlign w:val="center"/>
            <w:hideMark/>
          </w:tcPr>
          <w:p w14:paraId="0565587E" w14:textId="77777777" w:rsidR="00C9262A" w:rsidRPr="009031F0" w:rsidRDefault="00C9262A" w:rsidP="00C9262A">
            <w:pPr>
              <w:spacing w:after="0" w:line="240" w:lineRule="auto"/>
              <w:jc w:val="left"/>
              <w:textAlignment w:val="baseline"/>
              <w:rPr>
                <w:rFonts w:ascii="Segoe UI" w:eastAsia="Times New Roman" w:hAnsi="Segoe UI" w:cs="Segoe UI"/>
                <w:b/>
                <w:bCs/>
                <w:sz w:val="18"/>
                <w:szCs w:val="18"/>
                <w:lang w:eastAsia="en-AU"/>
              </w:rPr>
            </w:pPr>
            <w:r w:rsidRPr="009031F0">
              <w:rPr>
                <w:rFonts w:ascii="Aptos" w:eastAsia="Times New Roman" w:hAnsi="Aptos" w:cs="Segoe UI"/>
                <w:b/>
                <w:bCs/>
                <w:sz w:val="22"/>
                <w:szCs w:val="22"/>
                <w:lang w:eastAsia="en-AU"/>
              </w:rPr>
              <w:t>Merchants </w:t>
            </w:r>
          </w:p>
        </w:tc>
        <w:tc>
          <w:tcPr>
            <w:tcW w:w="2038" w:type="dxa"/>
            <w:tcBorders>
              <w:top w:val="single" w:sz="6" w:space="0" w:color="000000"/>
              <w:left w:val="nil"/>
              <w:bottom w:val="nil"/>
              <w:right w:val="nil"/>
            </w:tcBorders>
            <w:vAlign w:val="center"/>
            <w:hideMark/>
          </w:tcPr>
          <w:p w14:paraId="1C008B61"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2298" w:type="dxa"/>
            <w:tcBorders>
              <w:top w:val="single" w:sz="6" w:space="0" w:color="000000"/>
              <w:left w:val="nil"/>
              <w:bottom w:val="nil"/>
              <w:right w:val="nil"/>
            </w:tcBorders>
            <w:vAlign w:val="center"/>
            <w:hideMark/>
          </w:tcPr>
          <w:p w14:paraId="5BEFC527"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2095" w:type="dxa"/>
            <w:tcBorders>
              <w:top w:val="single" w:sz="6" w:space="0" w:color="000000"/>
              <w:left w:val="nil"/>
              <w:bottom w:val="nil"/>
              <w:right w:val="nil"/>
            </w:tcBorders>
            <w:vAlign w:val="center"/>
          </w:tcPr>
          <w:p w14:paraId="45B8DA35" w14:textId="08DED189"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Pr>
                <w:rStyle w:val="eop"/>
                <w:rFonts w:ascii="Aptos" w:hAnsi="Aptos" w:cs="Segoe UI"/>
                <w:sz w:val="22"/>
                <w:szCs w:val="22"/>
              </w:rPr>
              <w:t> </w:t>
            </w:r>
          </w:p>
        </w:tc>
      </w:tr>
      <w:tr w:rsidR="00C9262A" w:rsidRPr="006B1904" w14:paraId="37DE0FA3" w14:textId="3036ADA6" w:rsidTr="003A7C09">
        <w:trPr>
          <w:trHeight w:val="330"/>
        </w:trPr>
        <w:tc>
          <w:tcPr>
            <w:tcW w:w="3207" w:type="dxa"/>
            <w:tcBorders>
              <w:top w:val="nil"/>
              <w:left w:val="nil"/>
              <w:bottom w:val="nil"/>
              <w:right w:val="nil"/>
            </w:tcBorders>
            <w:vAlign w:val="center"/>
            <w:hideMark/>
          </w:tcPr>
          <w:p w14:paraId="69D628C7" w14:textId="77777777" w:rsidR="00C9262A" w:rsidRPr="009031F0"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sidRPr="009031F0">
              <w:rPr>
                <w:rFonts w:ascii="Aptos" w:eastAsia="Times New Roman" w:hAnsi="Aptos" w:cs="Segoe UI"/>
                <w:sz w:val="22"/>
                <w:szCs w:val="22"/>
                <w:lang w:eastAsia="en-AU"/>
              </w:rPr>
              <w:t>Small merchants </w:t>
            </w:r>
          </w:p>
        </w:tc>
        <w:tc>
          <w:tcPr>
            <w:tcW w:w="2038" w:type="dxa"/>
            <w:tcBorders>
              <w:top w:val="nil"/>
              <w:left w:val="nil"/>
              <w:bottom w:val="nil"/>
              <w:right w:val="nil"/>
            </w:tcBorders>
            <w:vAlign w:val="center"/>
            <w:hideMark/>
          </w:tcPr>
          <w:p w14:paraId="57E757B9"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color w:val="4EA72E"/>
                <w:sz w:val="22"/>
                <w:szCs w:val="22"/>
                <w:lang w:eastAsia="en-AU"/>
              </w:rPr>
              <w:t>+185 </w:t>
            </w:r>
          </w:p>
        </w:tc>
        <w:tc>
          <w:tcPr>
            <w:tcW w:w="2298" w:type="dxa"/>
            <w:tcBorders>
              <w:top w:val="nil"/>
              <w:left w:val="nil"/>
              <w:bottom w:val="nil"/>
              <w:right w:val="nil"/>
            </w:tcBorders>
            <w:vAlign w:val="center"/>
            <w:hideMark/>
          </w:tcPr>
          <w:p w14:paraId="611D3098"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i/>
                <w:iCs/>
                <w:color w:val="FF0000"/>
                <w:sz w:val="22"/>
                <w:szCs w:val="22"/>
                <w:lang w:eastAsia="en-AU"/>
              </w:rPr>
              <w:t>-25</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color w:val="4EA72E"/>
                <w:sz w:val="22"/>
                <w:szCs w:val="22"/>
                <w:lang w:eastAsia="en-AU"/>
              </w:rPr>
              <w:t>+10 </w:t>
            </w:r>
          </w:p>
        </w:tc>
        <w:tc>
          <w:tcPr>
            <w:tcW w:w="2095" w:type="dxa"/>
            <w:tcBorders>
              <w:top w:val="nil"/>
              <w:left w:val="nil"/>
              <w:bottom w:val="nil"/>
              <w:right w:val="nil"/>
            </w:tcBorders>
            <w:vAlign w:val="center"/>
          </w:tcPr>
          <w:p w14:paraId="3CB07ED7" w14:textId="67191F54" w:rsidR="00C9262A" w:rsidRPr="006B1904" w:rsidRDefault="00C9262A" w:rsidP="00EA4AA7">
            <w:pPr>
              <w:spacing w:after="0" w:line="240" w:lineRule="auto"/>
              <w:jc w:val="right"/>
              <w:textAlignment w:val="baseline"/>
              <w:rPr>
                <w:rFonts w:ascii="Aptos" w:eastAsia="Times New Roman" w:hAnsi="Aptos" w:cs="Segoe UI"/>
                <w:i/>
                <w:iCs/>
                <w:color w:val="FF0000"/>
                <w:sz w:val="22"/>
                <w:szCs w:val="22"/>
                <w:lang w:eastAsia="en-AU"/>
              </w:rPr>
            </w:pPr>
            <w:r>
              <w:rPr>
                <w:rStyle w:val="normaltextrun"/>
                <w:rFonts w:ascii="Aptos" w:hAnsi="Aptos" w:cs="Segoe UI"/>
                <w:color w:val="4EA72E"/>
                <w:sz w:val="22"/>
                <w:szCs w:val="22"/>
              </w:rPr>
              <w:t>+440</w:t>
            </w:r>
            <w:r>
              <w:rPr>
                <w:rStyle w:val="normaltextrun"/>
                <w:rFonts w:ascii="Aptos" w:hAnsi="Aptos" w:cs="Segoe UI"/>
                <w:sz w:val="22"/>
                <w:szCs w:val="22"/>
              </w:rPr>
              <w:t xml:space="preserve"> to</w:t>
            </w:r>
            <w:r>
              <w:rPr>
                <w:rStyle w:val="normaltextrun"/>
                <w:rFonts w:ascii="Aptos" w:hAnsi="Aptos" w:cs="Segoe UI"/>
                <w:color w:val="FF0000"/>
                <w:sz w:val="22"/>
                <w:szCs w:val="22"/>
              </w:rPr>
              <w:t xml:space="preserve"> </w:t>
            </w:r>
            <w:r>
              <w:rPr>
                <w:rStyle w:val="normaltextrun"/>
                <w:rFonts w:ascii="Aptos" w:hAnsi="Aptos" w:cs="Segoe UI"/>
                <w:color w:val="4EA72E"/>
                <w:sz w:val="22"/>
                <w:szCs w:val="22"/>
              </w:rPr>
              <w:t>+520</w:t>
            </w:r>
            <w:r>
              <w:rPr>
                <w:rStyle w:val="eop"/>
                <w:rFonts w:ascii="Aptos" w:hAnsi="Aptos" w:cs="Segoe UI"/>
                <w:color w:val="4EA72E"/>
                <w:sz w:val="22"/>
                <w:szCs w:val="22"/>
              </w:rPr>
              <w:t> </w:t>
            </w:r>
          </w:p>
        </w:tc>
      </w:tr>
      <w:tr w:rsidR="00C9262A" w:rsidRPr="006B1904" w14:paraId="28ED4902" w14:textId="7E4B1C5F" w:rsidTr="003A7C09">
        <w:trPr>
          <w:trHeight w:val="330"/>
        </w:trPr>
        <w:tc>
          <w:tcPr>
            <w:tcW w:w="3207" w:type="dxa"/>
            <w:tcBorders>
              <w:top w:val="nil"/>
              <w:left w:val="nil"/>
              <w:bottom w:val="single" w:sz="6" w:space="0" w:color="000000"/>
              <w:right w:val="nil"/>
            </w:tcBorders>
            <w:vAlign w:val="center"/>
          </w:tcPr>
          <w:p w14:paraId="5D0AA094" w14:textId="77777777" w:rsidR="00C9262A" w:rsidRPr="004C1795"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Larger merchants</w:t>
            </w:r>
            <w:r>
              <w:rPr>
                <w:rFonts w:ascii="Aptos" w:eastAsia="Times New Roman" w:hAnsi="Aptos" w:cs="Segoe UI"/>
                <w:sz w:val="22"/>
                <w:szCs w:val="22"/>
                <w:lang w:eastAsia="en-AU"/>
              </w:rPr>
              <w:br/>
            </w:r>
            <w:r>
              <w:rPr>
                <w:rStyle w:val="normaltextrun"/>
                <w:rFonts w:ascii="Aptos" w:hAnsi="Aptos"/>
                <w:color w:val="808080"/>
                <w:sz w:val="16"/>
                <w:szCs w:val="16"/>
                <w:shd w:val="clear" w:color="auto" w:fill="FFFFFF"/>
              </w:rPr>
              <w:t>&gt;$10m in card transactions per year</w:t>
            </w:r>
            <w:r>
              <w:rPr>
                <w:rStyle w:val="eop"/>
                <w:rFonts w:ascii="Aptos" w:hAnsi="Aptos"/>
                <w:color w:val="808080"/>
                <w:szCs w:val="16"/>
                <w:shd w:val="clear" w:color="auto" w:fill="FFFFFF"/>
              </w:rPr>
              <w:t> </w:t>
            </w:r>
          </w:p>
        </w:tc>
        <w:tc>
          <w:tcPr>
            <w:tcW w:w="2038" w:type="dxa"/>
            <w:tcBorders>
              <w:top w:val="nil"/>
              <w:left w:val="nil"/>
              <w:bottom w:val="single" w:sz="6" w:space="0" w:color="000000"/>
              <w:right w:val="nil"/>
            </w:tcBorders>
            <w:vAlign w:val="center"/>
          </w:tcPr>
          <w:p w14:paraId="7BBF28BA" w14:textId="77777777"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sidRPr="006B1904">
              <w:rPr>
                <w:rFonts w:ascii="Aptos" w:eastAsia="Times New Roman" w:hAnsi="Aptos" w:cs="Segoe UI"/>
                <w:i/>
                <w:iCs/>
                <w:color w:val="FF0000"/>
                <w:sz w:val="22"/>
                <w:szCs w:val="22"/>
                <w:lang w:eastAsia="en-AU"/>
              </w:rPr>
              <w:t>-260</w:t>
            </w:r>
            <w:r w:rsidRPr="006B1904">
              <w:rPr>
                <w:rFonts w:ascii="Aptos" w:eastAsia="Times New Roman" w:hAnsi="Aptos" w:cs="Segoe UI"/>
                <w:color w:val="FF0000"/>
                <w:sz w:val="22"/>
                <w:szCs w:val="22"/>
                <w:lang w:eastAsia="en-AU"/>
              </w:rPr>
              <w:t> </w:t>
            </w:r>
          </w:p>
        </w:tc>
        <w:tc>
          <w:tcPr>
            <w:tcW w:w="2298" w:type="dxa"/>
            <w:tcBorders>
              <w:top w:val="nil"/>
              <w:left w:val="nil"/>
              <w:bottom w:val="single" w:sz="6" w:space="0" w:color="000000"/>
              <w:right w:val="nil"/>
            </w:tcBorders>
            <w:vAlign w:val="center"/>
          </w:tcPr>
          <w:p w14:paraId="6F8A550A" w14:textId="77777777" w:rsidR="00C9262A" w:rsidRPr="006B1904" w:rsidRDefault="00C9262A" w:rsidP="00EA4AA7">
            <w:pPr>
              <w:spacing w:after="0" w:line="240" w:lineRule="auto"/>
              <w:jc w:val="right"/>
              <w:textAlignment w:val="baseline"/>
              <w:rPr>
                <w:rFonts w:ascii="Aptos" w:eastAsia="Times New Roman" w:hAnsi="Aptos" w:cs="Segoe UI"/>
                <w:i/>
                <w:iCs/>
                <w:color w:val="FF0000"/>
                <w:sz w:val="22"/>
                <w:szCs w:val="22"/>
                <w:lang w:eastAsia="en-AU"/>
              </w:rPr>
            </w:pPr>
            <w:r w:rsidRPr="006B1904">
              <w:rPr>
                <w:rFonts w:ascii="Aptos" w:eastAsia="Times New Roman" w:hAnsi="Aptos" w:cs="Segoe UI"/>
                <w:i/>
                <w:iCs/>
                <w:color w:val="FF0000"/>
                <w:sz w:val="22"/>
                <w:szCs w:val="22"/>
                <w:lang w:eastAsia="en-AU"/>
              </w:rPr>
              <w:t>-25</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color w:val="4EA72E"/>
                <w:sz w:val="22"/>
                <w:szCs w:val="22"/>
                <w:lang w:eastAsia="en-AU"/>
              </w:rPr>
              <w:t>+65 </w:t>
            </w:r>
          </w:p>
        </w:tc>
        <w:tc>
          <w:tcPr>
            <w:tcW w:w="2095" w:type="dxa"/>
            <w:tcBorders>
              <w:top w:val="nil"/>
              <w:left w:val="nil"/>
              <w:bottom w:val="single" w:sz="6" w:space="0" w:color="000000"/>
              <w:right w:val="nil"/>
            </w:tcBorders>
            <w:vAlign w:val="center"/>
          </w:tcPr>
          <w:p w14:paraId="228C55E9" w14:textId="49D3B9F3" w:rsidR="00C9262A" w:rsidRPr="006B1904" w:rsidRDefault="00C9262A" w:rsidP="00EA4AA7">
            <w:pPr>
              <w:spacing w:after="0" w:line="240" w:lineRule="auto"/>
              <w:jc w:val="right"/>
              <w:textAlignment w:val="baseline"/>
              <w:rPr>
                <w:rFonts w:ascii="Aptos" w:eastAsia="Times New Roman" w:hAnsi="Aptos" w:cs="Segoe UI"/>
                <w:i/>
                <w:iCs/>
                <w:color w:val="FF0000"/>
                <w:sz w:val="22"/>
                <w:szCs w:val="22"/>
                <w:lang w:eastAsia="en-AU"/>
              </w:rPr>
            </w:pPr>
            <w:r>
              <w:rPr>
                <w:rStyle w:val="normaltextrun"/>
                <w:rFonts w:ascii="Aptos" w:hAnsi="Aptos" w:cs="Segoe UI"/>
                <w:i/>
                <w:iCs/>
                <w:color w:val="FF0000"/>
                <w:sz w:val="22"/>
                <w:szCs w:val="22"/>
              </w:rPr>
              <w:t xml:space="preserve">-490 </w:t>
            </w:r>
            <w:r>
              <w:rPr>
                <w:rStyle w:val="normaltextrun"/>
                <w:rFonts w:ascii="Aptos" w:hAnsi="Aptos" w:cs="Segoe UI"/>
                <w:sz w:val="22"/>
                <w:szCs w:val="22"/>
              </w:rPr>
              <w:t>to</w:t>
            </w:r>
            <w:r>
              <w:rPr>
                <w:rStyle w:val="normaltextrun"/>
                <w:rFonts w:ascii="Aptos" w:hAnsi="Aptos" w:cs="Segoe UI"/>
                <w:i/>
                <w:iCs/>
                <w:color w:val="FF0000"/>
                <w:sz w:val="22"/>
                <w:szCs w:val="22"/>
              </w:rPr>
              <w:t xml:space="preserve"> </w:t>
            </w:r>
            <w:r>
              <w:rPr>
                <w:rStyle w:val="normaltextrun"/>
                <w:rFonts w:ascii="Aptos" w:hAnsi="Aptos" w:cs="Segoe UI"/>
                <w:color w:val="FF0000"/>
                <w:sz w:val="22"/>
                <w:szCs w:val="22"/>
              </w:rPr>
              <w:t>-245</w:t>
            </w:r>
            <w:r>
              <w:rPr>
                <w:rStyle w:val="eop"/>
                <w:rFonts w:ascii="Aptos" w:hAnsi="Aptos" w:cs="Segoe UI"/>
                <w:color w:val="FF0000"/>
                <w:sz w:val="22"/>
                <w:szCs w:val="22"/>
              </w:rPr>
              <w:t> </w:t>
            </w:r>
          </w:p>
        </w:tc>
      </w:tr>
      <w:tr w:rsidR="00C9262A" w:rsidRPr="006B1904" w14:paraId="69574045" w14:textId="5BBC9C6E" w:rsidTr="003A7C09">
        <w:trPr>
          <w:trHeight w:val="330"/>
        </w:trPr>
        <w:tc>
          <w:tcPr>
            <w:tcW w:w="3207" w:type="dxa"/>
            <w:tcBorders>
              <w:top w:val="single" w:sz="6" w:space="0" w:color="000000"/>
              <w:left w:val="nil"/>
              <w:bottom w:val="nil"/>
              <w:right w:val="nil"/>
            </w:tcBorders>
            <w:vAlign w:val="center"/>
            <w:hideMark/>
          </w:tcPr>
          <w:p w14:paraId="3216AC9E" w14:textId="77777777" w:rsidR="00C9262A" w:rsidRPr="009031F0" w:rsidRDefault="00C9262A" w:rsidP="00C9262A">
            <w:pPr>
              <w:spacing w:after="0" w:line="240" w:lineRule="auto"/>
              <w:jc w:val="left"/>
              <w:textAlignment w:val="baseline"/>
              <w:rPr>
                <w:rFonts w:ascii="Segoe UI" w:eastAsia="Times New Roman" w:hAnsi="Segoe UI" w:cs="Segoe UI"/>
                <w:b/>
                <w:bCs/>
                <w:sz w:val="18"/>
                <w:szCs w:val="18"/>
                <w:lang w:eastAsia="en-AU"/>
              </w:rPr>
            </w:pPr>
            <w:r w:rsidRPr="009031F0">
              <w:rPr>
                <w:rFonts w:ascii="Aptos" w:eastAsia="Times New Roman" w:hAnsi="Aptos" w:cs="Segoe UI"/>
                <w:b/>
                <w:bCs/>
                <w:sz w:val="22"/>
                <w:szCs w:val="22"/>
                <w:lang w:eastAsia="en-AU"/>
              </w:rPr>
              <w:t>Payments industry </w:t>
            </w:r>
          </w:p>
        </w:tc>
        <w:tc>
          <w:tcPr>
            <w:tcW w:w="2038" w:type="dxa"/>
            <w:tcBorders>
              <w:top w:val="single" w:sz="6" w:space="0" w:color="000000"/>
              <w:left w:val="nil"/>
              <w:bottom w:val="nil"/>
              <w:right w:val="nil"/>
            </w:tcBorders>
            <w:vAlign w:val="center"/>
            <w:hideMark/>
          </w:tcPr>
          <w:p w14:paraId="2AE8E98A"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2298" w:type="dxa"/>
            <w:tcBorders>
              <w:top w:val="single" w:sz="6" w:space="0" w:color="000000"/>
              <w:left w:val="nil"/>
              <w:bottom w:val="nil"/>
              <w:right w:val="nil"/>
            </w:tcBorders>
            <w:vAlign w:val="center"/>
            <w:hideMark/>
          </w:tcPr>
          <w:p w14:paraId="44541931" w14:textId="77777777" w:rsidR="00C9262A" w:rsidRPr="006B1904" w:rsidRDefault="00C9262A" w:rsidP="00EA4AA7">
            <w:pPr>
              <w:spacing w:after="0" w:line="240" w:lineRule="auto"/>
              <w:jc w:val="right"/>
              <w:textAlignment w:val="baseline"/>
              <w:rPr>
                <w:rFonts w:ascii="Segoe UI" w:eastAsia="Times New Roman" w:hAnsi="Segoe UI" w:cs="Segoe UI"/>
                <w:sz w:val="18"/>
                <w:szCs w:val="18"/>
                <w:lang w:eastAsia="en-AU"/>
              </w:rPr>
            </w:pPr>
            <w:r w:rsidRPr="006B1904">
              <w:rPr>
                <w:rFonts w:ascii="Aptos" w:eastAsia="Times New Roman" w:hAnsi="Aptos" w:cs="Segoe UI"/>
                <w:sz w:val="22"/>
                <w:szCs w:val="22"/>
                <w:lang w:eastAsia="en-AU"/>
              </w:rPr>
              <w:t> </w:t>
            </w:r>
          </w:p>
        </w:tc>
        <w:tc>
          <w:tcPr>
            <w:tcW w:w="2095" w:type="dxa"/>
            <w:tcBorders>
              <w:top w:val="single" w:sz="6" w:space="0" w:color="000000"/>
              <w:left w:val="nil"/>
              <w:bottom w:val="nil"/>
              <w:right w:val="nil"/>
            </w:tcBorders>
            <w:vAlign w:val="center"/>
          </w:tcPr>
          <w:p w14:paraId="6DCA0339" w14:textId="5A917059"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Pr>
                <w:rStyle w:val="eop"/>
                <w:rFonts w:ascii="Aptos" w:hAnsi="Aptos" w:cs="Segoe UI"/>
                <w:sz w:val="22"/>
                <w:szCs w:val="22"/>
              </w:rPr>
              <w:t> </w:t>
            </w:r>
          </w:p>
        </w:tc>
      </w:tr>
      <w:tr w:rsidR="00C9262A" w:rsidRPr="006B1904" w14:paraId="1119743A" w14:textId="232B4067" w:rsidTr="003A7C09">
        <w:trPr>
          <w:trHeight w:val="330"/>
        </w:trPr>
        <w:tc>
          <w:tcPr>
            <w:tcW w:w="3207" w:type="dxa"/>
            <w:tcBorders>
              <w:top w:val="nil"/>
              <w:left w:val="nil"/>
              <w:bottom w:val="nil"/>
              <w:right w:val="nil"/>
            </w:tcBorders>
            <w:vAlign w:val="center"/>
          </w:tcPr>
          <w:p w14:paraId="53497E3E" w14:textId="31192C02" w:rsidR="00C9262A" w:rsidRPr="009031F0"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Domestic issuers</w:t>
            </w:r>
          </w:p>
        </w:tc>
        <w:tc>
          <w:tcPr>
            <w:tcW w:w="2038" w:type="dxa"/>
            <w:tcBorders>
              <w:top w:val="nil"/>
              <w:left w:val="nil"/>
              <w:bottom w:val="nil"/>
              <w:right w:val="nil"/>
            </w:tcBorders>
            <w:vAlign w:val="center"/>
          </w:tcPr>
          <w:p w14:paraId="457CEEEF"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i/>
                <w:iCs/>
                <w:color w:val="FF0000"/>
                <w:sz w:val="22"/>
                <w:szCs w:val="22"/>
                <w:lang w:eastAsia="en-AU"/>
              </w:rPr>
              <w:t>-880</w:t>
            </w:r>
            <w:r w:rsidRPr="006B1904">
              <w:rPr>
                <w:rFonts w:ascii="Aptos" w:eastAsia="Times New Roman" w:hAnsi="Aptos" w:cs="Segoe UI"/>
                <w:color w:val="FF0000"/>
                <w:sz w:val="22"/>
                <w:szCs w:val="22"/>
                <w:lang w:eastAsia="en-AU"/>
              </w:rPr>
              <w:t> </w:t>
            </w:r>
          </w:p>
        </w:tc>
        <w:tc>
          <w:tcPr>
            <w:tcW w:w="2298" w:type="dxa"/>
            <w:tcBorders>
              <w:top w:val="nil"/>
              <w:left w:val="nil"/>
              <w:bottom w:val="nil"/>
              <w:right w:val="nil"/>
            </w:tcBorders>
            <w:vAlign w:val="center"/>
          </w:tcPr>
          <w:p w14:paraId="64E71B91"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i/>
                <w:iCs/>
                <w:color w:val="FF0000"/>
                <w:sz w:val="22"/>
                <w:szCs w:val="22"/>
                <w:lang w:eastAsia="en-AU"/>
              </w:rPr>
              <w:t>-730</w:t>
            </w:r>
            <w:r w:rsidRPr="006B1904">
              <w:rPr>
                <w:rFonts w:ascii="Aptos" w:eastAsia="Times New Roman" w:hAnsi="Aptos" w:cs="Segoe UI"/>
                <w:color w:val="FF0000"/>
                <w:sz w:val="22"/>
                <w:szCs w:val="22"/>
                <w:lang w:eastAsia="en-AU"/>
              </w:rPr>
              <w:t xml:space="preserve"> </w:t>
            </w:r>
            <w:r w:rsidRPr="006B1904">
              <w:rPr>
                <w:rFonts w:ascii="Aptos" w:eastAsia="Times New Roman" w:hAnsi="Aptos" w:cs="Segoe UI"/>
                <w:sz w:val="22"/>
                <w:szCs w:val="22"/>
                <w:lang w:eastAsia="en-AU"/>
              </w:rPr>
              <w:t xml:space="preserve">to </w:t>
            </w:r>
            <w:r w:rsidRPr="006B1904">
              <w:rPr>
                <w:rFonts w:ascii="Aptos" w:eastAsia="Times New Roman" w:hAnsi="Aptos" w:cs="Segoe UI"/>
                <w:i/>
                <w:iCs/>
                <w:color w:val="FF0000"/>
                <w:sz w:val="22"/>
                <w:szCs w:val="22"/>
                <w:lang w:eastAsia="en-AU"/>
              </w:rPr>
              <w:t>-595</w:t>
            </w:r>
            <w:r w:rsidRPr="006B1904">
              <w:rPr>
                <w:rFonts w:ascii="Aptos" w:eastAsia="Times New Roman" w:hAnsi="Aptos" w:cs="Segoe UI"/>
                <w:color w:val="FF0000"/>
                <w:sz w:val="22"/>
                <w:szCs w:val="22"/>
                <w:lang w:eastAsia="en-AU"/>
              </w:rPr>
              <w:t> </w:t>
            </w:r>
          </w:p>
        </w:tc>
        <w:tc>
          <w:tcPr>
            <w:tcW w:w="2095" w:type="dxa"/>
            <w:tcBorders>
              <w:top w:val="nil"/>
              <w:left w:val="nil"/>
              <w:bottom w:val="nil"/>
              <w:right w:val="nil"/>
            </w:tcBorders>
            <w:vAlign w:val="center"/>
          </w:tcPr>
          <w:p w14:paraId="4D5287D5" w14:textId="188FF4B4" w:rsidR="00C9262A" w:rsidRPr="006B1904" w:rsidRDefault="00C9262A" w:rsidP="00EA4AA7">
            <w:pPr>
              <w:spacing w:after="0" w:line="240" w:lineRule="auto"/>
              <w:jc w:val="right"/>
              <w:textAlignment w:val="baseline"/>
              <w:rPr>
                <w:rFonts w:ascii="Aptos" w:eastAsia="Times New Roman" w:hAnsi="Aptos" w:cs="Segoe UI"/>
                <w:i/>
                <w:iCs/>
                <w:color w:val="FF0000"/>
                <w:sz w:val="22"/>
                <w:szCs w:val="22"/>
                <w:lang w:eastAsia="en-AU"/>
              </w:rPr>
            </w:pPr>
            <w:r>
              <w:rPr>
                <w:rStyle w:val="normaltextrun"/>
                <w:rFonts w:ascii="Aptos" w:hAnsi="Aptos" w:cs="Segoe UI"/>
                <w:i/>
                <w:iCs/>
                <w:color w:val="FF0000"/>
                <w:sz w:val="22"/>
                <w:szCs w:val="22"/>
              </w:rPr>
              <w:t xml:space="preserve">-25 </w:t>
            </w:r>
            <w:r>
              <w:rPr>
                <w:rStyle w:val="normaltextrun"/>
                <w:rFonts w:ascii="Aptos" w:hAnsi="Aptos" w:cs="Segoe UI"/>
                <w:sz w:val="22"/>
                <w:szCs w:val="22"/>
              </w:rPr>
              <w:t>to</w:t>
            </w:r>
            <w:r>
              <w:rPr>
                <w:rStyle w:val="normaltextrun"/>
                <w:rFonts w:ascii="Aptos" w:hAnsi="Aptos" w:cs="Segoe UI"/>
                <w:i/>
                <w:iCs/>
                <w:color w:val="FF0000"/>
                <w:sz w:val="22"/>
                <w:szCs w:val="22"/>
              </w:rPr>
              <w:t xml:space="preserve"> </w:t>
            </w:r>
            <w:r>
              <w:rPr>
                <w:rStyle w:val="normaltextrun"/>
                <w:rFonts w:ascii="Aptos" w:hAnsi="Aptos" w:cs="Segoe UI"/>
                <w:color w:val="FF0000"/>
                <w:sz w:val="22"/>
                <w:szCs w:val="22"/>
              </w:rPr>
              <w:t>-15</w:t>
            </w:r>
            <w:r>
              <w:rPr>
                <w:rStyle w:val="eop"/>
                <w:rFonts w:ascii="Aptos" w:hAnsi="Aptos" w:cs="Segoe UI"/>
                <w:color w:val="FF0000"/>
                <w:sz w:val="22"/>
                <w:szCs w:val="22"/>
              </w:rPr>
              <w:t> </w:t>
            </w:r>
          </w:p>
        </w:tc>
      </w:tr>
      <w:tr w:rsidR="00C9262A" w:rsidRPr="006B1904" w14:paraId="25B444C0" w14:textId="4EC18630" w:rsidTr="003A7C09">
        <w:trPr>
          <w:trHeight w:val="330"/>
        </w:trPr>
        <w:tc>
          <w:tcPr>
            <w:tcW w:w="3207" w:type="dxa"/>
            <w:tcBorders>
              <w:top w:val="nil"/>
              <w:left w:val="nil"/>
              <w:bottom w:val="nil"/>
              <w:right w:val="nil"/>
            </w:tcBorders>
            <w:vAlign w:val="center"/>
          </w:tcPr>
          <w:p w14:paraId="188C93CA" w14:textId="2B132D25" w:rsidR="00C9262A" w:rsidRPr="009031F0"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Acquirers</w:t>
            </w:r>
          </w:p>
        </w:tc>
        <w:tc>
          <w:tcPr>
            <w:tcW w:w="2038" w:type="dxa"/>
            <w:tcBorders>
              <w:top w:val="nil"/>
              <w:left w:val="nil"/>
              <w:bottom w:val="nil"/>
              <w:right w:val="nil"/>
            </w:tcBorders>
            <w:vAlign w:val="center"/>
          </w:tcPr>
          <w:p w14:paraId="640E6121"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2298" w:type="dxa"/>
            <w:tcBorders>
              <w:top w:val="nil"/>
              <w:left w:val="nil"/>
              <w:bottom w:val="nil"/>
              <w:right w:val="nil"/>
            </w:tcBorders>
            <w:vAlign w:val="center"/>
          </w:tcPr>
          <w:p w14:paraId="16B12A66"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color w:val="4EA72E"/>
                <w:sz w:val="22"/>
                <w:szCs w:val="22"/>
                <w:lang w:eastAsia="en-AU"/>
              </w:rPr>
              <w:t xml:space="preserve">+185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+220 </w:t>
            </w:r>
          </w:p>
        </w:tc>
        <w:tc>
          <w:tcPr>
            <w:tcW w:w="2095" w:type="dxa"/>
            <w:tcBorders>
              <w:top w:val="nil"/>
              <w:left w:val="nil"/>
              <w:bottom w:val="nil"/>
              <w:right w:val="nil"/>
            </w:tcBorders>
            <w:vAlign w:val="center"/>
          </w:tcPr>
          <w:p w14:paraId="7145AF62" w14:textId="65AB6638"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Pr>
                <w:rStyle w:val="normaltextrun"/>
                <w:rFonts w:ascii="Aptos" w:hAnsi="Aptos" w:cs="Segoe UI"/>
                <w:i/>
                <w:iCs/>
                <w:color w:val="FF0000"/>
                <w:sz w:val="22"/>
                <w:szCs w:val="22"/>
              </w:rPr>
              <w:t>-10</w:t>
            </w:r>
            <w:r>
              <w:rPr>
                <w:rStyle w:val="normaltextrun"/>
                <w:rFonts w:ascii="Aptos" w:hAnsi="Aptos" w:cs="Segoe UI"/>
                <w:color w:val="4EA72E"/>
                <w:sz w:val="22"/>
                <w:szCs w:val="22"/>
              </w:rPr>
              <w:t xml:space="preserve"> </w:t>
            </w:r>
            <w:r>
              <w:rPr>
                <w:rStyle w:val="normaltextrun"/>
                <w:rFonts w:ascii="Aptos" w:hAnsi="Aptos" w:cs="Segoe UI"/>
                <w:sz w:val="22"/>
                <w:szCs w:val="22"/>
              </w:rPr>
              <w:t>to</w:t>
            </w:r>
            <w:r>
              <w:rPr>
                <w:rStyle w:val="normaltextrun"/>
                <w:rFonts w:ascii="Aptos" w:hAnsi="Aptos" w:cs="Segoe UI"/>
                <w:color w:val="4EA72E"/>
                <w:sz w:val="22"/>
                <w:szCs w:val="22"/>
              </w:rPr>
              <w:t xml:space="preserve"> +45</w:t>
            </w:r>
            <w:r>
              <w:rPr>
                <w:rStyle w:val="eop"/>
                <w:rFonts w:ascii="Aptos" w:hAnsi="Aptos" w:cs="Segoe UI"/>
                <w:color w:val="4EA72E"/>
                <w:sz w:val="22"/>
                <w:szCs w:val="22"/>
              </w:rPr>
              <w:t> </w:t>
            </w:r>
          </w:p>
        </w:tc>
      </w:tr>
      <w:tr w:rsidR="00C9262A" w:rsidRPr="006B1904" w14:paraId="68C9E75B" w14:textId="5B7AB6F6" w:rsidTr="003A7C09">
        <w:trPr>
          <w:trHeight w:val="330"/>
        </w:trPr>
        <w:tc>
          <w:tcPr>
            <w:tcW w:w="3207" w:type="dxa"/>
            <w:tcBorders>
              <w:top w:val="nil"/>
              <w:left w:val="nil"/>
              <w:bottom w:val="nil"/>
              <w:right w:val="nil"/>
            </w:tcBorders>
            <w:vAlign w:val="center"/>
          </w:tcPr>
          <w:p w14:paraId="0FBE4E59" w14:textId="77777777" w:rsidR="00C9262A" w:rsidRPr="009031F0"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Card networks – 4 party</w:t>
            </w:r>
          </w:p>
        </w:tc>
        <w:tc>
          <w:tcPr>
            <w:tcW w:w="2038" w:type="dxa"/>
            <w:tcBorders>
              <w:top w:val="nil"/>
              <w:left w:val="nil"/>
              <w:bottom w:val="nil"/>
              <w:right w:val="nil"/>
            </w:tcBorders>
            <w:vAlign w:val="center"/>
          </w:tcPr>
          <w:p w14:paraId="12D06295"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2298" w:type="dxa"/>
            <w:tcBorders>
              <w:top w:val="nil"/>
              <w:left w:val="nil"/>
              <w:bottom w:val="nil"/>
              <w:right w:val="nil"/>
            </w:tcBorders>
            <w:vAlign w:val="center"/>
          </w:tcPr>
          <w:p w14:paraId="5F62B516"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color w:val="4EA72E"/>
                <w:sz w:val="22"/>
                <w:szCs w:val="22"/>
                <w:lang w:eastAsia="en-AU"/>
              </w:rPr>
              <w:t xml:space="preserve">+110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+145 </w:t>
            </w:r>
          </w:p>
        </w:tc>
        <w:tc>
          <w:tcPr>
            <w:tcW w:w="2095" w:type="dxa"/>
            <w:tcBorders>
              <w:top w:val="nil"/>
              <w:left w:val="nil"/>
              <w:bottom w:val="nil"/>
              <w:right w:val="nil"/>
            </w:tcBorders>
            <w:vAlign w:val="center"/>
          </w:tcPr>
          <w:p w14:paraId="0DC9E9BE" w14:textId="7B7D6176"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Pr>
                <w:rStyle w:val="normaltextrun"/>
                <w:rFonts w:ascii="Aptos" w:hAnsi="Aptos" w:cs="Segoe UI"/>
                <w:sz w:val="22"/>
                <w:szCs w:val="22"/>
              </w:rPr>
              <w:t>-</w:t>
            </w:r>
            <w:r>
              <w:rPr>
                <w:rStyle w:val="eop"/>
                <w:rFonts w:ascii="Aptos" w:hAnsi="Aptos" w:cs="Segoe UI"/>
                <w:sz w:val="22"/>
                <w:szCs w:val="22"/>
              </w:rPr>
              <w:t> </w:t>
            </w:r>
          </w:p>
        </w:tc>
      </w:tr>
      <w:tr w:rsidR="00C9262A" w:rsidRPr="006B1904" w14:paraId="548F592D" w14:textId="467DA1A0" w:rsidTr="003A7C09">
        <w:trPr>
          <w:trHeight w:val="330"/>
        </w:trPr>
        <w:tc>
          <w:tcPr>
            <w:tcW w:w="3207" w:type="dxa"/>
            <w:tcBorders>
              <w:top w:val="nil"/>
              <w:left w:val="nil"/>
              <w:bottom w:val="nil"/>
              <w:right w:val="nil"/>
            </w:tcBorders>
            <w:vAlign w:val="center"/>
          </w:tcPr>
          <w:p w14:paraId="24BD6A26" w14:textId="77777777" w:rsidR="00C9262A"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Card networks – 3 party</w:t>
            </w:r>
          </w:p>
        </w:tc>
        <w:tc>
          <w:tcPr>
            <w:tcW w:w="2038" w:type="dxa"/>
            <w:tcBorders>
              <w:top w:val="nil"/>
              <w:left w:val="nil"/>
              <w:bottom w:val="nil"/>
              <w:right w:val="nil"/>
            </w:tcBorders>
            <w:vAlign w:val="center"/>
          </w:tcPr>
          <w:p w14:paraId="119DF05A"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2298" w:type="dxa"/>
            <w:tcBorders>
              <w:top w:val="nil"/>
              <w:left w:val="nil"/>
              <w:bottom w:val="nil"/>
              <w:right w:val="nil"/>
            </w:tcBorders>
            <w:vAlign w:val="center"/>
          </w:tcPr>
          <w:p w14:paraId="731A572D" w14:textId="77777777"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sidRPr="006B1904">
              <w:rPr>
                <w:rFonts w:ascii="Aptos" w:eastAsia="Times New Roman" w:hAnsi="Aptos" w:cs="Segoe UI"/>
                <w:color w:val="4EA72E"/>
                <w:sz w:val="22"/>
                <w:szCs w:val="22"/>
                <w:lang w:eastAsia="en-AU"/>
              </w:rPr>
              <w:t xml:space="preserve">+370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+650 </w:t>
            </w:r>
          </w:p>
        </w:tc>
        <w:tc>
          <w:tcPr>
            <w:tcW w:w="2095" w:type="dxa"/>
            <w:tcBorders>
              <w:top w:val="nil"/>
              <w:left w:val="nil"/>
              <w:bottom w:val="nil"/>
              <w:right w:val="nil"/>
            </w:tcBorders>
            <w:vAlign w:val="center"/>
          </w:tcPr>
          <w:p w14:paraId="5CAE6352" w14:textId="1410D405"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Pr>
                <w:rStyle w:val="normaltextrun"/>
                <w:rFonts w:ascii="Aptos" w:hAnsi="Aptos" w:cs="Segoe UI"/>
                <w:color w:val="4EA72E"/>
                <w:sz w:val="22"/>
                <w:szCs w:val="22"/>
              </w:rPr>
              <w:t xml:space="preserve">+40 </w:t>
            </w:r>
            <w:r>
              <w:rPr>
                <w:rStyle w:val="normaltextrun"/>
                <w:rFonts w:ascii="Aptos" w:hAnsi="Aptos" w:cs="Segoe UI"/>
                <w:sz w:val="22"/>
                <w:szCs w:val="22"/>
              </w:rPr>
              <w:t>to</w:t>
            </w:r>
            <w:r>
              <w:rPr>
                <w:rStyle w:val="normaltextrun"/>
                <w:rFonts w:ascii="Aptos" w:hAnsi="Aptos" w:cs="Segoe UI"/>
                <w:color w:val="4EA72E"/>
                <w:sz w:val="22"/>
                <w:szCs w:val="22"/>
              </w:rPr>
              <w:t xml:space="preserve"> +65</w:t>
            </w:r>
            <w:r>
              <w:rPr>
                <w:rStyle w:val="eop"/>
                <w:rFonts w:ascii="Aptos" w:hAnsi="Aptos" w:cs="Segoe UI"/>
                <w:color w:val="4EA72E"/>
                <w:sz w:val="22"/>
                <w:szCs w:val="22"/>
              </w:rPr>
              <w:t> </w:t>
            </w:r>
          </w:p>
        </w:tc>
      </w:tr>
      <w:tr w:rsidR="00C9262A" w:rsidRPr="006B1904" w14:paraId="6BF89172" w14:textId="4C738A1A" w:rsidTr="003A7C09">
        <w:trPr>
          <w:trHeight w:val="330"/>
        </w:trPr>
        <w:tc>
          <w:tcPr>
            <w:tcW w:w="3207" w:type="dxa"/>
            <w:tcBorders>
              <w:top w:val="nil"/>
              <w:left w:val="nil"/>
              <w:bottom w:val="single" w:sz="4" w:space="0" w:color="auto"/>
              <w:right w:val="nil"/>
            </w:tcBorders>
            <w:vAlign w:val="center"/>
          </w:tcPr>
          <w:p w14:paraId="1A5CE8B2" w14:textId="77777777" w:rsidR="00C9262A" w:rsidRDefault="00C9262A" w:rsidP="00C9262A">
            <w:pPr>
              <w:pStyle w:val="ListParagraph"/>
              <w:numPr>
                <w:ilvl w:val="0"/>
                <w:numId w:val="72"/>
              </w:numPr>
              <w:spacing w:after="0" w:line="240" w:lineRule="auto"/>
              <w:jc w:val="left"/>
              <w:textAlignment w:val="baseline"/>
              <w:rPr>
                <w:rFonts w:ascii="Aptos" w:eastAsia="Times New Roman" w:hAnsi="Aptos" w:cs="Segoe UI"/>
                <w:sz w:val="22"/>
                <w:szCs w:val="22"/>
                <w:lang w:eastAsia="en-AU"/>
              </w:rPr>
            </w:pPr>
            <w:r>
              <w:rPr>
                <w:rFonts w:ascii="Aptos" w:eastAsia="Times New Roman" w:hAnsi="Aptos" w:cs="Segoe UI"/>
                <w:sz w:val="22"/>
                <w:szCs w:val="22"/>
                <w:lang w:eastAsia="en-AU"/>
              </w:rPr>
              <w:t>BNPL</w:t>
            </w:r>
          </w:p>
        </w:tc>
        <w:tc>
          <w:tcPr>
            <w:tcW w:w="2038" w:type="dxa"/>
            <w:tcBorders>
              <w:top w:val="nil"/>
              <w:left w:val="nil"/>
              <w:bottom w:val="single" w:sz="4" w:space="0" w:color="auto"/>
              <w:right w:val="nil"/>
            </w:tcBorders>
            <w:vAlign w:val="center"/>
          </w:tcPr>
          <w:p w14:paraId="7957A3DE" w14:textId="77777777" w:rsidR="00C9262A" w:rsidRPr="006B1904" w:rsidRDefault="00C9262A" w:rsidP="00EA4AA7">
            <w:pPr>
              <w:spacing w:after="0" w:line="240" w:lineRule="auto"/>
              <w:jc w:val="right"/>
              <w:textAlignment w:val="baseline"/>
              <w:rPr>
                <w:rFonts w:ascii="Aptos" w:eastAsia="Times New Roman" w:hAnsi="Aptos" w:cs="Segoe UI"/>
                <w:sz w:val="22"/>
                <w:szCs w:val="22"/>
                <w:lang w:eastAsia="en-AU"/>
              </w:rPr>
            </w:pPr>
            <w:r w:rsidRPr="006B1904">
              <w:rPr>
                <w:rFonts w:ascii="Aptos" w:eastAsia="Times New Roman" w:hAnsi="Aptos" w:cs="Segoe UI"/>
                <w:sz w:val="22"/>
                <w:szCs w:val="22"/>
                <w:lang w:eastAsia="en-AU"/>
              </w:rPr>
              <w:t>- </w:t>
            </w:r>
          </w:p>
        </w:tc>
        <w:tc>
          <w:tcPr>
            <w:tcW w:w="2298" w:type="dxa"/>
            <w:tcBorders>
              <w:top w:val="nil"/>
              <w:left w:val="nil"/>
              <w:bottom w:val="single" w:sz="4" w:space="0" w:color="auto"/>
              <w:right w:val="nil"/>
            </w:tcBorders>
            <w:vAlign w:val="center"/>
          </w:tcPr>
          <w:p w14:paraId="3236661F" w14:textId="77777777"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sidRPr="006B1904">
              <w:rPr>
                <w:rFonts w:ascii="Aptos" w:eastAsia="Times New Roman" w:hAnsi="Aptos" w:cs="Segoe UI"/>
                <w:color w:val="4EA72E"/>
                <w:sz w:val="22"/>
                <w:szCs w:val="22"/>
                <w:lang w:eastAsia="en-AU"/>
              </w:rPr>
              <w:t xml:space="preserve">+90 </w:t>
            </w:r>
            <w:r w:rsidRPr="006B1904">
              <w:rPr>
                <w:rFonts w:ascii="Aptos" w:eastAsia="Times New Roman" w:hAnsi="Aptos" w:cs="Segoe UI"/>
                <w:color w:val="000000"/>
                <w:sz w:val="22"/>
                <w:szCs w:val="22"/>
                <w:lang w:eastAsia="en-AU"/>
              </w:rPr>
              <w:t>to</w:t>
            </w:r>
            <w:r w:rsidRPr="006B1904">
              <w:rPr>
                <w:rFonts w:ascii="Aptos" w:eastAsia="Times New Roman" w:hAnsi="Aptos" w:cs="Segoe UI"/>
                <w:color w:val="4EA72E"/>
                <w:sz w:val="22"/>
                <w:szCs w:val="22"/>
                <w:lang w:eastAsia="en-AU"/>
              </w:rPr>
              <w:t xml:space="preserve"> +175 </w:t>
            </w:r>
          </w:p>
        </w:tc>
        <w:tc>
          <w:tcPr>
            <w:tcW w:w="2095" w:type="dxa"/>
            <w:tcBorders>
              <w:top w:val="nil"/>
              <w:left w:val="nil"/>
              <w:bottom w:val="single" w:sz="4" w:space="0" w:color="auto"/>
              <w:right w:val="nil"/>
            </w:tcBorders>
            <w:vAlign w:val="center"/>
          </w:tcPr>
          <w:p w14:paraId="0785E6C2" w14:textId="64A289DF" w:rsidR="00C9262A" w:rsidRPr="006B1904" w:rsidRDefault="00C9262A" w:rsidP="00EA4AA7">
            <w:pPr>
              <w:spacing w:after="0" w:line="240" w:lineRule="auto"/>
              <w:jc w:val="right"/>
              <w:textAlignment w:val="baseline"/>
              <w:rPr>
                <w:rFonts w:ascii="Aptos" w:eastAsia="Times New Roman" w:hAnsi="Aptos" w:cs="Segoe UI"/>
                <w:color w:val="4EA72E"/>
                <w:sz w:val="22"/>
                <w:szCs w:val="22"/>
                <w:lang w:eastAsia="en-AU"/>
              </w:rPr>
            </w:pPr>
            <w:r>
              <w:rPr>
                <w:rStyle w:val="normaltextrun"/>
                <w:rFonts w:ascii="Aptos" w:hAnsi="Aptos" w:cs="Segoe UI"/>
                <w:color w:val="4EA72E"/>
                <w:sz w:val="22"/>
                <w:szCs w:val="22"/>
              </w:rPr>
              <w:t xml:space="preserve">+15 </w:t>
            </w:r>
            <w:r>
              <w:rPr>
                <w:rStyle w:val="normaltextrun"/>
                <w:rFonts w:ascii="Aptos" w:hAnsi="Aptos" w:cs="Segoe UI"/>
                <w:sz w:val="22"/>
                <w:szCs w:val="22"/>
              </w:rPr>
              <w:t xml:space="preserve">to </w:t>
            </w:r>
            <w:r>
              <w:rPr>
                <w:rStyle w:val="normaltextrun"/>
                <w:rFonts w:ascii="Aptos" w:hAnsi="Aptos" w:cs="Segoe UI"/>
                <w:color w:val="4EA72E"/>
                <w:sz w:val="22"/>
                <w:szCs w:val="22"/>
              </w:rPr>
              <w:t>+30</w:t>
            </w:r>
            <w:r>
              <w:rPr>
                <w:rStyle w:val="eop"/>
                <w:rFonts w:ascii="Aptos" w:hAnsi="Aptos" w:cs="Segoe UI"/>
                <w:color w:val="4EA72E"/>
                <w:sz w:val="22"/>
                <w:szCs w:val="22"/>
              </w:rPr>
              <w:t> </w:t>
            </w:r>
          </w:p>
        </w:tc>
      </w:tr>
    </w:tbl>
    <w:p w14:paraId="16E13893" w14:textId="790F5D4D" w:rsidR="006F4A9D" w:rsidRDefault="006F4A9D" w:rsidP="00B2199B">
      <w:pPr>
        <w:rPr>
          <w:rFonts w:cstheme="minorHAnsi"/>
          <w:sz w:val="21"/>
          <w:szCs w:val="21"/>
        </w:rPr>
      </w:pPr>
    </w:p>
    <w:p w14:paraId="4945DC9E" w14:textId="77777777" w:rsidR="000F57AF" w:rsidRDefault="000F57AF">
      <w:pPr>
        <w:spacing w:after="160"/>
        <w:jc w:val="left"/>
        <w:rPr>
          <w:rFonts w:cstheme="minorHAnsi"/>
          <w:b/>
          <w:bCs/>
          <w:sz w:val="21"/>
          <w:szCs w:val="21"/>
        </w:rPr>
      </w:pPr>
      <w:r>
        <w:rPr>
          <w:rFonts w:cstheme="minorHAnsi"/>
          <w:b/>
          <w:bCs/>
          <w:sz w:val="21"/>
          <w:szCs w:val="21"/>
        </w:rPr>
        <w:br w:type="page"/>
      </w:r>
    </w:p>
    <w:p w14:paraId="6D14B191" w14:textId="3C20923D" w:rsidR="006A5BD6" w:rsidRPr="00176E20" w:rsidRDefault="006A5BD6" w:rsidP="006A5BD6">
      <w:pPr>
        <w:keepNext/>
        <w:rPr>
          <w:rFonts w:cstheme="minorHAnsi"/>
          <w:sz w:val="21"/>
          <w:szCs w:val="21"/>
        </w:rPr>
      </w:pPr>
      <w:r w:rsidRPr="00176E20">
        <w:rPr>
          <w:rFonts w:cstheme="minorHAnsi"/>
          <w:b/>
          <w:bCs/>
          <w:sz w:val="21"/>
          <w:szCs w:val="21"/>
        </w:rPr>
        <w:lastRenderedPageBreak/>
        <w:t>Where to from here?</w:t>
      </w:r>
    </w:p>
    <w:p w14:paraId="4DECEE2D" w14:textId="10A7FF5B" w:rsidR="006A5BD6" w:rsidRPr="00176E20" w:rsidRDefault="006A5BD6" w:rsidP="00597791">
      <w:pPr>
        <w:spacing w:after="160"/>
        <w:rPr>
          <w:rFonts w:cstheme="minorHAnsi"/>
          <w:sz w:val="21"/>
          <w:szCs w:val="21"/>
        </w:rPr>
      </w:pPr>
      <w:r w:rsidRPr="00176E20">
        <w:rPr>
          <w:rFonts w:cstheme="minorHAnsi"/>
          <w:sz w:val="21"/>
          <w:szCs w:val="21"/>
        </w:rPr>
        <w:t>We see a clear pathway for the RBA to finalise and implement changes to interchange</w:t>
      </w:r>
      <w:r w:rsidR="00143761">
        <w:rPr>
          <w:rFonts w:cstheme="minorHAnsi"/>
          <w:sz w:val="21"/>
          <w:szCs w:val="21"/>
        </w:rPr>
        <w:t xml:space="preserve"> </w:t>
      </w:r>
      <w:r w:rsidR="0082380E">
        <w:rPr>
          <w:rFonts w:cstheme="minorHAnsi"/>
          <w:sz w:val="21"/>
          <w:szCs w:val="21"/>
        </w:rPr>
        <w:t>in a way that is</w:t>
      </w:r>
      <w:r w:rsidR="00143761">
        <w:rPr>
          <w:rFonts w:cstheme="minorHAnsi"/>
          <w:sz w:val="21"/>
          <w:szCs w:val="21"/>
        </w:rPr>
        <w:t xml:space="preserve"> supported by robust </w:t>
      </w:r>
      <w:r w:rsidR="003F0910">
        <w:rPr>
          <w:rFonts w:cstheme="minorHAnsi"/>
          <w:sz w:val="21"/>
          <w:szCs w:val="21"/>
        </w:rPr>
        <w:t>cost analysis</w:t>
      </w:r>
      <w:r w:rsidR="00086007">
        <w:rPr>
          <w:rFonts w:cstheme="minorHAnsi"/>
          <w:sz w:val="21"/>
          <w:szCs w:val="21"/>
        </w:rPr>
        <w:t xml:space="preserve"> and </w:t>
      </w:r>
      <w:r w:rsidRPr="00176E20">
        <w:rPr>
          <w:rFonts w:cstheme="minorHAnsi"/>
          <w:sz w:val="21"/>
          <w:szCs w:val="21"/>
        </w:rPr>
        <w:t>consider</w:t>
      </w:r>
      <w:r w:rsidR="009B627A">
        <w:rPr>
          <w:rFonts w:cstheme="minorHAnsi"/>
          <w:sz w:val="21"/>
          <w:szCs w:val="21"/>
        </w:rPr>
        <w:t>ation of</w:t>
      </w:r>
      <w:r w:rsidRPr="00176E20">
        <w:rPr>
          <w:rFonts w:cstheme="minorHAnsi"/>
          <w:sz w:val="21"/>
          <w:szCs w:val="21"/>
        </w:rPr>
        <w:t xml:space="preserve"> </w:t>
      </w:r>
      <w:r w:rsidR="00EE1C4D">
        <w:rPr>
          <w:rFonts w:cstheme="minorHAnsi"/>
          <w:sz w:val="21"/>
          <w:szCs w:val="21"/>
        </w:rPr>
        <w:t xml:space="preserve">the </w:t>
      </w:r>
      <w:r w:rsidR="00820F5E">
        <w:rPr>
          <w:rFonts w:cstheme="minorHAnsi"/>
          <w:sz w:val="21"/>
          <w:szCs w:val="21"/>
        </w:rPr>
        <w:t>RBA’s expanded remit under the</w:t>
      </w:r>
      <w:r w:rsidR="00086007">
        <w:rPr>
          <w:rFonts w:cstheme="minorHAnsi"/>
          <w:sz w:val="21"/>
          <w:szCs w:val="21"/>
        </w:rPr>
        <w:t xml:space="preserve"> </w:t>
      </w:r>
      <w:r w:rsidR="000A202E">
        <w:rPr>
          <w:rFonts w:cstheme="minorHAnsi"/>
          <w:sz w:val="21"/>
          <w:szCs w:val="21"/>
        </w:rPr>
        <w:t xml:space="preserve">updated </w:t>
      </w:r>
      <w:r w:rsidRPr="00176E20">
        <w:rPr>
          <w:rFonts w:cstheme="minorHAnsi"/>
          <w:sz w:val="21"/>
          <w:szCs w:val="21"/>
        </w:rPr>
        <w:t>PSRA.</w:t>
      </w:r>
    </w:p>
    <w:tbl>
      <w:tblPr>
        <w:tblStyle w:val="TableGrid"/>
        <w:tblW w:w="9209" w:type="dxa"/>
        <w:tblBorders>
          <w:left w:val="none" w:sz="0" w:space="0" w:color="auto"/>
          <w:right w:val="none" w:sz="0" w:space="0" w:color="auto"/>
        </w:tblBorders>
        <w:tblLook w:val="04A0" w:firstRow="1" w:lastRow="0" w:firstColumn="1" w:lastColumn="0" w:noHBand="0" w:noVBand="1"/>
      </w:tblPr>
      <w:tblGrid>
        <w:gridCol w:w="1701"/>
        <w:gridCol w:w="2504"/>
        <w:gridCol w:w="5004"/>
      </w:tblGrid>
      <w:tr w:rsidR="00437C9A" w14:paraId="2AEB704D" w14:textId="77777777">
        <w:trPr>
          <w:cnfStyle w:val="100000000000" w:firstRow="1" w:lastRow="0" w:firstColumn="0" w:lastColumn="0" w:oddVBand="0" w:evenVBand="0" w:oddHBand="0" w:evenHBand="0" w:firstRowFirstColumn="0" w:firstRowLastColumn="0" w:lastRowFirstColumn="0" w:lastRowLastColumn="0"/>
        </w:trPr>
        <w:tc>
          <w:tcPr>
            <w:tcW w:w="1701" w:type="dxa"/>
            <w:tcBorders>
              <w:right w:val="nil"/>
            </w:tcBorders>
            <w:shd w:val="clear" w:color="auto" w:fill="54C2E8" w:themeFill="accent3"/>
          </w:tcPr>
          <w:p w14:paraId="33C3C9A2" w14:textId="77777777" w:rsidR="00437C9A" w:rsidRPr="00490FDF" w:rsidRDefault="00437C9A">
            <w:pPr>
              <w:rPr>
                <w:rFonts w:ascii="CBA Beacon Sans Extra Bold" w:hAnsi="CBA Beacon Sans Extra Bold"/>
                <w:color w:val="FFFFFF" w:themeColor="background1"/>
              </w:rPr>
            </w:pPr>
            <w:r w:rsidRPr="00490FDF">
              <w:rPr>
                <w:rFonts w:ascii="CBA Beacon Sans Extra Bold" w:hAnsi="CBA Beacon Sans Extra Bold"/>
                <w:color w:val="FFFFFF" w:themeColor="background1"/>
              </w:rPr>
              <w:t>Proposal</w:t>
            </w:r>
          </w:p>
        </w:tc>
        <w:tc>
          <w:tcPr>
            <w:tcW w:w="2504" w:type="dxa"/>
            <w:tcBorders>
              <w:left w:val="nil"/>
              <w:right w:val="nil"/>
            </w:tcBorders>
            <w:shd w:val="clear" w:color="auto" w:fill="54C2E8" w:themeFill="accent3"/>
          </w:tcPr>
          <w:p w14:paraId="791B1667" w14:textId="77777777" w:rsidR="00437C9A" w:rsidRPr="00490FDF" w:rsidRDefault="00437C9A">
            <w:pPr>
              <w:rPr>
                <w:rFonts w:ascii="CBA Beacon Sans Extra Bold" w:hAnsi="CBA Beacon Sans Extra Bold"/>
                <w:color w:val="FFFFFF" w:themeColor="background1"/>
              </w:rPr>
            </w:pPr>
            <w:r w:rsidRPr="00490FDF">
              <w:rPr>
                <w:rFonts w:ascii="CBA Beacon Sans Extra Bold" w:hAnsi="CBA Beacon Sans Extra Bold"/>
                <w:color w:val="FFFFFF" w:themeColor="background1"/>
              </w:rPr>
              <w:t>Timing</w:t>
            </w:r>
          </w:p>
        </w:tc>
        <w:tc>
          <w:tcPr>
            <w:tcW w:w="5004" w:type="dxa"/>
            <w:tcBorders>
              <w:left w:val="nil"/>
            </w:tcBorders>
            <w:shd w:val="clear" w:color="auto" w:fill="54C2E8" w:themeFill="accent3"/>
          </w:tcPr>
          <w:p w14:paraId="1F37635C" w14:textId="77777777" w:rsidR="00437C9A" w:rsidRPr="00490FDF" w:rsidRDefault="00437C9A">
            <w:pPr>
              <w:rPr>
                <w:rFonts w:ascii="CBA Beacon Sans Extra Bold" w:hAnsi="CBA Beacon Sans Extra Bold"/>
                <w:color w:val="FFFFFF" w:themeColor="background1"/>
              </w:rPr>
            </w:pPr>
            <w:r w:rsidRPr="00490FDF">
              <w:rPr>
                <w:rFonts w:ascii="CBA Beacon Sans Extra Bold" w:hAnsi="CBA Beacon Sans Extra Bold"/>
                <w:color w:val="FFFFFF" w:themeColor="background1"/>
              </w:rPr>
              <w:t xml:space="preserve">Comments </w:t>
            </w:r>
          </w:p>
        </w:tc>
      </w:tr>
      <w:tr w:rsidR="00437C9A" w14:paraId="1B9A9D6D" w14:textId="77777777">
        <w:tc>
          <w:tcPr>
            <w:tcW w:w="1701" w:type="dxa"/>
            <w:tcBorders>
              <w:right w:val="nil"/>
            </w:tcBorders>
          </w:tcPr>
          <w:p w14:paraId="25401670" w14:textId="77777777" w:rsidR="00437C9A" w:rsidRPr="00E96339" w:rsidRDefault="00437C9A">
            <w:pPr>
              <w:jc w:val="left"/>
              <w:rPr>
                <w:b/>
                <w:bCs/>
              </w:rPr>
            </w:pPr>
            <w:r w:rsidRPr="00E96339">
              <w:rPr>
                <w:b/>
                <w:bCs/>
              </w:rPr>
              <w:t xml:space="preserve">Refine issuing cost study </w:t>
            </w:r>
          </w:p>
        </w:tc>
        <w:tc>
          <w:tcPr>
            <w:tcW w:w="2504" w:type="dxa"/>
            <w:tcBorders>
              <w:left w:val="nil"/>
              <w:right w:val="nil"/>
            </w:tcBorders>
          </w:tcPr>
          <w:p w14:paraId="26A97FB6" w14:textId="082D009A" w:rsidR="00437C9A" w:rsidRDefault="00437C9A">
            <w:r w:rsidRPr="00C02530">
              <w:t xml:space="preserve">Prior to 26 November </w:t>
            </w:r>
            <w:r>
              <w:t>202</w:t>
            </w:r>
            <w:r w:rsidR="001D08E9">
              <w:t>5</w:t>
            </w:r>
            <w:r>
              <w:t xml:space="preserve"> </w:t>
            </w:r>
          </w:p>
          <w:p w14:paraId="4F95255C" w14:textId="77777777" w:rsidR="00437C9A" w:rsidRPr="00C02530" w:rsidRDefault="00437C9A">
            <w:r>
              <w:t>(</w:t>
            </w:r>
            <w:r w:rsidRPr="00C02530">
              <w:t>PSB meeting</w:t>
            </w:r>
            <w:r>
              <w:t>)</w:t>
            </w:r>
          </w:p>
        </w:tc>
        <w:tc>
          <w:tcPr>
            <w:tcW w:w="5004" w:type="dxa"/>
            <w:tcBorders>
              <w:left w:val="nil"/>
            </w:tcBorders>
          </w:tcPr>
          <w:p w14:paraId="27C715C3" w14:textId="32A641AF" w:rsidR="00437C9A" w:rsidRPr="00C02530" w:rsidRDefault="00437C9A">
            <w:r w:rsidRPr="00C02530">
              <w:t>Time should be allowed for constructive challenge between the RBA and industry</w:t>
            </w:r>
            <w:r>
              <w:t>,</w:t>
            </w:r>
            <w:r w:rsidRPr="00C02530">
              <w:t xml:space="preserve"> </w:t>
            </w:r>
            <w:r>
              <w:t xml:space="preserve">and </w:t>
            </w:r>
            <w:r w:rsidR="00115E00">
              <w:t xml:space="preserve">further </w:t>
            </w:r>
            <w:r>
              <w:t xml:space="preserve">data collection and analysis </w:t>
            </w:r>
            <w:r w:rsidRPr="00C02530">
              <w:t>to better reflect market changes over the past 10 years, the current context, and to create clarity and consistency on new cost study category definitions.</w:t>
            </w:r>
          </w:p>
        </w:tc>
      </w:tr>
      <w:tr w:rsidR="00437C9A" w14:paraId="54122529" w14:textId="77777777">
        <w:tc>
          <w:tcPr>
            <w:tcW w:w="1701" w:type="dxa"/>
            <w:tcBorders>
              <w:right w:val="nil"/>
            </w:tcBorders>
          </w:tcPr>
          <w:p w14:paraId="1596324C" w14:textId="77777777" w:rsidR="00437C9A" w:rsidRPr="00E96339" w:rsidRDefault="00437C9A">
            <w:pPr>
              <w:jc w:val="left"/>
              <w:rPr>
                <w:b/>
                <w:bCs/>
              </w:rPr>
            </w:pPr>
            <w:r w:rsidRPr="00E96339">
              <w:rPr>
                <w:b/>
                <w:bCs/>
              </w:rPr>
              <w:t>Propose potential interventions under the PSRA</w:t>
            </w:r>
          </w:p>
        </w:tc>
        <w:tc>
          <w:tcPr>
            <w:tcW w:w="2504" w:type="dxa"/>
            <w:tcBorders>
              <w:left w:val="nil"/>
              <w:right w:val="nil"/>
            </w:tcBorders>
          </w:tcPr>
          <w:p w14:paraId="3E143CF7" w14:textId="77777777" w:rsidR="00437C9A" w:rsidRPr="00C02530" w:rsidRDefault="00437C9A">
            <w:r>
              <w:t>Q4 2025</w:t>
            </w:r>
          </w:p>
        </w:tc>
        <w:tc>
          <w:tcPr>
            <w:tcW w:w="5004" w:type="dxa"/>
            <w:tcBorders>
              <w:left w:val="nil"/>
            </w:tcBorders>
          </w:tcPr>
          <w:p w14:paraId="2973A1C7" w14:textId="4255A20D" w:rsidR="00437C9A" w:rsidRPr="00C02530" w:rsidRDefault="00437C9A">
            <w:r w:rsidRPr="00C02530">
              <w:t>RBA to provide guidance on potential interventions under the PSRA</w:t>
            </w:r>
            <w:r w:rsidR="00A10EB3">
              <w:t xml:space="preserve"> so</w:t>
            </w:r>
            <w:r w:rsidRPr="00C02530">
              <w:t xml:space="preserve"> </w:t>
            </w:r>
            <w:r w:rsidR="00E4285B">
              <w:t xml:space="preserve">that the new </w:t>
            </w:r>
            <w:r w:rsidRPr="00C02530">
              <w:t xml:space="preserve">powers </w:t>
            </w:r>
            <w:r w:rsidR="0081132A">
              <w:t xml:space="preserve">can </w:t>
            </w:r>
            <w:r w:rsidRPr="00C02530">
              <w:t xml:space="preserve">be exercised </w:t>
            </w:r>
            <w:r w:rsidR="00D004A8">
              <w:t>promptly following the</w:t>
            </w:r>
            <w:r w:rsidR="00BC511C">
              <w:t xml:space="preserve"> commencement</w:t>
            </w:r>
            <w:r w:rsidR="00C64A17">
              <w:t xml:space="preserve"> date</w:t>
            </w:r>
            <w:r w:rsidR="00D232C6">
              <w:t xml:space="preserve"> (three months from Royal Assent)</w:t>
            </w:r>
            <w:r w:rsidRPr="00C02530">
              <w:t>.</w:t>
            </w:r>
          </w:p>
        </w:tc>
      </w:tr>
      <w:tr w:rsidR="00437C9A" w14:paraId="17A7FAE7" w14:textId="77777777">
        <w:tc>
          <w:tcPr>
            <w:tcW w:w="1701" w:type="dxa"/>
            <w:tcBorders>
              <w:right w:val="nil"/>
            </w:tcBorders>
          </w:tcPr>
          <w:p w14:paraId="572875E0" w14:textId="77777777" w:rsidR="00437C9A" w:rsidRPr="00E96339" w:rsidRDefault="00437C9A">
            <w:pPr>
              <w:jc w:val="left"/>
              <w:rPr>
                <w:b/>
                <w:bCs/>
              </w:rPr>
            </w:pPr>
            <w:r>
              <w:rPr>
                <w:b/>
                <w:bCs/>
              </w:rPr>
              <w:t>Finalise policy proposals</w:t>
            </w:r>
          </w:p>
        </w:tc>
        <w:tc>
          <w:tcPr>
            <w:tcW w:w="2504" w:type="dxa"/>
            <w:tcBorders>
              <w:left w:val="nil"/>
              <w:right w:val="nil"/>
            </w:tcBorders>
          </w:tcPr>
          <w:p w14:paraId="463F065D" w14:textId="77777777" w:rsidR="00437C9A" w:rsidRPr="00C02530" w:rsidRDefault="00437C9A">
            <w:r>
              <w:t>Q1 2026</w:t>
            </w:r>
          </w:p>
        </w:tc>
        <w:tc>
          <w:tcPr>
            <w:tcW w:w="5004" w:type="dxa"/>
            <w:tcBorders>
              <w:left w:val="nil"/>
            </w:tcBorders>
          </w:tcPr>
          <w:p w14:paraId="7AE3FE84" w14:textId="77777777" w:rsidR="00437C9A" w:rsidRPr="00C02530" w:rsidRDefault="00437C9A">
            <w:r w:rsidRPr="00C02530">
              <w:t xml:space="preserve">Based on the above and current consultation, refine policy proposals to ensure policy objectives are met, </w:t>
            </w:r>
            <w:proofErr w:type="gramStart"/>
            <w:r w:rsidRPr="00C02530">
              <w:t>taking into account</w:t>
            </w:r>
            <w:proofErr w:type="gramEnd"/>
            <w:r w:rsidRPr="00C02530">
              <w:t xml:space="preserve"> second order implications.</w:t>
            </w:r>
          </w:p>
        </w:tc>
      </w:tr>
      <w:tr w:rsidR="00437C9A" w14:paraId="541EF3D1" w14:textId="77777777">
        <w:tc>
          <w:tcPr>
            <w:tcW w:w="1701" w:type="dxa"/>
            <w:tcBorders>
              <w:right w:val="nil"/>
            </w:tcBorders>
          </w:tcPr>
          <w:p w14:paraId="22512798" w14:textId="77777777" w:rsidR="00437C9A" w:rsidRDefault="00437C9A">
            <w:pPr>
              <w:jc w:val="left"/>
              <w:rPr>
                <w:b/>
                <w:bCs/>
              </w:rPr>
            </w:pPr>
            <w:r w:rsidRPr="00E96339">
              <w:rPr>
                <w:b/>
                <w:bCs/>
              </w:rPr>
              <w:t>Amendments to surcharging rules</w:t>
            </w:r>
          </w:p>
        </w:tc>
        <w:tc>
          <w:tcPr>
            <w:tcW w:w="2504" w:type="dxa"/>
            <w:tcBorders>
              <w:left w:val="nil"/>
              <w:right w:val="nil"/>
            </w:tcBorders>
          </w:tcPr>
          <w:p w14:paraId="1E68A420" w14:textId="77777777" w:rsidR="00437C9A" w:rsidRDefault="00437C9A">
            <w:r>
              <w:t>1 July 2026</w:t>
            </w:r>
          </w:p>
        </w:tc>
        <w:tc>
          <w:tcPr>
            <w:tcW w:w="5004" w:type="dxa"/>
            <w:vMerge w:val="restart"/>
            <w:tcBorders>
              <w:left w:val="nil"/>
            </w:tcBorders>
          </w:tcPr>
          <w:p w14:paraId="2F6D120E" w14:textId="77777777" w:rsidR="00437C9A" w:rsidRDefault="00437C9A"/>
          <w:p w14:paraId="065A5FEE" w14:textId="77777777" w:rsidR="00437C9A" w:rsidRPr="00C02530" w:rsidRDefault="00437C9A">
            <w:r w:rsidRPr="00C02530">
              <w:t>Introduce transparency measures and a small business plan with the ban on surcharging to help small businesses seek a better deal.</w:t>
            </w:r>
          </w:p>
        </w:tc>
      </w:tr>
      <w:tr w:rsidR="00437C9A" w14:paraId="565E839F" w14:textId="77777777">
        <w:tc>
          <w:tcPr>
            <w:tcW w:w="1701" w:type="dxa"/>
            <w:tcBorders>
              <w:right w:val="nil"/>
            </w:tcBorders>
          </w:tcPr>
          <w:p w14:paraId="427C8845" w14:textId="77777777" w:rsidR="00437C9A" w:rsidRDefault="00437C9A">
            <w:pPr>
              <w:jc w:val="left"/>
              <w:rPr>
                <w:b/>
                <w:bCs/>
              </w:rPr>
            </w:pPr>
            <w:r w:rsidRPr="00E96339">
              <w:rPr>
                <w:b/>
                <w:bCs/>
              </w:rPr>
              <w:t>Additional merchant</w:t>
            </w:r>
            <w:r>
              <w:rPr>
                <w:b/>
                <w:bCs/>
              </w:rPr>
              <w:t xml:space="preserve"> </w:t>
            </w:r>
            <w:r w:rsidRPr="00E96339">
              <w:rPr>
                <w:b/>
                <w:bCs/>
              </w:rPr>
              <w:t>level disclosure</w:t>
            </w:r>
          </w:p>
        </w:tc>
        <w:tc>
          <w:tcPr>
            <w:tcW w:w="2504" w:type="dxa"/>
            <w:tcBorders>
              <w:left w:val="nil"/>
              <w:right w:val="nil"/>
            </w:tcBorders>
          </w:tcPr>
          <w:p w14:paraId="3E8495C2" w14:textId="77777777" w:rsidR="00437C9A" w:rsidRDefault="00437C9A">
            <w:r>
              <w:t>1 July 2026</w:t>
            </w:r>
          </w:p>
        </w:tc>
        <w:tc>
          <w:tcPr>
            <w:tcW w:w="5004" w:type="dxa"/>
            <w:vMerge/>
            <w:tcBorders>
              <w:left w:val="nil"/>
            </w:tcBorders>
          </w:tcPr>
          <w:p w14:paraId="7F721362" w14:textId="77777777" w:rsidR="00437C9A" w:rsidRPr="00C02530" w:rsidRDefault="00437C9A"/>
        </w:tc>
      </w:tr>
      <w:tr w:rsidR="00437C9A" w14:paraId="256F579F" w14:textId="77777777">
        <w:tc>
          <w:tcPr>
            <w:tcW w:w="1701" w:type="dxa"/>
            <w:tcBorders>
              <w:right w:val="nil"/>
            </w:tcBorders>
          </w:tcPr>
          <w:p w14:paraId="02EC4FB2" w14:textId="77777777" w:rsidR="00437C9A" w:rsidRPr="00E96339" w:rsidRDefault="00437C9A">
            <w:pPr>
              <w:jc w:val="left"/>
              <w:rPr>
                <w:b/>
                <w:bCs/>
              </w:rPr>
            </w:pPr>
            <w:r>
              <w:rPr>
                <w:b/>
                <w:bCs/>
              </w:rPr>
              <w:t>C</w:t>
            </w:r>
            <w:r w:rsidRPr="00E96339">
              <w:rPr>
                <w:b/>
                <w:bCs/>
              </w:rPr>
              <w:t xml:space="preserve">redit interchange levels </w:t>
            </w:r>
            <w:r>
              <w:rPr>
                <w:b/>
                <w:bCs/>
              </w:rPr>
              <w:t>adjusted</w:t>
            </w:r>
          </w:p>
        </w:tc>
        <w:tc>
          <w:tcPr>
            <w:tcW w:w="2504" w:type="dxa"/>
            <w:tcBorders>
              <w:left w:val="nil"/>
              <w:right w:val="nil"/>
            </w:tcBorders>
          </w:tcPr>
          <w:p w14:paraId="3EBA067A" w14:textId="6A36B638" w:rsidR="00437C9A" w:rsidRPr="00C02530" w:rsidRDefault="00437C9A">
            <w:pPr>
              <w:rPr>
                <w:color w:val="FF0000"/>
              </w:rPr>
            </w:pPr>
            <w:r w:rsidRPr="007A722B">
              <w:t xml:space="preserve">After PSRA </w:t>
            </w:r>
            <w:r w:rsidR="00345794">
              <w:t>enacted</w:t>
            </w:r>
          </w:p>
        </w:tc>
        <w:tc>
          <w:tcPr>
            <w:tcW w:w="5004" w:type="dxa"/>
            <w:tcBorders>
              <w:left w:val="nil"/>
            </w:tcBorders>
          </w:tcPr>
          <w:p w14:paraId="0197539D" w14:textId="77777777" w:rsidR="00437C9A" w:rsidRPr="00C02530" w:rsidRDefault="00437C9A">
            <w:r w:rsidRPr="00C02530">
              <w:t xml:space="preserve">Synchronise any changes to credit interchange levels with the implementation of PSRA actions unless competitive disparity concerns are discharged </w:t>
            </w:r>
            <w:proofErr w:type="gramStart"/>
            <w:r w:rsidRPr="00C02530">
              <w:t>in the course of</w:t>
            </w:r>
            <w:proofErr w:type="gramEnd"/>
            <w:r w:rsidRPr="00C02530">
              <w:t xml:space="preserve"> above. </w:t>
            </w:r>
          </w:p>
        </w:tc>
      </w:tr>
    </w:tbl>
    <w:p w14:paraId="5021D804" w14:textId="54FEE3B8" w:rsidR="006A5BD6" w:rsidRDefault="006A5BD6" w:rsidP="00597791">
      <w:pPr>
        <w:spacing w:after="160"/>
        <w:rPr>
          <w:rFonts w:cstheme="minorHAnsi"/>
          <w:sz w:val="21"/>
          <w:szCs w:val="21"/>
        </w:rPr>
      </w:pPr>
    </w:p>
    <w:p w14:paraId="0A82D487" w14:textId="6013FBAB" w:rsidR="00502BF0" w:rsidRDefault="006A5BD6" w:rsidP="00597791">
      <w:pPr>
        <w:spacing w:after="160"/>
        <w:rPr>
          <w:rFonts w:cstheme="minorHAnsi"/>
          <w:sz w:val="21"/>
          <w:szCs w:val="21"/>
        </w:rPr>
      </w:pPr>
      <w:r w:rsidRPr="00176E20">
        <w:rPr>
          <w:rFonts w:cstheme="minorHAnsi"/>
          <w:sz w:val="21"/>
          <w:szCs w:val="21"/>
        </w:rPr>
        <w:t>This</w:t>
      </w:r>
      <w:r w:rsidRPr="00176E20" w:rsidDel="002654D1">
        <w:rPr>
          <w:rFonts w:cstheme="minorHAnsi"/>
          <w:sz w:val="21"/>
          <w:szCs w:val="21"/>
        </w:rPr>
        <w:t xml:space="preserve"> </w:t>
      </w:r>
      <w:r w:rsidR="002654D1">
        <w:rPr>
          <w:rFonts w:cstheme="minorHAnsi"/>
          <w:sz w:val="21"/>
          <w:szCs w:val="21"/>
        </w:rPr>
        <w:t>roadmap for reform</w:t>
      </w:r>
      <w:r w:rsidR="002654D1" w:rsidRPr="00176E20">
        <w:rPr>
          <w:rFonts w:cstheme="minorHAnsi"/>
          <w:sz w:val="21"/>
          <w:szCs w:val="21"/>
        </w:rPr>
        <w:t xml:space="preserve"> </w:t>
      </w:r>
      <w:r w:rsidRPr="00176E20">
        <w:rPr>
          <w:rFonts w:cstheme="minorHAnsi"/>
          <w:sz w:val="21"/>
          <w:szCs w:val="21"/>
        </w:rPr>
        <w:t>will give the market the clarity on regulatory settings it needs to drive productive change</w:t>
      </w:r>
      <w:r w:rsidR="00690861">
        <w:rPr>
          <w:rFonts w:cstheme="minorHAnsi"/>
          <w:sz w:val="21"/>
          <w:szCs w:val="21"/>
        </w:rPr>
        <w:t xml:space="preserve">. It </w:t>
      </w:r>
      <w:r w:rsidRPr="00176E20">
        <w:rPr>
          <w:rFonts w:cstheme="minorHAnsi"/>
          <w:sz w:val="21"/>
          <w:szCs w:val="21"/>
        </w:rPr>
        <w:t xml:space="preserve">will minimise </w:t>
      </w:r>
      <w:r w:rsidR="00BA1E45">
        <w:rPr>
          <w:rFonts w:cstheme="minorHAnsi"/>
          <w:sz w:val="21"/>
          <w:szCs w:val="21"/>
        </w:rPr>
        <w:t>the risk of</w:t>
      </w:r>
      <w:r w:rsidR="00C07BBF" w:rsidRPr="00176E20">
        <w:rPr>
          <w:rFonts w:cstheme="minorHAnsi"/>
          <w:sz w:val="21"/>
          <w:szCs w:val="21"/>
        </w:rPr>
        <w:t xml:space="preserve"> </w:t>
      </w:r>
      <w:r w:rsidRPr="00176E20">
        <w:rPr>
          <w:rFonts w:cstheme="minorHAnsi"/>
          <w:sz w:val="21"/>
          <w:szCs w:val="21"/>
        </w:rPr>
        <w:t xml:space="preserve">irreversible </w:t>
      </w:r>
      <w:r w:rsidR="00BA1E45">
        <w:rPr>
          <w:rFonts w:cstheme="minorHAnsi"/>
          <w:sz w:val="21"/>
          <w:szCs w:val="21"/>
        </w:rPr>
        <w:t xml:space="preserve">market </w:t>
      </w:r>
      <w:r w:rsidRPr="00176E20">
        <w:rPr>
          <w:rFonts w:cstheme="minorHAnsi"/>
          <w:sz w:val="21"/>
          <w:szCs w:val="21"/>
        </w:rPr>
        <w:t xml:space="preserve">distortions </w:t>
      </w:r>
      <w:r w:rsidR="00842EB7">
        <w:rPr>
          <w:rFonts w:cstheme="minorHAnsi"/>
          <w:sz w:val="21"/>
          <w:szCs w:val="21"/>
        </w:rPr>
        <w:t xml:space="preserve">from </w:t>
      </w:r>
      <w:r w:rsidR="00502BF0">
        <w:rPr>
          <w:rFonts w:cstheme="minorHAnsi"/>
          <w:sz w:val="21"/>
          <w:szCs w:val="21"/>
        </w:rPr>
        <w:t xml:space="preserve">applying </w:t>
      </w:r>
      <w:r w:rsidR="00842EB7">
        <w:rPr>
          <w:rFonts w:cstheme="minorHAnsi"/>
          <w:sz w:val="21"/>
          <w:szCs w:val="21"/>
        </w:rPr>
        <w:t>regulation</w:t>
      </w:r>
      <w:r w:rsidR="00502BF0">
        <w:rPr>
          <w:rFonts w:cstheme="minorHAnsi"/>
          <w:sz w:val="21"/>
          <w:szCs w:val="21"/>
        </w:rPr>
        <w:t xml:space="preserve"> to some </w:t>
      </w:r>
      <w:r w:rsidR="00AA794A">
        <w:rPr>
          <w:rFonts w:cstheme="minorHAnsi"/>
          <w:sz w:val="21"/>
          <w:szCs w:val="21"/>
        </w:rPr>
        <w:t xml:space="preserve">payment systems </w:t>
      </w:r>
      <w:r w:rsidR="00063BB8">
        <w:rPr>
          <w:rFonts w:cstheme="minorHAnsi"/>
          <w:sz w:val="21"/>
          <w:szCs w:val="21"/>
        </w:rPr>
        <w:t>but not to others</w:t>
      </w:r>
      <w:r w:rsidR="00482F35">
        <w:rPr>
          <w:rFonts w:cstheme="minorHAnsi"/>
          <w:sz w:val="21"/>
          <w:szCs w:val="21"/>
        </w:rPr>
        <w:t xml:space="preserve"> </w:t>
      </w:r>
      <w:r w:rsidR="000D6BEF">
        <w:rPr>
          <w:rFonts w:cstheme="minorHAnsi"/>
          <w:sz w:val="21"/>
          <w:szCs w:val="21"/>
        </w:rPr>
        <w:t>until action can be taken</w:t>
      </w:r>
      <w:r w:rsidR="00EC3F84">
        <w:rPr>
          <w:rFonts w:cstheme="minorHAnsi"/>
          <w:sz w:val="21"/>
          <w:szCs w:val="21"/>
        </w:rPr>
        <w:t xml:space="preserve"> </w:t>
      </w:r>
      <w:r w:rsidR="007923B6">
        <w:rPr>
          <w:rFonts w:cstheme="minorHAnsi"/>
          <w:sz w:val="21"/>
          <w:szCs w:val="21"/>
        </w:rPr>
        <w:t xml:space="preserve">under </w:t>
      </w:r>
      <w:r w:rsidR="00262670">
        <w:rPr>
          <w:rFonts w:cstheme="minorHAnsi"/>
          <w:sz w:val="21"/>
          <w:szCs w:val="21"/>
        </w:rPr>
        <w:t xml:space="preserve">the modernised </w:t>
      </w:r>
      <w:r w:rsidR="00A34738">
        <w:rPr>
          <w:rFonts w:cstheme="minorHAnsi"/>
          <w:sz w:val="21"/>
          <w:szCs w:val="21"/>
        </w:rPr>
        <w:t>PSRA legislation</w:t>
      </w:r>
      <w:r w:rsidR="0085530C">
        <w:rPr>
          <w:rFonts w:cstheme="minorHAnsi"/>
          <w:sz w:val="21"/>
          <w:szCs w:val="21"/>
        </w:rPr>
        <w:t>.</w:t>
      </w:r>
    </w:p>
    <w:p w14:paraId="03109EC3" w14:textId="3B0842B2" w:rsidR="000F57AF" w:rsidRDefault="000F57AF" w:rsidP="00B308DF">
      <w:pPr>
        <w:rPr>
          <w:rFonts w:cstheme="minorHAnsi"/>
          <w:sz w:val="21"/>
          <w:szCs w:val="21"/>
        </w:rPr>
      </w:pPr>
    </w:p>
    <w:p w14:paraId="7BC97A96" w14:textId="77777777" w:rsidR="00DB1640" w:rsidRDefault="00DB1640">
      <w:pPr>
        <w:spacing w:after="160"/>
        <w:jc w:val="left"/>
        <w:rPr>
          <w:b/>
          <w:bCs/>
        </w:rPr>
      </w:pPr>
      <w:r>
        <w:rPr>
          <w:b/>
          <w:bCs/>
        </w:rPr>
        <w:br w:type="page"/>
      </w:r>
    </w:p>
    <w:p w14:paraId="76CDDFD6" w14:textId="27B86226" w:rsidR="0056012C" w:rsidRDefault="0015671C" w:rsidP="003A7C09">
      <w:pPr>
        <w:spacing w:after="160"/>
        <w:jc w:val="left"/>
        <w:rPr>
          <w:b/>
        </w:rPr>
      </w:pPr>
      <w:r>
        <w:rPr>
          <w:b/>
        </w:rPr>
        <w:lastRenderedPageBreak/>
        <w:t>APPENDIX</w:t>
      </w:r>
      <w:r w:rsidR="0093793B" w:rsidRPr="003A7C09">
        <w:rPr>
          <w:b/>
        </w:rPr>
        <w:t xml:space="preserve"> </w:t>
      </w:r>
      <w:r w:rsidR="00CA0EF3">
        <w:rPr>
          <w:b/>
        </w:rPr>
        <w:t>A</w:t>
      </w:r>
      <w:r w:rsidR="00252193" w:rsidRPr="003A7C09">
        <w:rPr>
          <w:b/>
        </w:rPr>
        <w:t>:</w:t>
      </w:r>
      <w:r w:rsidR="0093793B" w:rsidRPr="003A7C09">
        <w:rPr>
          <w:b/>
        </w:rPr>
        <w:t xml:space="preserve"> EXAMPLE MERCHANT DISCLOSURE STATEMENT</w:t>
      </w:r>
    </w:p>
    <w:p w14:paraId="788D75EC" w14:textId="11218BB8" w:rsidR="008918A7" w:rsidRPr="003A7C09" w:rsidRDefault="00D84C11" w:rsidP="003A7C09">
      <w:pPr>
        <w:spacing w:after="160"/>
        <w:jc w:val="left"/>
        <w:rPr>
          <w:b/>
        </w:rPr>
      </w:pPr>
      <w:r>
        <w:rPr>
          <w:noProof/>
        </w:rPr>
        <w:drawing>
          <wp:inline distT="0" distB="0" distL="0" distR="0" wp14:anchorId="4EF9D6A1" wp14:editId="71DF0FFE">
            <wp:extent cx="6048955" cy="8545528"/>
            <wp:effectExtent l="19050" t="19050" r="28575" b="27305"/>
            <wp:docPr id="240183077"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183077" name="Picture 2" descr="A screenshot of a computer&#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054593" cy="8553492"/>
                    </a:xfrm>
                    <a:prstGeom prst="rect">
                      <a:avLst/>
                    </a:prstGeom>
                    <a:noFill/>
                    <a:ln>
                      <a:solidFill>
                        <a:schemeClr val="tx1"/>
                      </a:solidFill>
                    </a:ln>
                  </pic:spPr>
                </pic:pic>
              </a:graphicData>
            </a:graphic>
          </wp:inline>
        </w:drawing>
      </w:r>
    </w:p>
    <w:p w14:paraId="66031FA6" w14:textId="2AFEA89E" w:rsidR="0056012C" w:rsidRDefault="00E6758F" w:rsidP="0056012C">
      <w:pPr>
        <w:rPr>
          <w:noProof/>
        </w:rPr>
      </w:pPr>
      <w:r w:rsidRPr="00E6758F">
        <w:rPr>
          <w:noProof/>
        </w:rPr>
        <w:t xml:space="preserve"> </w:t>
      </w:r>
    </w:p>
    <w:p w14:paraId="548913CE" w14:textId="77777777" w:rsidR="00027C2A" w:rsidRDefault="00027C2A" w:rsidP="0056012C"/>
    <w:p w14:paraId="193855B2" w14:textId="56726D7A" w:rsidR="0056012C" w:rsidRDefault="00932894">
      <w:pPr>
        <w:spacing w:after="160"/>
        <w:jc w:val="left"/>
      </w:pPr>
      <w:r>
        <w:rPr>
          <w:noProof/>
        </w:rPr>
        <w:drawing>
          <wp:inline distT="0" distB="0" distL="0" distR="0" wp14:anchorId="41ECEFC9" wp14:editId="1F63BC42">
            <wp:extent cx="5976518" cy="8451775"/>
            <wp:effectExtent l="19050" t="19050" r="24765" b="26035"/>
            <wp:docPr id="1104935882" name="Picture 3"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935882" name="Picture 3" descr="A screenshot of a computer&#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81851" cy="8459316"/>
                    </a:xfrm>
                    <a:prstGeom prst="rect">
                      <a:avLst/>
                    </a:prstGeom>
                    <a:noFill/>
                    <a:ln>
                      <a:solidFill>
                        <a:schemeClr val="tx1"/>
                      </a:solidFill>
                    </a:ln>
                  </pic:spPr>
                </pic:pic>
              </a:graphicData>
            </a:graphic>
          </wp:inline>
        </w:drawing>
      </w:r>
      <w:r w:rsidR="0056012C">
        <w:br w:type="page"/>
      </w:r>
    </w:p>
    <w:p w14:paraId="2EA9AE3A" w14:textId="50503DAF" w:rsidR="00252193" w:rsidRPr="00AD02C3" w:rsidRDefault="0015671C" w:rsidP="00252193">
      <w:pPr>
        <w:pStyle w:val="Header2"/>
        <w:rPr>
          <w:rFonts w:asciiTheme="minorHAnsi" w:hAnsiTheme="minorHAnsi"/>
          <w:b/>
          <w:sz w:val="20"/>
          <w:szCs w:val="20"/>
        </w:rPr>
      </w:pPr>
      <w:r w:rsidRPr="00AD02C3">
        <w:rPr>
          <w:rFonts w:asciiTheme="minorHAnsi" w:hAnsiTheme="minorHAnsi"/>
          <w:b/>
          <w:sz w:val="20"/>
          <w:szCs w:val="20"/>
        </w:rPr>
        <w:lastRenderedPageBreak/>
        <w:t>APPENDIX</w:t>
      </w:r>
      <w:r w:rsidR="00252193" w:rsidRPr="00AD02C3">
        <w:rPr>
          <w:rFonts w:asciiTheme="minorHAnsi" w:hAnsiTheme="minorHAnsi"/>
          <w:b/>
          <w:sz w:val="20"/>
          <w:szCs w:val="20"/>
        </w:rPr>
        <w:t xml:space="preserve"> </w:t>
      </w:r>
      <w:r w:rsidR="00CA0EF3" w:rsidRPr="00AD02C3">
        <w:rPr>
          <w:rFonts w:asciiTheme="minorHAnsi" w:hAnsiTheme="minorHAnsi"/>
          <w:b/>
          <w:bCs/>
          <w:sz w:val="20"/>
          <w:szCs w:val="20"/>
        </w:rPr>
        <w:t>B</w:t>
      </w:r>
      <w:r w:rsidR="00252193" w:rsidRPr="00AD02C3">
        <w:rPr>
          <w:rFonts w:asciiTheme="minorHAnsi" w:hAnsiTheme="minorHAnsi"/>
          <w:b/>
          <w:sz w:val="20"/>
          <w:szCs w:val="20"/>
        </w:rPr>
        <w:t>: EXAMPLE ACQUIRER COMPARISON SITE</w:t>
      </w:r>
    </w:p>
    <w:p w14:paraId="5EFAE59B" w14:textId="2FA78D9F" w:rsidR="00A652AC" w:rsidRDefault="00263241" w:rsidP="00F11CCF">
      <w:r>
        <w:rPr>
          <w:noProof/>
        </w:rPr>
        <w:drawing>
          <wp:inline distT="0" distB="0" distL="0" distR="0" wp14:anchorId="5E592A54" wp14:editId="68F8E639">
            <wp:extent cx="5804420" cy="5010912"/>
            <wp:effectExtent l="19050" t="19050" r="25400" b="18415"/>
            <wp:docPr id="8074411"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4411" name="Picture 4" descr="A screenshot of a computer&#10;&#10;AI-generated content may be incorrect."/>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13164" t="4319" r="12071" b="4455"/>
                    <a:stretch>
                      <a:fillRect/>
                    </a:stretch>
                  </pic:blipFill>
                  <pic:spPr bwMode="auto">
                    <a:xfrm>
                      <a:off x="0" y="0"/>
                      <a:ext cx="5820503" cy="5024797"/>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3D7DE4AC" w14:textId="77777777" w:rsidR="001F66D4" w:rsidRDefault="001F66D4" w:rsidP="00F11CCF"/>
    <w:p w14:paraId="10963475" w14:textId="77777777" w:rsidR="00223055" w:rsidRDefault="00223055" w:rsidP="00F11CCF"/>
    <w:p w14:paraId="4A067F3C" w14:textId="77777777" w:rsidR="00223055" w:rsidRDefault="00223055" w:rsidP="00F11CCF"/>
    <w:p w14:paraId="310DEC42" w14:textId="77777777" w:rsidR="00223055" w:rsidRDefault="00223055" w:rsidP="00F11CCF"/>
    <w:p w14:paraId="3849961D" w14:textId="77777777" w:rsidR="008179DA" w:rsidRDefault="008179DA">
      <w:pPr>
        <w:spacing w:after="160"/>
        <w:jc w:val="left"/>
        <w:rPr>
          <w:b/>
          <w:bCs/>
        </w:rPr>
      </w:pPr>
      <w:r>
        <w:rPr>
          <w:b/>
          <w:bCs/>
        </w:rPr>
        <w:br w:type="page"/>
      </w:r>
    </w:p>
    <w:p w14:paraId="2E2EBCA2" w14:textId="16051825" w:rsidR="00223055" w:rsidRPr="003A7C09" w:rsidRDefault="0015671C" w:rsidP="00F11CCF">
      <w:pPr>
        <w:rPr>
          <w:b/>
          <w:bCs/>
        </w:rPr>
      </w:pPr>
      <w:r>
        <w:rPr>
          <w:b/>
          <w:bCs/>
        </w:rPr>
        <w:lastRenderedPageBreak/>
        <w:t>APPENDIX</w:t>
      </w:r>
      <w:r w:rsidR="00223055" w:rsidRPr="003A7C09">
        <w:rPr>
          <w:b/>
          <w:bCs/>
        </w:rPr>
        <w:t xml:space="preserve"> </w:t>
      </w:r>
      <w:r w:rsidR="00CA0EF3">
        <w:rPr>
          <w:b/>
          <w:bCs/>
        </w:rPr>
        <w:t>C</w:t>
      </w:r>
      <w:r w:rsidR="00223055" w:rsidRPr="003A7C09">
        <w:rPr>
          <w:b/>
          <w:bCs/>
        </w:rPr>
        <w:t>: AUSTRALIAN POLICY CHANGES FOR CAPITAL REQUIREMENTS SINCE 2002</w:t>
      </w:r>
    </w:p>
    <w:p w14:paraId="5FC7CE49" w14:textId="3E635CE4" w:rsidR="00485F13" w:rsidRDefault="00792B87" w:rsidP="00F11CCF">
      <w:r w:rsidRPr="00792B87">
        <w:t>In 2002 the Reserve Bank defined eligible issuer costs and excluded several “costs of capital,” citing contemporaneous prudential practice and measurement capability. Since then, APRA has introduced updated standards for credit, operational and liquidity risk (e.g., APS 113, APS 115, APS 210), and ADIs’ Pillar 3 disclosures provide consistent, auditable measures of these risks at the product-portfolio level. This evolution warrants revisiting the 2002 positions to ensure consistency across Australian policy settings affecting ADIs.</w:t>
      </w:r>
    </w:p>
    <w:tbl>
      <w:tblPr>
        <w:tblStyle w:val="TableGrid"/>
        <w:tblW w:w="0" w:type="auto"/>
        <w:tblLook w:val="04A0" w:firstRow="1" w:lastRow="0" w:firstColumn="1" w:lastColumn="0" w:noHBand="0" w:noVBand="1"/>
      </w:tblPr>
      <w:tblGrid>
        <w:gridCol w:w="1125"/>
        <w:gridCol w:w="2439"/>
        <w:gridCol w:w="2643"/>
        <w:gridCol w:w="3421"/>
      </w:tblGrid>
      <w:tr w:rsidR="00451D92" w14:paraId="29735236" w14:textId="77777777" w:rsidTr="003A7C09">
        <w:trPr>
          <w:cnfStyle w:val="100000000000" w:firstRow="1" w:lastRow="0" w:firstColumn="0" w:lastColumn="0" w:oddVBand="0" w:evenVBand="0" w:oddHBand="0" w:evenHBand="0" w:firstRowFirstColumn="0" w:firstRowLastColumn="0" w:lastRowFirstColumn="0" w:lastRowLastColumn="0"/>
        </w:trPr>
        <w:tc>
          <w:tcPr>
            <w:tcW w:w="0" w:type="auto"/>
            <w:shd w:val="clear" w:color="auto" w:fill="1CA1D0" w:themeFill="accent3" w:themeFillShade="BF"/>
          </w:tcPr>
          <w:p w14:paraId="70D2D3A2" w14:textId="71661558" w:rsidR="004D47FB" w:rsidRPr="003A7C09" w:rsidRDefault="00F54CAB" w:rsidP="003A7C09">
            <w:pPr>
              <w:jc w:val="left"/>
              <w:rPr>
                <w:color w:val="FFFFFF" w:themeColor="background1"/>
                <w:sz w:val="16"/>
                <w:szCs w:val="16"/>
              </w:rPr>
            </w:pPr>
            <w:r w:rsidRPr="003A7C09">
              <w:rPr>
                <w:color w:val="FFFFFF" w:themeColor="background1"/>
                <w:sz w:val="16"/>
                <w:szCs w:val="16"/>
              </w:rPr>
              <w:t>Capital</w:t>
            </w:r>
          </w:p>
        </w:tc>
        <w:tc>
          <w:tcPr>
            <w:tcW w:w="0" w:type="auto"/>
            <w:shd w:val="clear" w:color="auto" w:fill="1CA1D0" w:themeFill="accent3" w:themeFillShade="BF"/>
          </w:tcPr>
          <w:p w14:paraId="630DECC7" w14:textId="0815BCE0" w:rsidR="004D47FB" w:rsidRPr="003A7C09" w:rsidRDefault="00543EFB" w:rsidP="003A7C09">
            <w:pPr>
              <w:jc w:val="left"/>
              <w:rPr>
                <w:color w:val="FFFFFF" w:themeColor="background1"/>
                <w:sz w:val="16"/>
                <w:szCs w:val="16"/>
              </w:rPr>
            </w:pPr>
            <w:r w:rsidRPr="003A7C09">
              <w:rPr>
                <w:color w:val="FFFFFF" w:themeColor="background1"/>
                <w:sz w:val="16"/>
                <w:szCs w:val="16"/>
              </w:rPr>
              <w:t>2002 Position</w:t>
            </w:r>
          </w:p>
        </w:tc>
        <w:tc>
          <w:tcPr>
            <w:tcW w:w="0" w:type="auto"/>
            <w:shd w:val="clear" w:color="auto" w:fill="1CA1D0" w:themeFill="accent3" w:themeFillShade="BF"/>
          </w:tcPr>
          <w:p w14:paraId="2841831C" w14:textId="7AAB53C4" w:rsidR="004D47FB" w:rsidRPr="003A7C09" w:rsidRDefault="00543EFB" w:rsidP="003A7C09">
            <w:pPr>
              <w:jc w:val="left"/>
              <w:rPr>
                <w:color w:val="FFFFFF" w:themeColor="background1"/>
                <w:sz w:val="16"/>
                <w:szCs w:val="16"/>
              </w:rPr>
            </w:pPr>
            <w:r w:rsidRPr="003A7C09">
              <w:rPr>
                <w:color w:val="FFFFFF" w:themeColor="background1"/>
                <w:sz w:val="16"/>
                <w:szCs w:val="16"/>
              </w:rPr>
              <w:t>Subsequent Changes</w:t>
            </w:r>
          </w:p>
        </w:tc>
        <w:tc>
          <w:tcPr>
            <w:tcW w:w="0" w:type="auto"/>
            <w:shd w:val="clear" w:color="auto" w:fill="1CA1D0" w:themeFill="accent3" w:themeFillShade="BF"/>
          </w:tcPr>
          <w:p w14:paraId="744F8377" w14:textId="7A9B6589" w:rsidR="004D47FB" w:rsidRPr="003A7C09" w:rsidRDefault="0080300A" w:rsidP="003A7C09">
            <w:pPr>
              <w:jc w:val="left"/>
              <w:rPr>
                <w:color w:val="FFFFFF" w:themeColor="background1"/>
                <w:sz w:val="16"/>
                <w:szCs w:val="16"/>
              </w:rPr>
            </w:pPr>
            <w:r w:rsidRPr="003A7C09">
              <w:rPr>
                <w:color w:val="FFFFFF" w:themeColor="background1"/>
                <w:sz w:val="16"/>
                <w:szCs w:val="16"/>
              </w:rPr>
              <w:t>Implications for Eligibility</w:t>
            </w:r>
          </w:p>
        </w:tc>
      </w:tr>
      <w:tr w:rsidR="00BE7220" w14:paraId="6E1C39E1" w14:textId="77777777" w:rsidTr="003A7C09">
        <w:tc>
          <w:tcPr>
            <w:tcW w:w="0" w:type="auto"/>
          </w:tcPr>
          <w:p w14:paraId="48259D56" w14:textId="05886B35" w:rsidR="004D47FB" w:rsidRPr="003A7C09" w:rsidRDefault="0031541D" w:rsidP="003A7C09">
            <w:pPr>
              <w:jc w:val="left"/>
              <w:rPr>
                <w:sz w:val="16"/>
                <w:szCs w:val="16"/>
              </w:rPr>
            </w:pPr>
            <w:r w:rsidRPr="003A7C09">
              <w:rPr>
                <w:sz w:val="16"/>
                <w:szCs w:val="16"/>
              </w:rPr>
              <w:t>Cost of capital held against credit risk</w:t>
            </w:r>
          </w:p>
        </w:tc>
        <w:tc>
          <w:tcPr>
            <w:tcW w:w="0" w:type="auto"/>
          </w:tcPr>
          <w:p w14:paraId="6611BD2A" w14:textId="686DECBA" w:rsidR="004D47FB" w:rsidRPr="003A7C09" w:rsidRDefault="00D91E60" w:rsidP="003A7C09">
            <w:pPr>
              <w:jc w:val="left"/>
              <w:rPr>
                <w:sz w:val="16"/>
                <w:szCs w:val="16"/>
              </w:rPr>
            </w:pPr>
            <w:r w:rsidRPr="003A7C09">
              <w:rPr>
                <w:sz w:val="16"/>
                <w:szCs w:val="16"/>
              </w:rPr>
              <w:t xml:space="preserve">The RBA concluded that capital held against credit risk on outstanding credit-card balances </w:t>
            </w:r>
            <w:r w:rsidRPr="003A7C09">
              <w:rPr>
                <w:i/>
                <w:iCs/>
                <w:sz w:val="16"/>
                <w:szCs w:val="16"/>
              </w:rPr>
              <w:t>“arises directly out of the provision of revolving credit facilities to cardholders and … is appropriately recovered through the interest rate charged on these facilities”</w:t>
            </w:r>
            <w:r w:rsidRPr="003A7C09">
              <w:rPr>
                <w:sz w:val="16"/>
                <w:szCs w:val="16"/>
              </w:rPr>
              <w:t xml:space="preserve"> [RBA 2002, p. 37].</w:t>
            </w:r>
            <w:r w:rsidR="00BE7220">
              <w:rPr>
                <w:rStyle w:val="FootnoteReference"/>
                <w:sz w:val="16"/>
                <w:szCs w:val="16"/>
              </w:rPr>
              <w:footnoteReference w:id="43"/>
            </w:r>
          </w:p>
        </w:tc>
        <w:tc>
          <w:tcPr>
            <w:tcW w:w="0" w:type="auto"/>
          </w:tcPr>
          <w:p w14:paraId="6FFFAAEC" w14:textId="38F63382" w:rsidR="00793F8F" w:rsidRPr="003A7C09" w:rsidRDefault="00793F8F" w:rsidP="003A7C09">
            <w:pPr>
              <w:pStyle w:val="ListParagraph"/>
              <w:numPr>
                <w:ilvl w:val="0"/>
                <w:numId w:val="51"/>
              </w:numPr>
              <w:jc w:val="left"/>
              <w:rPr>
                <w:sz w:val="16"/>
                <w:szCs w:val="16"/>
              </w:rPr>
            </w:pPr>
            <w:r w:rsidRPr="003A7C09">
              <w:rPr>
                <w:sz w:val="16"/>
                <w:szCs w:val="16"/>
              </w:rPr>
              <w:t>APRA framework. APS 113 require capital for both drawn balances and undrawn portions of retail revolving limits via estimated conversion factors.</w:t>
            </w:r>
          </w:p>
          <w:p w14:paraId="3E4D0B8E" w14:textId="051DC8EA" w:rsidR="00793F8F" w:rsidRPr="003A7C09" w:rsidRDefault="00793F8F" w:rsidP="003A7C09">
            <w:pPr>
              <w:pStyle w:val="ListParagraph"/>
              <w:numPr>
                <w:ilvl w:val="0"/>
                <w:numId w:val="51"/>
              </w:numPr>
              <w:jc w:val="left"/>
              <w:rPr>
                <w:sz w:val="16"/>
                <w:szCs w:val="16"/>
              </w:rPr>
            </w:pPr>
            <w:r w:rsidRPr="003A7C09">
              <w:rPr>
                <w:sz w:val="16"/>
                <w:szCs w:val="16"/>
              </w:rPr>
              <w:t>Empirical evidence. CBA’s Pillar 3 shows that a substantial share of undrawn credit-card limits converts to exposure for capital purposes (approximately ~86% average credit-conversion on undrawn limits) [CBA Pillar 3 FY25, Table CR6].</w:t>
            </w:r>
          </w:p>
          <w:p w14:paraId="5192D4B1" w14:textId="252D5440" w:rsidR="004D47FB" w:rsidRPr="003A7C09" w:rsidRDefault="00793F8F" w:rsidP="003A7C09">
            <w:pPr>
              <w:pStyle w:val="ListParagraph"/>
              <w:numPr>
                <w:ilvl w:val="0"/>
                <w:numId w:val="51"/>
              </w:numPr>
              <w:jc w:val="left"/>
              <w:rPr>
                <w:sz w:val="16"/>
                <w:szCs w:val="16"/>
              </w:rPr>
            </w:pPr>
            <w:r w:rsidRPr="003A7C09">
              <w:rPr>
                <w:sz w:val="16"/>
                <w:szCs w:val="16"/>
              </w:rPr>
              <w:t>Business model reality. For transactor accounts (interest-free balances), this capital cost cannot be recovered through interest because no interest is earned on those balances.</w:t>
            </w:r>
          </w:p>
        </w:tc>
        <w:tc>
          <w:tcPr>
            <w:tcW w:w="0" w:type="auto"/>
          </w:tcPr>
          <w:p w14:paraId="08F65B60" w14:textId="3FE96DF2" w:rsidR="004D47FB" w:rsidRPr="003A7C09" w:rsidRDefault="00A915A4" w:rsidP="003A7C09">
            <w:pPr>
              <w:jc w:val="left"/>
              <w:rPr>
                <w:sz w:val="16"/>
                <w:szCs w:val="16"/>
              </w:rPr>
            </w:pPr>
            <w:r w:rsidRPr="003A7C09">
              <w:rPr>
                <w:sz w:val="16"/>
                <w:szCs w:val="16"/>
              </w:rPr>
              <w:t>A portion of credit-risk capital is directly attributable to providing card payment capability and undrawn commitments (independent of lending revenue). That portion is not recovered via interest on transactor balances and should be considered eligible in the cost-based benchmark. The materiality of this item has increased since 2002 alongside higher capital stack requirements (e.g., unquestionably strong CET1 plus materially larger Tier 2/LAC components).</w:t>
            </w:r>
          </w:p>
        </w:tc>
      </w:tr>
      <w:tr w:rsidR="00BE7220" w14:paraId="33783DB1" w14:textId="77777777" w:rsidTr="003A7C09">
        <w:tc>
          <w:tcPr>
            <w:tcW w:w="0" w:type="auto"/>
          </w:tcPr>
          <w:p w14:paraId="4BE55BEE" w14:textId="292DB992" w:rsidR="004D47FB" w:rsidRPr="003A7C09" w:rsidRDefault="00DD32E3" w:rsidP="003A7C09">
            <w:pPr>
              <w:jc w:val="left"/>
              <w:rPr>
                <w:sz w:val="16"/>
                <w:szCs w:val="16"/>
              </w:rPr>
            </w:pPr>
            <w:r w:rsidRPr="003A7C09">
              <w:rPr>
                <w:sz w:val="16"/>
                <w:szCs w:val="16"/>
              </w:rPr>
              <w:t>Cost of capital held against operational risk</w:t>
            </w:r>
          </w:p>
        </w:tc>
        <w:tc>
          <w:tcPr>
            <w:tcW w:w="0" w:type="auto"/>
          </w:tcPr>
          <w:p w14:paraId="3904A895" w14:textId="10D196EB" w:rsidR="004D47FB" w:rsidRPr="003A7C09" w:rsidRDefault="001765C1" w:rsidP="003A7C09">
            <w:pPr>
              <w:jc w:val="left"/>
              <w:rPr>
                <w:sz w:val="16"/>
                <w:szCs w:val="16"/>
              </w:rPr>
            </w:pPr>
            <w:r w:rsidRPr="003A7C09">
              <w:rPr>
                <w:sz w:val="16"/>
                <w:szCs w:val="16"/>
              </w:rPr>
              <w:t xml:space="preserve">The RBA acknowledged it would be logical to include operational-risk capital </w:t>
            </w:r>
            <w:r w:rsidRPr="003A7C09">
              <w:rPr>
                <w:i/>
                <w:iCs/>
                <w:sz w:val="16"/>
                <w:szCs w:val="16"/>
              </w:rPr>
              <w:t>“to the extent the risks arise out of the provision of services to merchants,”</w:t>
            </w:r>
            <w:r w:rsidRPr="003A7C09">
              <w:rPr>
                <w:sz w:val="16"/>
                <w:szCs w:val="16"/>
              </w:rPr>
              <w:t xml:space="preserve"> but excluded it because measurement systems were “immature” and varied widely [RBA 2002, p. 37].</w:t>
            </w:r>
          </w:p>
        </w:tc>
        <w:tc>
          <w:tcPr>
            <w:tcW w:w="0" w:type="auto"/>
          </w:tcPr>
          <w:p w14:paraId="2940D15D" w14:textId="722D6F8F" w:rsidR="00CC7FAA" w:rsidRPr="003A7C09" w:rsidRDefault="00CC7FAA" w:rsidP="003A7C09">
            <w:pPr>
              <w:pStyle w:val="ListParagraph"/>
              <w:numPr>
                <w:ilvl w:val="0"/>
                <w:numId w:val="52"/>
              </w:numPr>
              <w:jc w:val="left"/>
              <w:rPr>
                <w:sz w:val="16"/>
                <w:szCs w:val="16"/>
              </w:rPr>
            </w:pPr>
            <w:r w:rsidRPr="003A7C09">
              <w:rPr>
                <w:sz w:val="16"/>
                <w:szCs w:val="16"/>
              </w:rPr>
              <w:t>APRA framework. From January 2021, APS 115 introduced a standardised measurement approach for operational-risk capital.</w:t>
            </w:r>
          </w:p>
          <w:p w14:paraId="02C41DEC" w14:textId="3465A2F6" w:rsidR="004D47FB" w:rsidRPr="003A7C09" w:rsidRDefault="00CC7FAA" w:rsidP="003A7C09">
            <w:pPr>
              <w:pStyle w:val="ListParagraph"/>
              <w:numPr>
                <w:ilvl w:val="0"/>
                <w:numId w:val="52"/>
              </w:numPr>
              <w:jc w:val="left"/>
              <w:rPr>
                <w:sz w:val="16"/>
                <w:szCs w:val="16"/>
              </w:rPr>
            </w:pPr>
            <w:r w:rsidRPr="003A7C09">
              <w:rPr>
                <w:sz w:val="16"/>
                <w:szCs w:val="16"/>
              </w:rPr>
              <w:t>Empirical evidence. CBA discloses operational-risk RWAs determined under this standardised approach, enabling consistent attribution to identifiable business activities, including card issuing [CBA Pillar 3 FY25, Section OR2].</w:t>
            </w:r>
          </w:p>
        </w:tc>
        <w:tc>
          <w:tcPr>
            <w:tcW w:w="0" w:type="auto"/>
          </w:tcPr>
          <w:p w14:paraId="38BC8648" w14:textId="5AFA412B" w:rsidR="004D47FB" w:rsidRPr="003A7C09" w:rsidRDefault="00A027E3" w:rsidP="003A7C09">
            <w:pPr>
              <w:jc w:val="left"/>
              <w:rPr>
                <w:sz w:val="16"/>
                <w:szCs w:val="16"/>
              </w:rPr>
            </w:pPr>
            <w:r w:rsidRPr="003A7C09">
              <w:rPr>
                <w:sz w:val="16"/>
                <w:szCs w:val="16"/>
              </w:rPr>
              <w:t>The 2002 rationale for exclusion no longer applies. Operational-risk capital attributable to card issuing can be measured on a consistent and auditable basis and should be considered eligible.</w:t>
            </w:r>
          </w:p>
        </w:tc>
      </w:tr>
      <w:tr w:rsidR="00BE7220" w14:paraId="28EAABB8" w14:textId="77777777" w:rsidTr="003A7C09">
        <w:tc>
          <w:tcPr>
            <w:tcW w:w="0" w:type="auto"/>
          </w:tcPr>
          <w:p w14:paraId="26E38F5C" w14:textId="24BDD05E" w:rsidR="004D47FB" w:rsidRPr="003A7C09" w:rsidRDefault="00451D92" w:rsidP="003A7C09">
            <w:pPr>
              <w:jc w:val="left"/>
              <w:rPr>
                <w:sz w:val="16"/>
                <w:szCs w:val="16"/>
              </w:rPr>
            </w:pPr>
            <w:r w:rsidRPr="003A7C09">
              <w:rPr>
                <w:sz w:val="16"/>
                <w:szCs w:val="16"/>
              </w:rPr>
              <w:t>Liquidity cost of undrawn balances</w:t>
            </w:r>
          </w:p>
        </w:tc>
        <w:tc>
          <w:tcPr>
            <w:tcW w:w="0" w:type="auto"/>
          </w:tcPr>
          <w:p w14:paraId="02FF9105" w14:textId="39D6C343" w:rsidR="004D47FB" w:rsidRPr="003A7C09" w:rsidRDefault="00E91D57" w:rsidP="003A7C09">
            <w:pPr>
              <w:jc w:val="left"/>
              <w:rPr>
                <w:sz w:val="16"/>
                <w:szCs w:val="16"/>
              </w:rPr>
            </w:pPr>
            <w:r w:rsidRPr="003A7C09">
              <w:rPr>
                <w:sz w:val="16"/>
                <w:szCs w:val="16"/>
              </w:rPr>
              <w:t>Liquidity</w:t>
            </w:r>
            <w:r w:rsidR="007C08BF" w:rsidRPr="003A7C09">
              <w:rPr>
                <w:sz w:val="16"/>
                <w:szCs w:val="16"/>
              </w:rPr>
              <w:t xml:space="preserve"> </w:t>
            </w:r>
            <w:r w:rsidRPr="003A7C09">
              <w:rPr>
                <w:sz w:val="16"/>
                <w:szCs w:val="16"/>
              </w:rPr>
              <w:t>costs associated with undrawn retail commitments were not assessed for potential eligibility.</w:t>
            </w:r>
          </w:p>
        </w:tc>
        <w:tc>
          <w:tcPr>
            <w:tcW w:w="0" w:type="auto"/>
          </w:tcPr>
          <w:p w14:paraId="7CFECD97" w14:textId="3462D9C0" w:rsidR="009D5B47" w:rsidRPr="003A7C09" w:rsidRDefault="009D5B47" w:rsidP="003A7C09">
            <w:pPr>
              <w:pStyle w:val="ListParagraph"/>
              <w:numPr>
                <w:ilvl w:val="0"/>
                <w:numId w:val="53"/>
              </w:numPr>
              <w:jc w:val="left"/>
              <w:rPr>
                <w:sz w:val="16"/>
                <w:szCs w:val="16"/>
              </w:rPr>
            </w:pPr>
            <w:r w:rsidRPr="003A7C09">
              <w:rPr>
                <w:sz w:val="16"/>
                <w:szCs w:val="16"/>
              </w:rPr>
              <w:t>APRA framework. From January 2014, APS 210 Liquidity Coverage Ratio (LCR) recognise contingent drawdowns on undrawn retail revolving commitments via prescribed outflow factors, requiring ADIs to hold high-quality liquid assets.</w:t>
            </w:r>
          </w:p>
          <w:p w14:paraId="216B2311" w14:textId="6401424B" w:rsidR="004D47FB" w:rsidRPr="003A7C09" w:rsidRDefault="009D5B47" w:rsidP="003A7C09">
            <w:pPr>
              <w:pStyle w:val="ListParagraph"/>
              <w:numPr>
                <w:ilvl w:val="0"/>
                <w:numId w:val="53"/>
              </w:numPr>
              <w:jc w:val="left"/>
              <w:rPr>
                <w:sz w:val="16"/>
                <w:szCs w:val="16"/>
              </w:rPr>
            </w:pPr>
            <w:r w:rsidRPr="003A7C09">
              <w:rPr>
                <w:sz w:val="16"/>
                <w:szCs w:val="16"/>
              </w:rPr>
              <w:t>Empirical evidence. CBA discloses LCR metrics that incorporate these contingent outflows for card limits [CBA Pillar 3 FY25, Table LIQ1].</w:t>
            </w:r>
          </w:p>
        </w:tc>
        <w:tc>
          <w:tcPr>
            <w:tcW w:w="0" w:type="auto"/>
          </w:tcPr>
          <w:p w14:paraId="262D0A23" w14:textId="6E9B9550" w:rsidR="004D47FB" w:rsidRPr="003A7C09" w:rsidRDefault="00FE4AF5" w:rsidP="003A7C09">
            <w:pPr>
              <w:jc w:val="left"/>
              <w:rPr>
                <w:sz w:val="16"/>
                <w:szCs w:val="16"/>
              </w:rPr>
            </w:pPr>
            <w:r w:rsidRPr="003A7C09">
              <w:rPr>
                <w:sz w:val="16"/>
                <w:szCs w:val="16"/>
              </w:rPr>
              <w:t>The cost of maintaining liquidity for undrawn credit-card limits is a direct consequence of offering card facilities and is not recovered on transactor balances. It should therefore be considered for inclusion as an eligible cost, measured using LCR outflow parameters and the issuer’s cost of funding.</w:t>
            </w:r>
          </w:p>
        </w:tc>
      </w:tr>
    </w:tbl>
    <w:p w14:paraId="1F4E22C6" w14:textId="77777777" w:rsidR="001E6186" w:rsidRDefault="001E6186" w:rsidP="00F11CCF"/>
    <w:p w14:paraId="1C37F288" w14:textId="2ADDA04E" w:rsidR="00AD02C3" w:rsidRPr="006057D8" w:rsidRDefault="00AD02C3" w:rsidP="007F21E9">
      <w:pPr>
        <w:spacing w:after="160"/>
        <w:jc w:val="left"/>
      </w:pPr>
    </w:p>
    <w:sectPr w:rsidR="00AD02C3" w:rsidRPr="006057D8" w:rsidSect="00DA75B4">
      <w:headerReference w:type="even" r:id="rId18"/>
      <w:headerReference w:type="default" r:id="rId19"/>
      <w:footerReference w:type="even" r:id="rId20"/>
      <w:footerReference w:type="default" r:id="rId21"/>
      <w:headerReference w:type="first" r:id="rId22"/>
      <w:footerReference w:type="first" r:id="rId23"/>
      <w:pgSz w:w="11906" w:h="16838" w:code="9"/>
      <w:pgMar w:top="1276" w:right="1134" w:bottom="1134" w:left="1134" w:header="340" w:footer="6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DF899" w14:textId="77777777" w:rsidR="005223CE" w:rsidRDefault="005223CE" w:rsidP="00064101">
      <w:r>
        <w:separator/>
      </w:r>
    </w:p>
  </w:endnote>
  <w:endnote w:type="continuationSeparator" w:id="0">
    <w:p w14:paraId="7E7A485B" w14:textId="77777777" w:rsidR="005223CE" w:rsidRDefault="005223CE" w:rsidP="00064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BA Beacon Sans">
    <w:altName w:val="Calibri"/>
    <w:panose1 w:val="00000000000000000000"/>
    <w:charset w:val="00"/>
    <w:family w:val="modern"/>
    <w:notTrueType/>
    <w:pitch w:val="variable"/>
    <w:sig w:usb0="20000007" w:usb1="02000001" w:usb2="00000000" w:usb3="00000000" w:csb0="000001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embedRegular r:id="rId1" w:fontKey="{9E54398A-4B72-4435-95E9-BF1CCE88B39F}"/>
  </w:font>
  <w:font w:name="Aptos">
    <w:charset w:val="00"/>
    <w:family w:val="swiss"/>
    <w:pitch w:val="variable"/>
    <w:sig w:usb0="20000287" w:usb1="00000003" w:usb2="00000000" w:usb3="00000000" w:csb0="0000019F" w:csb1="00000000"/>
    <w:embedRegular r:id="rId2" w:fontKey="{33051522-BE07-4062-BADC-B2214FB7F8EA}"/>
    <w:embedBold r:id="rId3" w:fontKey="{6EDD1551-73C0-4901-8081-E6E9E4AFD2D8}"/>
    <w:embedItalic r:id="rId4" w:fontKey="{37DA7B28-3C60-454F-ACE2-4A3FABEA26DC}"/>
  </w:font>
  <w:font w:name="Segoe UI">
    <w:panose1 w:val="020B0502040204020203"/>
    <w:charset w:val="00"/>
    <w:family w:val="swiss"/>
    <w:pitch w:val="variable"/>
    <w:sig w:usb0="E4002EFF" w:usb1="C000E47F" w:usb2="00000009" w:usb3="00000000" w:csb0="000001FF" w:csb1="00000000"/>
    <w:embedRegular r:id="rId5" w:fontKey="{7F067380-E515-4EB4-B283-24E560DA5D6F}"/>
    <w:embedBold r:id="rId6" w:fontKey="{D7711B80-2395-4DBA-A97F-658A925C39A3}"/>
    <w:embedItalic r:id="rId7" w:fontKey="{D2B9BBA0-5EE7-4648-A4ED-3F1C70397509}"/>
  </w:font>
  <w:font w:name="CBA Beacon Sans Extra Bold">
    <w:altName w:val="Calibri"/>
    <w:panose1 w:val="00000000000000000000"/>
    <w:charset w:val="00"/>
    <w:family w:val="modern"/>
    <w:notTrueType/>
    <w:pitch w:val="variable"/>
    <w:sig w:usb0="20000007" w:usb1="02000001" w:usb2="00000000" w:usb3="00000000" w:csb0="00000193" w:csb1="00000000"/>
  </w:font>
  <w:font w:name="CBA Beacon Sans Bold">
    <w:altName w:val="Calibri"/>
    <w:panose1 w:val="00000000000000000000"/>
    <w:charset w:val="00"/>
    <w:family w:val="modern"/>
    <w:notTrueType/>
    <w:pitch w:val="variable"/>
    <w:sig w:usb0="20000007" w:usb1="02000001" w:usb2="00000000" w:usb3="00000000" w:csb0="00000193" w:csb1="00000000"/>
  </w:font>
  <w:font w:name="Dotum">
    <w:altName w:val="돋움"/>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Myriad Pro">
    <w:panose1 w:val="020B0503030403020204"/>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05AF5" w14:textId="6B3513EA" w:rsidR="00DA44A8" w:rsidRDefault="00DA44A8">
    <w:pPr>
      <w:pStyle w:val="Footer"/>
    </w:pPr>
    <w:r>
      <w:rPr>
        <w:noProof/>
      </w:rPr>
      <mc:AlternateContent>
        <mc:Choice Requires="wps">
          <w:drawing>
            <wp:anchor distT="0" distB="0" distL="0" distR="0" simplePos="0" relativeHeight="251663360" behindDoc="0" locked="0" layoutInCell="1" allowOverlap="1" wp14:anchorId="6E49F61C" wp14:editId="46866CB6">
              <wp:simplePos x="635" y="635"/>
              <wp:positionH relativeFrom="page">
                <wp:align>center</wp:align>
              </wp:positionH>
              <wp:positionV relativeFrom="page">
                <wp:align>bottom</wp:align>
              </wp:positionV>
              <wp:extent cx="546735" cy="371475"/>
              <wp:effectExtent l="0" t="0" r="5715" b="0"/>
              <wp:wrapNone/>
              <wp:docPr id="512000391" name="Text Box 5"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6735" cy="371475"/>
                      </a:xfrm>
                      <a:prstGeom prst="rect">
                        <a:avLst/>
                      </a:prstGeom>
                      <a:noFill/>
                      <a:ln>
                        <a:noFill/>
                      </a:ln>
                    </wps:spPr>
                    <wps:txbx>
                      <w:txbxContent>
                        <w:p w14:paraId="75FBC8BC" w14:textId="5750D88B"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GENERAL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E49F61C" id="_x0000_t202" coordsize="21600,21600" o:spt="202" path="m,l,21600r21600,l21600,xe">
              <v:stroke joinstyle="miter"/>
              <v:path gradientshapeok="t" o:connecttype="rect"/>
            </v:shapetype>
            <v:shape id="Text Box 5" o:spid="_x0000_s1028" type="#_x0000_t202" alt="GENERAL" style="position:absolute;margin-left:0;margin-top:0;width:43.05pt;height:29.2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" filled="f" stroked="f">
              <v:fill o:detectmouseclick="t"/>
              <v:textbox style="mso-fit-shape-to-text:t" inset="0,0,0,15pt">
                <w:txbxContent>
                  <w:p w14:paraId="75FBC8BC" w14:textId="5750D88B"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GENERAL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Footertable"/>
      <w:tblW w:w="7797" w:type="dxa"/>
      <w:tblLook w:val="04A0" w:firstRow="1" w:lastRow="0" w:firstColumn="1" w:lastColumn="0" w:noHBand="0" w:noVBand="1"/>
    </w:tblPr>
    <w:tblGrid>
      <w:gridCol w:w="426"/>
      <w:gridCol w:w="7371"/>
    </w:tblGrid>
    <w:tr w:rsidR="00300E72" w14:paraId="30AFB128" w14:textId="77777777" w:rsidTr="00A831FA">
      <w:tc>
        <w:tcPr>
          <w:tcW w:w="426" w:type="dxa"/>
          <w:tcMar>
            <w:left w:w="0" w:type="dxa"/>
          </w:tcMar>
        </w:tcPr>
        <w:p w14:paraId="197E3175" w14:textId="01DC8ED4" w:rsidR="00300E72" w:rsidRDefault="00300E72">
          <w:pPr>
            <w:pStyle w:val="Footer"/>
          </w:pPr>
          <w:r w:rsidRPr="00EA30C7">
            <w:rPr>
              <w:rFonts w:asciiTheme="majorHAnsi" w:hAnsiTheme="majorHAnsi"/>
              <w:bCs/>
              <w:color w:val="1E1E1E" w:themeColor="text1"/>
            </w:rPr>
            <w:fldChar w:fldCharType="begin"/>
          </w:r>
          <w:r w:rsidRPr="00EA30C7">
            <w:rPr>
              <w:rFonts w:asciiTheme="majorHAnsi" w:hAnsiTheme="majorHAnsi"/>
              <w:bCs/>
              <w:color w:val="1E1E1E" w:themeColor="text1"/>
            </w:rPr>
            <w:instrText xml:space="preserve"> PAGE   \* MERGEFORMAT </w:instrText>
          </w:r>
          <w:r w:rsidRPr="00EA30C7">
            <w:rPr>
              <w:rFonts w:asciiTheme="majorHAnsi" w:hAnsiTheme="majorHAnsi"/>
              <w:bCs/>
              <w:color w:val="1E1E1E" w:themeColor="text1"/>
            </w:rPr>
            <w:fldChar w:fldCharType="separate"/>
          </w:r>
          <w:r w:rsidRPr="00EA30C7">
            <w:rPr>
              <w:rFonts w:asciiTheme="majorHAnsi" w:hAnsiTheme="majorHAnsi"/>
              <w:bCs/>
              <w:noProof/>
              <w:color w:val="1E1E1E" w:themeColor="text1"/>
            </w:rPr>
            <w:t>1</w:t>
          </w:r>
          <w:r w:rsidRPr="00EA30C7">
            <w:rPr>
              <w:rFonts w:asciiTheme="majorHAnsi" w:hAnsiTheme="majorHAnsi"/>
              <w:bCs/>
              <w:noProof/>
              <w:color w:val="1E1E1E" w:themeColor="text1"/>
            </w:rPr>
            <w:fldChar w:fldCharType="end"/>
          </w:r>
        </w:p>
      </w:tc>
      <w:tc>
        <w:tcPr>
          <w:tcW w:w="7371" w:type="dxa"/>
        </w:tcPr>
        <w:p w14:paraId="193C12F3" w14:textId="77777777" w:rsidR="00300E72" w:rsidRDefault="00300E72">
          <w:pPr>
            <w:pStyle w:val="Footer"/>
          </w:pPr>
          <w:r>
            <w:t xml:space="preserve">Commonwealth Bank of Australia  </w:t>
          </w:r>
          <w:r w:rsidRPr="00EA30C7">
            <w:rPr>
              <w:rStyle w:val="CBABeaconSansBold"/>
            </w:rPr>
            <w:t>|</w:t>
          </w:r>
          <w:r>
            <w:t xml:space="preserve"> </w:t>
          </w:r>
          <w:r w:rsidR="00A46DAA">
            <w:t xml:space="preserve"> </w:t>
          </w:r>
          <w:r w:rsidR="006D51A8" w:rsidRPr="006D51A8">
            <w:t>ABN 48 123 123 124</w:t>
          </w:r>
        </w:p>
      </w:tc>
    </w:tr>
  </w:tbl>
  <w:p w14:paraId="5F2C288E" w14:textId="77777777" w:rsidR="00300E72" w:rsidRDefault="00723D5B" w:rsidP="00B17881">
    <w:pPr>
      <w:pStyle w:val="Footer-Commbank"/>
      <w:tabs>
        <w:tab w:val="left" w:pos="6070"/>
      </w:tabs>
    </w:pPr>
    <w:r w:rsidRPr="00495022">
      <w:rPr>
        <w:noProof/>
      </w:rPr>
      <mc:AlternateContent>
        <mc:Choice Requires="wpg">
          <w:drawing>
            <wp:anchor distT="0" distB="0" distL="114300" distR="114300" simplePos="0" relativeHeight="251658240" behindDoc="1" locked="1" layoutInCell="1" allowOverlap="1" wp14:anchorId="30DE9595" wp14:editId="661D30C5">
              <wp:simplePos x="0" y="0"/>
              <wp:positionH relativeFrom="page">
                <wp:posOffset>6362065</wp:posOffset>
              </wp:positionH>
              <wp:positionV relativeFrom="page">
                <wp:posOffset>9699625</wp:posOffset>
              </wp:positionV>
              <wp:extent cx="702000" cy="720000"/>
              <wp:effectExtent l="0" t="0" r="3175" b="4445"/>
              <wp:wrapNone/>
              <wp:docPr id="13" name="Group 36"/>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02000" cy="720000"/>
                        <a:chOff x="0" y="0"/>
                        <a:chExt cx="1980864" cy="1969256"/>
                      </a:xfrm>
                    </wpg:grpSpPr>
                    <wps:wsp>
                      <wps:cNvPr id="14" name="Freeform 24"/>
                      <wps:cNvSpPr/>
                      <wps:spPr>
                        <a:xfrm>
                          <a:off x="139" y="0"/>
                          <a:ext cx="1980724" cy="1969256"/>
                        </a:xfrm>
                        <a:custGeom>
                          <a:avLst/>
                          <a:gdLst>
                            <a:gd name="connsiteX0" fmla="*/ 990223 w 1980724"/>
                            <a:gd name="connsiteY0" fmla="*/ 0 h 1969256"/>
                            <a:gd name="connsiteX1" fmla="*/ 1980725 w 1980724"/>
                            <a:gd name="connsiteY1" fmla="*/ 984628 h 1969256"/>
                            <a:gd name="connsiteX2" fmla="*/ 990223 w 1980724"/>
                            <a:gd name="connsiteY2" fmla="*/ 1969256 h 1969256"/>
                            <a:gd name="connsiteX3" fmla="*/ 0 w 1980724"/>
                            <a:gd name="connsiteY3" fmla="*/ 984628 h 1969256"/>
                            <a:gd name="connsiteX4" fmla="*/ 990223 w 1980724"/>
                            <a:gd name="connsiteY4" fmla="*/ 0 h 196925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80724" h="1969256">
                              <a:moveTo>
                                <a:pt x="990223" y="0"/>
                              </a:moveTo>
                              <a:lnTo>
                                <a:pt x="1980725" y="984628"/>
                              </a:lnTo>
                              <a:lnTo>
                                <a:pt x="990223" y="1969256"/>
                              </a:lnTo>
                              <a:lnTo>
                                <a:pt x="0" y="984628"/>
                              </a:lnTo>
                              <a:lnTo>
                                <a:pt x="990223" y="0"/>
                              </a:lnTo>
                            </a:path>
                          </a:pathLst>
                        </a:custGeom>
                        <a:gradFill flip="none" rotWithShape="1">
                          <a:gsLst>
                            <a:gs pos="56000">
                              <a:srgbClr val="FFFF00"/>
                            </a:gs>
                            <a:gs pos="78000">
                              <a:srgbClr val="FFCC00"/>
                            </a:gs>
                          </a:gsLst>
                          <a:lin ang="0" scaled="1"/>
                          <a:tileRect/>
                        </a:gradFill>
                        <a:ln w="27931" cap="flat">
                          <a:noFill/>
                          <a:prstDash val="solid"/>
                          <a:miter/>
                        </a:ln>
                      </wps:spPr>
                      <wps:bodyPr rtlCol="0" anchor="ctr"/>
                    </wps:wsp>
                    <wps:wsp>
                      <wps:cNvPr id="15" name="Freeform 54"/>
                      <wps:cNvSpPr/>
                      <wps:spPr>
                        <a:xfrm>
                          <a:off x="0" y="0"/>
                          <a:ext cx="1980724" cy="1969256"/>
                        </a:xfrm>
                        <a:custGeom>
                          <a:avLst/>
                          <a:gdLst>
                            <a:gd name="connsiteX0" fmla="*/ 990223 w 1980724"/>
                            <a:gd name="connsiteY0" fmla="*/ 0 h 1969256"/>
                            <a:gd name="connsiteX1" fmla="*/ 1980725 w 1980724"/>
                            <a:gd name="connsiteY1" fmla="*/ 984628 h 1969256"/>
                            <a:gd name="connsiteX2" fmla="*/ 990223 w 1980724"/>
                            <a:gd name="connsiteY2" fmla="*/ 1969256 h 1969256"/>
                            <a:gd name="connsiteX3" fmla="*/ 0 w 1980724"/>
                            <a:gd name="connsiteY3" fmla="*/ 984628 h 1969256"/>
                            <a:gd name="connsiteX4" fmla="*/ 990223 w 1980724"/>
                            <a:gd name="connsiteY4" fmla="*/ 0 h 1969256"/>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80724" h="1969256">
                              <a:moveTo>
                                <a:pt x="990223" y="0"/>
                              </a:moveTo>
                              <a:lnTo>
                                <a:pt x="1980725" y="984628"/>
                              </a:lnTo>
                              <a:lnTo>
                                <a:pt x="990223" y="1969256"/>
                              </a:lnTo>
                              <a:lnTo>
                                <a:pt x="0" y="984628"/>
                              </a:lnTo>
                              <a:lnTo>
                                <a:pt x="990223" y="0"/>
                              </a:lnTo>
                            </a:path>
                          </a:pathLst>
                        </a:custGeom>
                        <a:gradFill flip="none" rotWithShape="1">
                          <a:gsLst>
                            <a:gs pos="31000">
                              <a:srgbClr val="FFFF00"/>
                            </a:gs>
                            <a:gs pos="58000">
                              <a:srgbClr val="FED508">
                                <a:alpha val="46000"/>
                              </a:srgbClr>
                            </a:gs>
                            <a:gs pos="100000">
                              <a:srgbClr val="FFCC00">
                                <a:alpha val="0"/>
                              </a:srgbClr>
                            </a:gs>
                          </a:gsLst>
                          <a:lin ang="2700000" scaled="0"/>
                          <a:tileRect/>
                        </a:gradFill>
                        <a:ln w="27931" cap="flat">
                          <a:noFill/>
                          <a:prstDash val="solid"/>
                          <a:miter/>
                        </a:ln>
                      </wps:spPr>
                      <wps:bodyPr rtlCol="0" anchor="ctr"/>
                    </wps:wsp>
                    <wps:wsp>
                      <wps:cNvPr id="16" name="Freeform 26"/>
                      <wps:cNvSpPr/>
                      <wps:spPr>
                        <a:xfrm>
                          <a:off x="990363" y="728675"/>
                          <a:ext cx="990501" cy="1240581"/>
                        </a:xfrm>
                        <a:custGeom>
                          <a:avLst/>
                          <a:gdLst>
                            <a:gd name="connsiteX0" fmla="*/ 376190 w 990502"/>
                            <a:gd name="connsiteY0" fmla="*/ 355722 h 1240581"/>
                            <a:gd name="connsiteX1" fmla="*/ 0 w 990502"/>
                            <a:gd name="connsiteY1" fmla="*/ 1240581 h 1240581"/>
                            <a:gd name="connsiteX2" fmla="*/ 0 w 990502"/>
                            <a:gd name="connsiteY2" fmla="*/ 1240581 h 1240581"/>
                            <a:gd name="connsiteX3" fmla="*/ 990502 w 990502"/>
                            <a:gd name="connsiteY3" fmla="*/ 255953 h 1240581"/>
                            <a:gd name="connsiteX4" fmla="*/ 733374 w 990502"/>
                            <a:gd name="connsiteY4" fmla="*/ 0 h 1240581"/>
                            <a:gd name="connsiteX5" fmla="*/ 376190 w 990502"/>
                            <a:gd name="connsiteY5" fmla="*/ 355722 h 1240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990502" h="1240581">
                              <a:moveTo>
                                <a:pt x="376190" y="355722"/>
                              </a:moveTo>
                              <a:lnTo>
                                <a:pt x="0" y="1240581"/>
                              </a:lnTo>
                              <a:lnTo>
                                <a:pt x="0" y="1240581"/>
                              </a:lnTo>
                              <a:lnTo>
                                <a:pt x="990502" y="255953"/>
                              </a:lnTo>
                              <a:lnTo>
                                <a:pt x="733374" y="0"/>
                              </a:lnTo>
                              <a:lnTo>
                                <a:pt x="376190" y="355722"/>
                              </a:lnTo>
                              <a:close/>
                            </a:path>
                          </a:pathLst>
                        </a:custGeom>
                        <a:gradFill flip="none" rotWithShape="1">
                          <a:gsLst>
                            <a:gs pos="17000">
                              <a:srgbClr val="874400">
                                <a:alpha val="90000"/>
                              </a:srgbClr>
                            </a:gs>
                            <a:gs pos="35000">
                              <a:srgbClr val="CD8107"/>
                            </a:gs>
                            <a:gs pos="46000">
                              <a:srgbClr val="FABC08"/>
                            </a:gs>
                            <a:gs pos="55000">
                              <a:srgbClr val="FEE103"/>
                            </a:gs>
                          </a:gsLst>
                          <a:lin ang="1920000" scaled="0"/>
                          <a:tileRect/>
                        </a:gradFill>
                        <a:ln w="27931" cap="flat">
                          <a:noFill/>
                          <a:prstDash val="solid"/>
                          <a:miter/>
                        </a:ln>
                      </wps:spPr>
                      <wps:bodyPr rtlCol="0" anchor="ctr"/>
                    </wps:wsp>
                    <wps:wsp>
                      <wps:cNvPr id="17" name="Freeform 27"/>
                      <wps:cNvSpPr/>
                      <wps:spPr>
                        <a:xfrm>
                          <a:off x="990362" y="728675"/>
                          <a:ext cx="990501" cy="1240581"/>
                        </a:xfrm>
                        <a:custGeom>
                          <a:avLst/>
                          <a:gdLst>
                            <a:gd name="connsiteX0" fmla="*/ 376190 w 990502"/>
                            <a:gd name="connsiteY0" fmla="*/ 355722 h 1240581"/>
                            <a:gd name="connsiteX1" fmla="*/ 0 w 990502"/>
                            <a:gd name="connsiteY1" fmla="*/ 1240581 h 1240581"/>
                            <a:gd name="connsiteX2" fmla="*/ 0 w 990502"/>
                            <a:gd name="connsiteY2" fmla="*/ 1240581 h 1240581"/>
                            <a:gd name="connsiteX3" fmla="*/ 990502 w 990502"/>
                            <a:gd name="connsiteY3" fmla="*/ 255953 h 1240581"/>
                            <a:gd name="connsiteX4" fmla="*/ 733374 w 990502"/>
                            <a:gd name="connsiteY4" fmla="*/ 0 h 1240581"/>
                            <a:gd name="connsiteX5" fmla="*/ 376190 w 990502"/>
                            <a:gd name="connsiteY5" fmla="*/ 355722 h 1240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990502" h="1240581">
                              <a:moveTo>
                                <a:pt x="376190" y="355722"/>
                              </a:moveTo>
                              <a:lnTo>
                                <a:pt x="0" y="1240581"/>
                              </a:lnTo>
                              <a:lnTo>
                                <a:pt x="0" y="1240581"/>
                              </a:lnTo>
                              <a:lnTo>
                                <a:pt x="990502" y="255953"/>
                              </a:lnTo>
                              <a:lnTo>
                                <a:pt x="733374" y="0"/>
                              </a:lnTo>
                              <a:lnTo>
                                <a:pt x="376190" y="355722"/>
                              </a:lnTo>
                              <a:close/>
                            </a:path>
                          </a:pathLst>
                        </a:custGeom>
                        <a:gradFill flip="none" rotWithShape="1">
                          <a:gsLst>
                            <a:gs pos="34000">
                              <a:schemeClr val="tx1">
                                <a:alpha val="39000"/>
                              </a:schemeClr>
                            </a:gs>
                            <a:gs pos="46000">
                              <a:srgbClr val="F2B400">
                                <a:alpha val="0"/>
                              </a:srgbClr>
                            </a:gs>
                            <a:gs pos="38000">
                              <a:srgbClr val="D88A00">
                                <a:alpha val="0"/>
                              </a:srgbClr>
                            </a:gs>
                            <a:gs pos="52000">
                              <a:srgbClr val="FAD202">
                                <a:alpha val="0"/>
                              </a:srgbClr>
                            </a:gs>
                            <a:gs pos="57000">
                              <a:srgbClr val="FEDF03">
                                <a:alpha val="0"/>
                              </a:srgbClr>
                            </a:gs>
                          </a:gsLst>
                          <a:lin ang="1920000" scaled="0"/>
                          <a:tileRect/>
                        </a:gradFill>
                        <a:ln w="27931" cap="flat">
                          <a:noFill/>
                          <a:prstDash val="solid"/>
                          <a:miter/>
                        </a:ln>
                      </wps:spPr>
                      <wps:bodyPr rtlCol="0" anchor="ctr"/>
                    </wps:wsp>
                  </wpg:wgp>
                </a:graphicData>
              </a:graphic>
              <wp14:sizeRelH relativeFrom="margin">
                <wp14:pctWidth>0</wp14:pctWidth>
              </wp14:sizeRelH>
              <wp14:sizeRelV relativeFrom="margin">
                <wp14:pctHeight>0</wp14:pctHeight>
              </wp14:sizeRelV>
            </wp:anchor>
          </w:drawing>
        </mc:Choice>
        <mc:Fallback>
          <w:pict>
            <v:group w14:anchorId="17AF12D7" id="Group 36" o:spid="_x0000_s1026" style="position:absolute;margin-left:500.95pt;margin-top:763.75pt;width:55.3pt;height:56.7pt;z-index:-251658240;mso-position-horizontal-relative:page;mso-position-vertical-relative:page;mso-width-relative:margin;mso-height-relative:margin" coordsize="19808,19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">
              <o:lock v:ext="edit" aspectratio="t"/>
              <v:shape id="Freeform 24" o:spid="_x0000_s1027" style="position:absolute;left:1;width:19807;height:19692;visibility:visible;mso-wrap-style:square;v-text-anchor:middle" coordsize="1980724,196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" path="m990223,r990502,984628l990223,1969256,,984628,990223,e" fillcolor="yellow" stroked="f" strokeweight=".77586mm">
                <v:fill color2="#fc0" rotate="t" angle="90" colors="0 yellow;36700f yellow" focus="100%" type="gradient"/>
                <v:stroke joinstyle="miter"/>
                <v:path arrowok="t" o:connecttype="custom" o:connectlocs="990223,0;1980725,984628;990223,1969256;0,984628;990223,0" o:connectangles="0,0,0,0,0"/>
              </v:shape>
              <v:shape id="Freeform 54" o:spid="_x0000_s1028" style="position:absolute;width:19807;height:19692;visibility:visible;mso-wrap-style:square;v-text-anchor:middle" coordsize="1980724,1969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" path="m990223,r990502,984628l990223,1969256,,984628,990223,e" fillcolor="yellow" stroked="f" strokeweight=".77586mm">
                <v:fill opacity="0" color2="#fc0" rotate="t" angle="45" colors="0 yellow;20316f yellow;38011f #fed508" focus="100%" type="gradient">
                  <o:fill v:ext="view" type="gradientUnscaled"/>
                </v:fill>
                <v:stroke joinstyle="miter"/>
                <v:path arrowok="t" o:connecttype="custom" o:connectlocs="990223,0;1980725,984628;990223,1969256;0,984628;990223,0" o:connectangles="0,0,0,0,0"/>
              </v:shape>
              <v:shape id="Freeform 26" o:spid="_x0000_s1029" style="position:absolute;left:9903;top:7286;width:9905;height:12406;visibility:visible;mso-wrap-style:square;v-text-anchor:middle" coordsize="990502,124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" path="m376190,355722l,1240581r,l990502,255953,733374,,376190,355722xe" fillcolor="#874400" stroked="f" strokeweight=".77586mm">
                <v:fill color2="#fee103" o:opacity2="58982f" rotate="t" angle="58" colors="0 #874400;11141f #874400;22938f #cd8107;30147f #fabc08" focus="100%" type="gradient">
                  <o:fill v:ext="view" type="gradientUnscaled"/>
                </v:fill>
                <v:stroke joinstyle="miter"/>
                <v:path arrowok="t" o:connecttype="custom" o:connectlocs="376190,355722;0,1240581;0,1240581;990501,255953;733373,0;376190,355722" o:connectangles="0,0,0,0,0,0"/>
              </v:shape>
              <v:shape id="Freeform 27" o:spid="_x0000_s1030" style="position:absolute;left:9903;top:7286;width:9905;height:12406;visibility:visible;mso-wrap-style:square;v-text-anchor:middle" coordsize="990502,1240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" path="m376190,355722l,1240581r,l990502,255953,733374,,376190,355722xe" fillcolor="#1e1e1e [3213]" stroked="f" strokeweight=".77586mm">
                <v:fill opacity="0" color2="#fedf03" o:opacity2="25559f" rotate="t" angle="58" colors="0 #1e1e1e;22282f #1e1e1e;24904f #d88a00;30147f #f2b400;34079f #fad202" focus="100%" type="gradient">
                  <o:fill v:ext="view" type="gradientUnscaled"/>
                </v:fill>
                <v:stroke joinstyle="miter"/>
                <v:path arrowok="t" o:connecttype="custom" o:connectlocs="376190,355722;0,1240581;0,1240581;990501,255953;733373,0;376190,355722" o:connectangles="0,0,0,0,0,0"/>
              </v:shape>
              <w10:wrap anchorx="page" anchory="page"/>
              <w10:anchorlock/>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69BDB" w14:textId="427D5BDC" w:rsidR="00E82212" w:rsidRDefault="00DA44A8" w:rsidP="00EF297E">
    <w:pPr>
      <w:pStyle w:val="Footer"/>
    </w:pPr>
    <w:r>
      <w:rPr>
        <w:noProof/>
      </w:rPr>
      <mc:AlternateContent>
        <mc:Choice Requires="wps">
          <w:drawing>
            <wp:anchor distT="0" distB="0" distL="0" distR="0" simplePos="0" relativeHeight="251662336" behindDoc="0" locked="0" layoutInCell="1" allowOverlap="1" wp14:anchorId="5E39D585" wp14:editId="5C3B9864">
              <wp:simplePos x="723900" y="10157460"/>
              <wp:positionH relativeFrom="page">
                <wp:align>center</wp:align>
              </wp:positionH>
              <wp:positionV relativeFrom="page">
                <wp:align>bottom</wp:align>
              </wp:positionV>
              <wp:extent cx="546735" cy="371475"/>
              <wp:effectExtent l="0" t="0" r="5715" b="0"/>
              <wp:wrapNone/>
              <wp:docPr id="520406002" name="Text Box 4" descr="GENER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46735" cy="371475"/>
                      </a:xfrm>
                      <a:prstGeom prst="rect">
                        <a:avLst/>
                      </a:prstGeom>
                      <a:noFill/>
                      <a:ln>
                        <a:noFill/>
                      </a:ln>
                    </wps:spPr>
                    <wps:txbx>
                      <w:txbxContent>
                        <w:p w14:paraId="5AE8F911" w14:textId="7BEE011B" w:rsidR="00DA44A8" w:rsidRPr="00DA44A8" w:rsidRDefault="00DA44A8" w:rsidP="00DA44A8">
                          <w:pPr>
                            <w:spacing w:after="0"/>
                            <w:rPr>
                              <w:rFonts w:ascii="Myriad Pro" w:eastAsia="Myriad Pro" w:hAnsi="Myriad Pro" w:cs="Myriad Pro"/>
                              <w:noProof/>
                              <w:color w:val="808080"/>
                              <w:sz w:val="22"/>
                              <w:szCs w:val="22"/>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39D585" id="_x0000_t202" coordsize="21600,21600" o:spt="202" path="m,l,21600r21600,l21600,xe">
              <v:stroke joinstyle="miter"/>
              <v:path gradientshapeok="t" o:connecttype="rect"/>
            </v:shapetype>
            <v:shape id="Text Box 4" o:spid="_x0000_s1030" type="#_x0000_t202" alt="GENERAL" style="position:absolute;margin-left:0;margin-top:0;width:43.05pt;height:29.2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" filled="f" stroked="f">
              <v:fill o:detectmouseclick="t"/>
              <v:textbox style="mso-fit-shape-to-text:t" inset="0,0,0,15pt">
                <w:txbxContent>
                  <w:p w14:paraId="5AE8F911" w14:textId="7BEE011B" w:rsidR="00DA44A8" w:rsidRPr="00DA44A8" w:rsidRDefault="00DA44A8" w:rsidP="00DA44A8">
                    <w:pPr>
                      <w:spacing w:after="0"/>
                      <w:rPr>
                        <w:rFonts w:ascii="Myriad Pro" w:eastAsia="Myriad Pro" w:hAnsi="Myriad Pro" w:cs="Myriad Pro"/>
                        <w:noProof/>
                        <w:color w:val="808080"/>
                        <w:sz w:val="22"/>
                        <w:szCs w:val="22"/>
                      </w:rPr>
                    </w:pPr>
                  </w:p>
                </w:txbxContent>
              </v:textbox>
              <w10:wrap anchorx="page" anchory="page"/>
            </v:shape>
          </w:pict>
        </mc:Fallback>
      </mc:AlternateContent>
    </w:r>
    <w:r w:rsidR="00EF297E">
      <w:t xml:space="preserve">Commonwealth Bank of Australia  </w:t>
    </w:r>
    <w:r w:rsidR="00EF297E" w:rsidRPr="00EF297E">
      <w:rPr>
        <w:rStyle w:val="CBABeaconSansBold"/>
      </w:rPr>
      <w:t>|</w:t>
    </w:r>
    <w:r w:rsidR="00EF297E">
      <w:t xml:space="preserve">  ABN 48 123 123 124</w:t>
    </w:r>
    <w:r w:rsidR="00EF297E">
      <w:ptab w:relativeTo="margin" w:alignment="right" w:leader="none"/>
    </w:r>
    <w:r w:rsidR="00EF297E" w:rsidRPr="00EF297E">
      <w:fldChar w:fldCharType="begin"/>
    </w:r>
    <w:r w:rsidR="00EF297E" w:rsidRPr="00EF297E">
      <w:instrText xml:space="preserve"> PAGE   \* MERGEFORMAT </w:instrText>
    </w:r>
    <w:r w:rsidR="00EF297E" w:rsidRPr="00EF297E">
      <w:fldChar w:fldCharType="separate"/>
    </w:r>
    <w:r w:rsidR="00EF297E" w:rsidRPr="00EF297E">
      <w:rPr>
        <w:noProof/>
      </w:rPr>
      <w:t>1</w:t>
    </w:r>
    <w:r w:rsidR="00EF297E" w:rsidRPr="00EF297E">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26DF23" w14:textId="77777777" w:rsidR="005223CE" w:rsidRPr="006A08FE" w:rsidRDefault="005223CE" w:rsidP="00064101">
      <w:pPr>
        <w:rPr>
          <w:color w:val="BEBEB9" w:themeColor="accent6"/>
        </w:rPr>
      </w:pPr>
      <w:bookmarkStart w:id="0" w:name="_Hlk477344342"/>
      <w:bookmarkEnd w:id="0"/>
      <w:r w:rsidRPr="006A08FE">
        <w:rPr>
          <w:color w:val="BEBEB9" w:themeColor="accent6"/>
        </w:rPr>
        <w:separator/>
      </w:r>
    </w:p>
  </w:footnote>
  <w:footnote w:type="continuationSeparator" w:id="0">
    <w:p w14:paraId="57B7D067" w14:textId="77777777" w:rsidR="005223CE" w:rsidRDefault="005223CE" w:rsidP="00064101">
      <w:r>
        <w:continuationSeparator/>
      </w:r>
    </w:p>
  </w:footnote>
  <w:footnote w:id="1">
    <w:p w14:paraId="7703FBB6" w14:textId="6FD2CF0D"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Consultation </w:t>
      </w:r>
      <w:r w:rsidR="00E9402D">
        <w:rPr>
          <w:szCs w:val="16"/>
        </w:rPr>
        <w:t>P</w:t>
      </w:r>
      <w:r w:rsidRPr="00563680">
        <w:rPr>
          <w:szCs w:val="16"/>
        </w:rPr>
        <w:t>aper, page 26.</w:t>
      </w:r>
    </w:p>
  </w:footnote>
  <w:footnote w:id="2">
    <w:p w14:paraId="6EDC6309" w14:textId="5F6FA65E"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Calculated based on applying CBA’s transaction mix to UK and EU interchange tables for personal and commercial, debit and credit. Blended totals calculated using the aggregate transaction mix in each jurisdiction. Europe approximated by the </w:t>
      </w:r>
      <w:r>
        <w:rPr>
          <w:szCs w:val="16"/>
        </w:rPr>
        <w:t>av</w:t>
      </w:r>
      <w:r w:rsidR="006B2BBB">
        <w:rPr>
          <w:szCs w:val="16"/>
        </w:rPr>
        <w:t>erage</w:t>
      </w:r>
      <w:r>
        <w:rPr>
          <w:szCs w:val="16"/>
        </w:rPr>
        <w:t xml:space="preserve"> </w:t>
      </w:r>
      <w:r w:rsidRPr="00563680">
        <w:rPr>
          <w:szCs w:val="16"/>
        </w:rPr>
        <w:t>of France and Germany</w:t>
      </w:r>
      <w:r>
        <w:rPr>
          <w:szCs w:val="16"/>
        </w:rPr>
        <w:t>.</w:t>
      </w:r>
    </w:p>
  </w:footnote>
  <w:footnote w:id="3">
    <w:p w14:paraId="17D03C18" w14:textId="07CFA60A"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Consultation </w:t>
      </w:r>
      <w:r w:rsidR="00EF4B7B">
        <w:rPr>
          <w:szCs w:val="16"/>
        </w:rPr>
        <w:t>P</w:t>
      </w:r>
      <w:r w:rsidRPr="00563680">
        <w:rPr>
          <w:szCs w:val="16"/>
        </w:rPr>
        <w:t>aper, page 32.</w:t>
      </w:r>
    </w:p>
  </w:footnote>
  <w:footnote w:id="4">
    <w:p w14:paraId="65D806F8" w14:textId="2E2D78F7" w:rsidR="00580B9E" w:rsidRDefault="000C6330" w:rsidP="000C6330">
      <w:pPr>
        <w:pStyle w:val="FootnoteText"/>
      </w:pPr>
      <w:r>
        <w:rPr>
          <w:rStyle w:val="FootnoteReference"/>
        </w:rPr>
        <w:footnoteRef/>
      </w:r>
      <w:r>
        <w:t xml:space="preserve"> </w:t>
      </w:r>
      <w:r w:rsidR="00E70DAC">
        <w:t>AU current, UK and EU b</w:t>
      </w:r>
      <w:r w:rsidR="00580B9E">
        <w:t>ased on publicly available interchange tables,</w:t>
      </w:r>
      <w:r w:rsidR="009E096B">
        <w:t xml:space="preserve"> applied to approximate flows </w:t>
      </w:r>
      <w:r w:rsidR="008B1B09">
        <w:t xml:space="preserve">based </w:t>
      </w:r>
      <w:r w:rsidR="009E096B">
        <w:t xml:space="preserve">on </w:t>
      </w:r>
      <w:r w:rsidR="001B5702">
        <w:t>our estimates</w:t>
      </w:r>
      <w:r w:rsidR="009E096B">
        <w:t xml:space="preserve">. EU approximated by France and Germany. </w:t>
      </w:r>
      <w:r w:rsidR="006B2BBB">
        <w:t>‘</w:t>
      </w:r>
      <w:r w:rsidR="006A68B4">
        <w:t>AU proposed</w:t>
      </w:r>
      <w:r w:rsidR="00ED45FC">
        <w:t>’</w:t>
      </w:r>
      <w:r w:rsidR="006A68B4">
        <w:t xml:space="preserve"> estimated based on proposed reforms.</w:t>
      </w:r>
    </w:p>
    <w:p w14:paraId="226A65D2" w14:textId="0E8A1DCE" w:rsidR="000C6330" w:rsidRDefault="000C6330" w:rsidP="000C6330">
      <w:pPr>
        <w:pStyle w:val="FootnoteText"/>
      </w:pPr>
    </w:p>
  </w:footnote>
  <w:footnote w:id="5">
    <w:p w14:paraId="2A9E26E2" w14:textId="77777777"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Issuer Cost Study 19 August 2025, page 3.</w:t>
      </w:r>
    </w:p>
  </w:footnote>
  <w:footnote w:id="6">
    <w:p w14:paraId="10466E7E" w14:textId="5CAC9D23" w:rsidR="00B2199B" w:rsidRPr="004427B1" w:rsidRDefault="00B2199B" w:rsidP="00B2199B">
      <w:pPr>
        <w:pStyle w:val="FootnoteText"/>
        <w:rPr>
          <w:szCs w:val="16"/>
        </w:rPr>
      </w:pPr>
      <w:r w:rsidRPr="004427B1">
        <w:rPr>
          <w:rStyle w:val="FootnoteReference"/>
          <w:szCs w:val="16"/>
        </w:rPr>
        <w:footnoteRef/>
      </w:r>
      <w:r w:rsidRPr="004427B1">
        <w:rPr>
          <w:szCs w:val="16"/>
        </w:rPr>
        <w:t xml:space="preserve"> While we agree that customer rewards should not be </w:t>
      </w:r>
      <w:r w:rsidR="001F4076">
        <w:rPr>
          <w:szCs w:val="16"/>
        </w:rPr>
        <w:t>an ‘eligible cost’</w:t>
      </w:r>
      <w:r w:rsidRPr="004427B1">
        <w:rPr>
          <w:szCs w:val="16"/>
        </w:rPr>
        <w:t xml:space="preserve">, they are relevant for calculating the net benefit to consumers. </w:t>
      </w:r>
    </w:p>
  </w:footnote>
  <w:footnote w:id="7">
    <w:p w14:paraId="790988B3" w14:textId="227F92C4"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CBA analysis: Total capital required has increase</w:t>
      </w:r>
      <w:r w:rsidR="0046124B">
        <w:rPr>
          <w:szCs w:val="16"/>
        </w:rPr>
        <w:t>d</w:t>
      </w:r>
      <w:r w:rsidRPr="00563680">
        <w:rPr>
          <w:szCs w:val="16"/>
        </w:rPr>
        <w:t xml:space="preserve"> further (18</w:t>
      </w:r>
      <w:r w:rsidR="00FF3F4D">
        <w:rPr>
          <w:szCs w:val="16"/>
        </w:rPr>
        <w:t>.25</w:t>
      </w:r>
      <w:r w:rsidRPr="00563680">
        <w:rPr>
          <w:szCs w:val="16"/>
        </w:rPr>
        <w:t>% vs 8%), given the higher LAC requirements.</w:t>
      </w:r>
    </w:p>
  </w:footnote>
  <w:footnote w:id="8">
    <w:p w14:paraId="0251931D" w14:textId="265643D3" w:rsidR="005A547D" w:rsidRDefault="005A547D">
      <w:pPr>
        <w:pStyle w:val="FootnoteText"/>
      </w:pPr>
      <w:r>
        <w:rPr>
          <w:rStyle w:val="FootnoteReference"/>
        </w:rPr>
        <w:footnoteRef/>
      </w:r>
      <w:r>
        <w:t xml:space="preserve"> Refer Appendix </w:t>
      </w:r>
      <w:r w:rsidR="00CA0EF3" w:rsidRPr="00AD02C3">
        <w:t>C</w:t>
      </w:r>
      <w:r>
        <w:t xml:space="preserve"> for a summary of </w:t>
      </w:r>
      <w:r w:rsidR="00527DD2">
        <w:t xml:space="preserve">Australian policy changes </w:t>
      </w:r>
      <w:r w:rsidR="00223055">
        <w:t xml:space="preserve">for capital requirements </w:t>
      </w:r>
      <w:r w:rsidR="00527DD2">
        <w:t>since 2002</w:t>
      </w:r>
      <w:r w:rsidR="002A2A4C">
        <w:t>.</w:t>
      </w:r>
    </w:p>
  </w:footnote>
  <w:footnote w:id="9">
    <w:p w14:paraId="7DCE2C51" w14:textId="5E6187D7"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w:t>
      </w:r>
      <w:r w:rsidR="002007D7">
        <w:rPr>
          <w:szCs w:val="16"/>
        </w:rPr>
        <w:t>Applying</w:t>
      </w:r>
      <w:r w:rsidR="00A07667" w:rsidRPr="00A07667">
        <w:rPr>
          <w:szCs w:val="16"/>
        </w:rPr>
        <w:t xml:space="preserve"> average RBA cash rate from FY23-25</w:t>
      </w:r>
      <w:r w:rsidR="003E5AAE">
        <w:rPr>
          <w:szCs w:val="16"/>
        </w:rPr>
        <w:t xml:space="preserve"> to CBA’s cost study submission</w:t>
      </w:r>
      <w:r w:rsidR="00A07667" w:rsidRPr="00A07667">
        <w:rPr>
          <w:szCs w:val="16"/>
        </w:rPr>
        <w:t xml:space="preserve">. </w:t>
      </w:r>
      <w:proofErr w:type="gramStart"/>
      <w:r w:rsidR="00A07667" w:rsidRPr="00A07667">
        <w:rPr>
          <w:szCs w:val="16"/>
        </w:rPr>
        <w:t>Or,</w:t>
      </w:r>
      <w:proofErr w:type="gramEnd"/>
      <w:r w:rsidR="00A07667" w:rsidRPr="00A07667">
        <w:rPr>
          <w:szCs w:val="16"/>
        </w:rPr>
        <w:t xml:space="preserve"> 18</w:t>
      </w:r>
      <w:r w:rsidR="001F1303">
        <w:rPr>
          <w:szCs w:val="16"/>
        </w:rPr>
        <w:t xml:space="preserve"> </w:t>
      </w:r>
      <w:r w:rsidR="00A07667" w:rsidRPr="00A07667">
        <w:rPr>
          <w:szCs w:val="16"/>
        </w:rPr>
        <w:t>bp</w:t>
      </w:r>
      <w:r w:rsidR="001F1303">
        <w:rPr>
          <w:szCs w:val="16"/>
        </w:rPr>
        <w:t>s</w:t>
      </w:r>
      <w:r w:rsidR="00A07667" w:rsidRPr="00A07667">
        <w:rPr>
          <w:szCs w:val="16"/>
        </w:rPr>
        <w:t xml:space="preserve"> using </w:t>
      </w:r>
      <w:r w:rsidR="002703A0">
        <w:rPr>
          <w:szCs w:val="16"/>
        </w:rPr>
        <w:t>prospective 10-year swap rate</w:t>
      </w:r>
      <w:r w:rsidR="00A07667" w:rsidRPr="00A07667">
        <w:rPr>
          <w:szCs w:val="16"/>
        </w:rPr>
        <w:t>.</w:t>
      </w:r>
      <w:r w:rsidRPr="00563680">
        <w:rPr>
          <w:szCs w:val="16"/>
        </w:rPr>
        <w:t xml:space="preserve"> </w:t>
      </w:r>
    </w:p>
  </w:footnote>
  <w:footnote w:id="10">
    <w:p w14:paraId="4EE5DD47" w14:textId="1AD9F295" w:rsidR="00D52B8E" w:rsidRPr="00EC3808" w:rsidRDefault="00D52B8E">
      <w:pPr>
        <w:pStyle w:val="FootnoteText"/>
        <w:rPr>
          <w:lang w:val="en-GB"/>
        </w:rPr>
      </w:pPr>
      <w:r>
        <w:rPr>
          <w:rStyle w:val="FootnoteReference"/>
        </w:rPr>
        <w:footnoteRef/>
      </w:r>
      <w:r>
        <w:t xml:space="preserve"> </w:t>
      </w:r>
      <w:r w:rsidRPr="00D52B8E">
        <w:rPr>
          <w:lang w:val="en-GB"/>
        </w:rPr>
        <w:t>RBA (2002) Reform of Credit Card Schemes in Australia - IV Final Reforms and Regulation Impact Statement</w:t>
      </w:r>
      <w:r w:rsidR="00EC3808">
        <w:rPr>
          <w:lang w:val="en-GB"/>
        </w:rPr>
        <w:t>, page 37.</w:t>
      </w:r>
    </w:p>
  </w:footnote>
  <w:footnote w:id="11">
    <w:p w14:paraId="2BE007D6" w14:textId="77777777" w:rsidR="00F70605" w:rsidRPr="00563680" w:rsidRDefault="00F70605" w:rsidP="00F70605">
      <w:pPr>
        <w:pStyle w:val="FootnoteText"/>
        <w:rPr>
          <w:szCs w:val="16"/>
        </w:rPr>
      </w:pPr>
      <w:r w:rsidRPr="00563680">
        <w:rPr>
          <w:rStyle w:val="FootnoteReference"/>
          <w:szCs w:val="16"/>
        </w:rPr>
        <w:footnoteRef/>
      </w:r>
      <w:r w:rsidRPr="00563680">
        <w:rPr>
          <w:szCs w:val="16"/>
        </w:rPr>
        <w:t xml:space="preserve"> Issuer Cost Study 19 August 2025, page</w:t>
      </w:r>
      <w:r>
        <w:rPr>
          <w:szCs w:val="16"/>
        </w:rPr>
        <w:t>s</w:t>
      </w:r>
      <w:r w:rsidRPr="00563680">
        <w:rPr>
          <w:szCs w:val="16"/>
        </w:rPr>
        <w:t xml:space="preserve"> 20</w:t>
      </w:r>
      <w:r>
        <w:rPr>
          <w:szCs w:val="16"/>
        </w:rPr>
        <w:t xml:space="preserve"> and 21</w:t>
      </w:r>
      <w:r w:rsidRPr="00563680">
        <w:rPr>
          <w:szCs w:val="16"/>
        </w:rPr>
        <w:t>.</w:t>
      </w:r>
    </w:p>
  </w:footnote>
  <w:footnote w:id="12">
    <w:p w14:paraId="04CCED4C" w14:textId="20B3C56A"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RBA Bulletin October 2024, The Reliability of Retail Payment Services</w:t>
      </w:r>
      <w:r w:rsidR="005552E4">
        <w:rPr>
          <w:szCs w:val="16"/>
        </w:rPr>
        <w:t>, page</w:t>
      </w:r>
      <w:r w:rsidR="0098153D">
        <w:rPr>
          <w:szCs w:val="16"/>
        </w:rPr>
        <w:t>s</w:t>
      </w:r>
      <w:r w:rsidR="005552E4">
        <w:rPr>
          <w:szCs w:val="16"/>
        </w:rPr>
        <w:t xml:space="preserve"> 32</w:t>
      </w:r>
      <w:r w:rsidR="0098153D">
        <w:rPr>
          <w:szCs w:val="16"/>
        </w:rPr>
        <w:t xml:space="preserve"> and 34</w:t>
      </w:r>
      <w:r w:rsidRPr="00563680">
        <w:rPr>
          <w:szCs w:val="16"/>
        </w:rPr>
        <w:t>.</w:t>
      </w:r>
    </w:p>
  </w:footnote>
  <w:footnote w:id="13">
    <w:p w14:paraId="44B81FC0" w14:textId="77777777"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Issuer Cost Study 19 August 2025, Page 3.</w:t>
      </w:r>
    </w:p>
  </w:footnote>
  <w:footnote w:id="14">
    <w:p w14:paraId="6E7D0FD3" w14:textId="77777777"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The findings of the 2014 cost study (which covered issuers and other participants) were released in December 2014 in Stewart, Chan, </w:t>
      </w:r>
      <w:proofErr w:type="spellStart"/>
      <w:r w:rsidRPr="00563680">
        <w:rPr>
          <w:szCs w:val="16"/>
        </w:rPr>
        <w:t>Ossolinski</w:t>
      </w:r>
      <w:proofErr w:type="spellEnd"/>
      <w:r w:rsidRPr="00563680">
        <w:rPr>
          <w:szCs w:val="16"/>
        </w:rPr>
        <w:t>, Halperin and Ryan (2014) The Evolution of Payment Costs in Australia, RBA RDP 2014-14.</w:t>
      </w:r>
    </w:p>
  </w:footnote>
  <w:footnote w:id="15">
    <w:p w14:paraId="4ED50438" w14:textId="7FADDC45" w:rsidR="00B2199B" w:rsidRPr="00563680" w:rsidRDefault="00B2199B" w:rsidP="00B2199B">
      <w:pPr>
        <w:pStyle w:val="FootnoteText"/>
        <w:rPr>
          <w:szCs w:val="16"/>
        </w:rPr>
      </w:pPr>
      <w:r w:rsidRPr="00563680">
        <w:rPr>
          <w:rStyle w:val="FootnoteReference"/>
          <w:szCs w:val="16"/>
        </w:rPr>
        <w:footnoteRef/>
      </w:r>
      <w:r w:rsidRPr="00563680">
        <w:rPr>
          <w:szCs w:val="16"/>
        </w:rPr>
        <w:t xml:space="preserve"> Time taken from start of consultation to publication of findings</w:t>
      </w:r>
      <w:r w:rsidR="00183B4E">
        <w:rPr>
          <w:szCs w:val="16"/>
        </w:rPr>
        <w:t>.</w:t>
      </w:r>
    </w:p>
  </w:footnote>
  <w:footnote w:id="16">
    <w:p w14:paraId="7C4BB7BE" w14:textId="14198354" w:rsidR="00DB6631" w:rsidRDefault="00DB6631">
      <w:pPr>
        <w:pStyle w:val="FootnoteText"/>
      </w:pPr>
      <w:r>
        <w:rPr>
          <w:rStyle w:val="FootnoteReference"/>
        </w:rPr>
        <w:footnoteRef/>
      </w:r>
      <w:r w:rsidR="00552695">
        <w:t xml:space="preserve"> Issuer Cost Study, page 3.</w:t>
      </w:r>
    </w:p>
  </w:footnote>
  <w:footnote w:id="17">
    <w:p w14:paraId="472446F6" w14:textId="3CBDFE84" w:rsidR="00FB1967" w:rsidRPr="00B227BE" w:rsidRDefault="00FB1967" w:rsidP="00B227BE">
      <w:pPr>
        <w:pStyle w:val="FootnoteText"/>
        <w:rPr>
          <w:b/>
          <w:bCs/>
        </w:rPr>
      </w:pPr>
      <w:r>
        <w:rPr>
          <w:rStyle w:val="FootnoteReference"/>
        </w:rPr>
        <w:footnoteRef/>
      </w:r>
      <w:r w:rsidR="00B227BE">
        <w:t xml:space="preserve"> Media release </w:t>
      </w:r>
      <w:r w:rsidR="00B227BE" w:rsidRPr="000D54B1">
        <w:t>- Review of Merchant Card Payment Costs and Surcharging, RBA, 15 July 2025</w:t>
      </w:r>
      <w:r w:rsidR="006B5F81">
        <w:t>.</w:t>
      </w:r>
    </w:p>
  </w:footnote>
  <w:footnote w:id="18">
    <w:p w14:paraId="753F7209" w14:textId="377CCEE5" w:rsidR="00DD0CA3" w:rsidRPr="001515FE" w:rsidRDefault="00DD0CA3" w:rsidP="00DD0CA3">
      <w:pPr>
        <w:pStyle w:val="FootnoteText"/>
        <w:rPr>
          <w:szCs w:val="16"/>
        </w:rPr>
      </w:pPr>
      <w:r w:rsidRPr="001515FE">
        <w:rPr>
          <w:rStyle w:val="FootnoteReference"/>
          <w:szCs w:val="16"/>
        </w:rPr>
        <w:footnoteRef/>
      </w:r>
      <w:r w:rsidRPr="001515FE">
        <w:rPr>
          <w:szCs w:val="16"/>
        </w:rPr>
        <w:t xml:space="preserve"> </w:t>
      </w:r>
      <w:r w:rsidR="00D91B41" w:rsidRPr="00D91B41">
        <w:rPr>
          <w:rFonts w:cstheme="minorHAnsi"/>
          <w:szCs w:val="16"/>
        </w:rPr>
        <w:t>Of 53 EU/U</w:t>
      </w:r>
      <w:r w:rsidR="00D91B41">
        <w:rPr>
          <w:rFonts w:cstheme="minorHAnsi"/>
          <w:szCs w:val="16"/>
        </w:rPr>
        <w:t>K</w:t>
      </w:r>
      <w:r w:rsidR="00D91B41" w:rsidRPr="00D91B41">
        <w:rPr>
          <w:rFonts w:cstheme="minorHAnsi"/>
          <w:szCs w:val="16"/>
        </w:rPr>
        <w:t xml:space="preserve"> issuers, 50% increased annual fees, 40% APR, and 20% other fees. (</w:t>
      </w:r>
      <w:r w:rsidR="000D4FAB">
        <w:rPr>
          <w:rFonts w:cstheme="minorHAnsi"/>
          <w:szCs w:val="16"/>
        </w:rPr>
        <w:t>Payments Industry Intelligence</w:t>
      </w:r>
      <w:r w:rsidR="007D1CB3">
        <w:rPr>
          <w:rFonts w:cstheme="minorHAnsi"/>
          <w:szCs w:val="16"/>
        </w:rPr>
        <w:t>;</w:t>
      </w:r>
      <w:r w:rsidR="00D91B41" w:rsidRPr="00D91B41">
        <w:rPr>
          <w:rFonts w:cstheme="minorHAnsi"/>
          <w:szCs w:val="16"/>
        </w:rPr>
        <w:t xml:space="preserve"> 2016)</w:t>
      </w:r>
      <w:r w:rsidR="006B5F81">
        <w:rPr>
          <w:rFonts w:cstheme="minorHAnsi"/>
          <w:szCs w:val="16"/>
        </w:rPr>
        <w:t>.</w:t>
      </w:r>
    </w:p>
  </w:footnote>
  <w:footnote w:id="19">
    <w:p w14:paraId="7B01CCB1" w14:textId="6CF64831" w:rsidR="00D802C7" w:rsidRDefault="00D802C7">
      <w:pPr>
        <w:pStyle w:val="FootnoteText"/>
      </w:pPr>
      <w:r>
        <w:rPr>
          <w:rStyle w:val="FootnoteReference"/>
        </w:rPr>
        <w:footnoteRef/>
      </w:r>
      <w:r>
        <w:t xml:space="preserve"> </w:t>
      </w:r>
      <w:r w:rsidR="0054523F">
        <w:t>~</w:t>
      </w:r>
      <w:r w:rsidR="00E97BBE">
        <w:t>55% of</w:t>
      </w:r>
      <w:r w:rsidR="002E4030">
        <w:t xml:space="preserve"> small merchants indicated that they </w:t>
      </w:r>
      <w:proofErr w:type="gramStart"/>
      <w:r w:rsidR="002E4030">
        <w:t>will</w:t>
      </w:r>
      <w:proofErr w:type="gramEnd"/>
      <w:r w:rsidR="002E4030">
        <w:t xml:space="preserve"> raise prices</w:t>
      </w:r>
      <w:r w:rsidR="00E91F56">
        <w:t xml:space="preserve">, with ~60% raising by </w:t>
      </w:r>
      <w:r w:rsidR="003F6EF4">
        <w:t>full amount of surcharge.</w:t>
      </w:r>
      <w:r w:rsidR="00CF2D31">
        <w:t xml:space="preserve"> (Mastercard Australia: AADF survey of </w:t>
      </w:r>
      <w:r w:rsidR="008F6B6E">
        <w:t>small</w:t>
      </w:r>
      <w:r w:rsidR="00FA6833">
        <w:t>er merchants n=627)</w:t>
      </w:r>
      <w:r w:rsidR="006B5F81">
        <w:t>.</w:t>
      </w:r>
    </w:p>
  </w:footnote>
  <w:footnote w:id="20">
    <w:p w14:paraId="5FE435E0" w14:textId="7AF3A175" w:rsidR="001F08DF" w:rsidRDefault="001F08DF">
      <w:pPr>
        <w:pStyle w:val="FootnoteText"/>
      </w:pPr>
      <w:r>
        <w:rPr>
          <w:rStyle w:val="FootnoteReference"/>
        </w:rPr>
        <w:footnoteRef/>
      </w:r>
      <w:r>
        <w:t xml:space="preserve"> </w:t>
      </w:r>
      <w:r w:rsidR="00A67FF5" w:rsidRPr="00A67FF5">
        <w:t>Consultation Paper, Table 9</w:t>
      </w:r>
      <w:r w:rsidR="006B5F81">
        <w:t>.</w:t>
      </w:r>
    </w:p>
  </w:footnote>
  <w:footnote w:id="21">
    <w:p w14:paraId="13EC7282" w14:textId="6DE4DA90" w:rsidR="002B061C" w:rsidRDefault="00A67FF5">
      <w:pPr>
        <w:pStyle w:val="FootnoteText"/>
      </w:pPr>
      <w:r>
        <w:rPr>
          <w:rStyle w:val="FootnoteReference"/>
        </w:rPr>
        <w:footnoteRef/>
      </w:r>
      <w:r>
        <w:t xml:space="preserve"> </w:t>
      </w:r>
      <w:r w:rsidR="00B62F6F">
        <w:t>M</w:t>
      </w:r>
      <w:r w:rsidR="002B061C" w:rsidRPr="00D37E45">
        <w:t>odelling assumes</w:t>
      </w:r>
      <w:r w:rsidR="002B061C" w:rsidRPr="002B061C">
        <w:t xml:space="preserve"> that, of the $1,225m estimated in the Consultation Paper, the split is $1,060m for personal card holders and $165m for commercial card holders, using ABS income and card consumption data, 2020-2021</w:t>
      </w:r>
      <w:r w:rsidR="006B5F81">
        <w:t>.</w:t>
      </w:r>
    </w:p>
  </w:footnote>
  <w:footnote w:id="22">
    <w:p w14:paraId="43F0A169" w14:textId="402896D0" w:rsidR="002B061C" w:rsidRDefault="002B061C">
      <w:pPr>
        <w:pStyle w:val="FootnoteText"/>
      </w:pPr>
      <w:r>
        <w:rPr>
          <w:rStyle w:val="FootnoteReference"/>
        </w:rPr>
        <w:footnoteRef/>
      </w:r>
      <w:r>
        <w:t xml:space="preserve"> </w:t>
      </w:r>
      <w:r w:rsidR="00B62F6F">
        <w:t>M</w:t>
      </w:r>
      <w:r w:rsidR="00B727ED" w:rsidRPr="00D37E45">
        <w:t>odelling assumes</w:t>
      </w:r>
      <w:r w:rsidR="00B727ED" w:rsidRPr="00B727ED">
        <w:t xml:space="preserve"> that foreign issuers have an impact of -$270m, as a balancing item from Consultation Paper, Table 9</w:t>
      </w:r>
      <w:r w:rsidR="006B5F81">
        <w:t>.</w:t>
      </w:r>
    </w:p>
  </w:footnote>
  <w:footnote w:id="23">
    <w:p w14:paraId="2D44B51E" w14:textId="6C4AE655" w:rsidR="002B061C" w:rsidRDefault="002B061C">
      <w:pPr>
        <w:pStyle w:val="FootnoteText"/>
      </w:pPr>
      <w:r>
        <w:rPr>
          <w:rStyle w:val="FootnoteReference"/>
        </w:rPr>
        <w:footnoteRef/>
      </w:r>
      <w:r>
        <w:t xml:space="preserve"> </w:t>
      </w:r>
      <w:r w:rsidR="00A32273" w:rsidRPr="00A32273">
        <w:t xml:space="preserve">Excludes $25m </w:t>
      </w:r>
      <w:r w:rsidR="00B054A1">
        <w:t xml:space="preserve">one-time </w:t>
      </w:r>
      <w:r w:rsidR="00A32273" w:rsidRPr="00A32273">
        <w:t>acquirer implementation costs referenced in Consultation Paper</w:t>
      </w:r>
      <w:r w:rsidR="006B5F81">
        <w:t>.</w:t>
      </w:r>
    </w:p>
  </w:footnote>
  <w:footnote w:id="24">
    <w:p w14:paraId="4A13B6F8" w14:textId="386ADBE3" w:rsidR="005442DB" w:rsidRPr="00AF09D2" w:rsidRDefault="005442DB" w:rsidP="005442DB">
      <w:pPr>
        <w:pStyle w:val="FootnoteText"/>
        <w:rPr>
          <w:u w:val="single"/>
        </w:rPr>
      </w:pPr>
      <w:r>
        <w:rPr>
          <w:rStyle w:val="FootnoteReference"/>
        </w:rPr>
        <w:footnoteRef/>
      </w:r>
      <w:r>
        <w:t xml:space="preserve"> </w:t>
      </w:r>
      <w:bookmarkStart w:id="4" w:name="_Hlk208318359"/>
      <w:r w:rsidR="00395976" w:rsidRPr="001827BD">
        <w:t>Julian Morris</w:t>
      </w:r>
      <w:r w:rsidR="00395976">
        <w:t>,</w:t>
      </w:r>
      <w:r w:rsidR="00395976" w:rsidRPr="001827BD">
        <w:t xml:space="preserve"> Todd J. Zywicki</w:t>
      </w:r>
      <w:r w:rsidR="00395976">
        <w:t xml:space="preserve"> &amp;</w:t>
      </w:r>
      <w:r w:rsidR="00395976" w:rsidRPr="001827BD">
        <w:t xml:space="preserve"> Geoffrey A. Manne</w:t>
      </w:r>
      <w:r w:rsidR="00395976">
        <w:t xml:space="preserve"> (2022)</w:t>
      </w:r>
      <w:r w:rsidR="00395976" w:rsidRPr="00625A80">
        <w:t xml:space="preserve"> “</w:t>
      </w:r>
      <w:hyperlink r:id="rId1" w:history="1">
        <w:r w:rsidR="00395976" w:rsidRPr="001827BD">
          <w:rPr>
            <w:rStyle w:val="Hyperlink"/>
          </w:rPr>
          <w:t>The Effects of Price Controls on Payment-Card Interchange Fees: A Review and Update</w:t>
        </w:r>
      </w:hyperlink>
      <w:r w:rsidR="00395976" w:rsidRPr="00625A80">
        <w:t xml:space="preserve">”, International </w:t>
      </w:r>
      <w:proofErr w:type="spellStart"/>
      <w:r w:rsidR="00395976" w:rsidRPr="00625A80">
        <w:t>Center</w:t>
      </w:r>
      <w:proofErr w:type="spellEnd"/>
      <w:r w:rsidR="00395976" w:rsidRPr="00625A80">
        <w:t xml:space="preserve"> for Law &amp; Economics</w:t>
      </w:r>
      <w:r w:rsidR="00395976">
        <w:t xml:space="preserve"> White Paper</w:t>
      </w:r>
      <w:bookmarkEnd w:id="4"/>
      <w:r w:rsidR="00395976">
        <w:t>.</w:t>
      </w:r>
    </w:p>
    <w:p w14:paraId="715F326A" w14:textId="77777777" w:rsidR="005442DB" w:rsidRDefault="005442DB" w:rsidP="005442DB">
      <w:pPr>
        <w:pStyle w:val="FootnoteText"/>
      </w:pPr>
    </w:p>
  </w:footnote>
  <w:footnote w:id="25">
    <w:p w14:paraId="42D2BA0B" w14:textId="05478B1E" w:rsidR="00F33E83" w:rsidRDefault="00F33E83" w:rsidP="00F33E83">
      <w:pPr>
        <w:pStyle w:val="FootnoteText"/>
      </w:pPr>
      <w:r>
        <w:rPr>
          <w:rStyle w:val="FootnoteReference"/>
        </w:rPr>
        <w:footnoteRef/>
      </w:r>
      <w:r>
        <w:t xml:space="preserve"> Review of Retail Payments Regulation Conclusions Paper (2021) Page 39</w:t>
      </w:r>
      <w:r w:rsidR="00C87574">
        <w:t>.</w:t>
      </w:r>
      <w:r>
        <w:t xml:space="preserve"> </w:t>
      </w:r>
    </w:p>
  </w:footnote>
  <w:footnote w:id="26">
    <w:p w14:paraId="0967FF4D" w14:textId="50A66C9D" w:rsidR="001C3BCC" w:rsidRDefault="001C3BCC">
      <w:pPr>
        <w:pStyle w:val="FootnoteText"/>
      </w:pPr>
      <w:r>
        <w:rPr>
          <w:rStyle w:val="FootnoteReference"/>
        </w:rPr>
        <w:footnoteRef/>
      </w:r>
      <w:r>
        <w:t xml:space="preserve"> Review of Retail Payments Regulation Conclusions Paper (2021) Page </w:t>
      </w:r>
      <w:r w:rsidR="00345638">
        <w:t>17.</w:t>
      </w:r>
    </w:p>
  </w:footnote>
  <w:footnote w:id="27">
    <w:p w14:paraId="06AAFBBE" w14:textId="77777777" w:rsidR="00BE62A0" w:rsidRDefault="00BE62A0" w:rsidP="00BE62A0">
      <w:pPr>
        <w:pStyle w:val="FootnoteText"/>
      </w:pPr>
      <w:r>
        <w:rPr>
          <w:rStyle w:val="FootnoteReference"/>
        </w:rPr>
        <w:footnoteRef/>
      </w:r>
      <w:r>
        <w:t xml:space="preserve"> Consultation Paper, page 35-36.</w:t>
      </w:r>
    </w:p>
  </w:footnote>
  <w:footnote w:id="28">
    <w:p w14:paraId="167FAB2B" w14:textId="68DDDD1A" w:rsidR="007A6B8A" w:rsidRDefault="007A6B8A">
      <w:pPr>
        <w:pStyle w:val="FootnoteText"/>
      </w:pPr>
      <w:r>
        <w:rPr>
          <w:rStyle w:val="FootnoteReference"/>
        </w:rPr>
        <w:footnoteRef/>
      </w:r>
      <w:r>
        <w:t xml:space="preserve"> Consultation Paper, </w:t>
      </w:r>
      <w:r w:rsidR="00422F86">
        <w:t>p</w:t>
      </w:r>
      <w:r>
        <w:t xml:space="preserve">age </w:t>
      </w:r>
      <w:r w:rsidR="00293C1A">
        <w:t>36.</w:t>
      </w:r>
    </w:p>
  </w:footnote>
  <w:footnote w:id="29">
    <w:p w14:paraId="22B9F3D9" w14:textId="688E86EC" w:rsidR="00865CCE" w:rsidRDefault="00865CCE">
      <w:pPr>
        <w:pStyle w:val="FootnoteText"/>
      </w:pPr>
      <w:r w:rsidRPr="008A41B2">
        <w:rPr>
          <w:rStyle w:val="FootnoteReference"/>
        </w:rPr>
        <w:footnoteRef/>
      </w:r>
      <w:r w:rsidRPr="008A41B2">
        <w:t xml:space="preserve"> </w:t>
      </w:r>
      <w:r w:rsidR="008A41B2" w:rsidRPr="008A41B2">
        <w:t>C</w:t>
      </w:r>
      <w:r w:rsidR="001A1895" w:rsidRPr="008A41B2">
        <w:t xml:space="preserve">ommercial cards </w:t>
      </w:r>
      <w:r w:rsidR="0008417C" w:rsidRPr="008A41B2">
        <w:t>are largely charge cards</w:t>
      </w:r>
      <w:r w:rsidR="00895ACF" w:rsidRPr="008A41B2">
        <w:t xml:space="preserve"> (no interes</w:t>
      </w:r>
      <w:r w:rsidR="00F21788" w:rsidRPr="008A41B2">
        <w:t>t and cards paid in full each month</w:t>
      </w:r>
      <w:r w:rsidR="00DA700C" w:rsidRPr="008A41B2">
        <w:t>)</w:t>
      </w:r>
      <w:r w:rsidR="009C417F" w:rsidRPr="008A41B2">
        <w:t xml:space="preserve">, and commercial credit cards </w:t>
      </w:r>
      <w:r w:rsidR="00105F10" w:rsidRPr="008A41B2">
        <w:t xml:space="preserve">tend </w:t>
      </w:r>
      <w:r w:rsidR="00833B56" w:rsidRPr="008A41B2">
        <w:t xml:space="preserve">to have lower revolve </w:t>
      </w:r>
      <w:proofErr w:type="gramStart"/>
      <w:r w:rsidR="00833B56" w:rsidRPr="008A41B2">
        <w:t>rates</w:t>
      </w:r>
      <w:proofErr w:type="gramEnd"/>
      <w:r w:rsidR="00833B56" w:rsidRPr="008A41B2">
        <w:t xml:space="preserve"> </w:t>
      </w:r>
      <w:r w:rsidR="008337AD" w:rsidRPr="008A41B2">
        <w:t>so interest revenue is low.</w:t>
      </w:r>
    </w:p>
  </w:footnote>
  <w:footnote w:id="30">
    <w:p w14:paraId="30FFC76F" w14:textId="3868A5A5" w:rsidR="009760A8" w:rsidRDefault="009760A8">
      <w:pPr>
        <w:pStyle w:val="FootnoteText"/>
      </w:pPr>
      <w:r>
        <w:rPr>
          <w:rStyle w:val="FootnoteReference"/>
        </w:rPr>
        <w:footnoteRef/>
      </w:r>
      <w:r>
        <w:t xml:space="preserve"> </w:t>
      </w:r>
      <w:r w:rsidR="00A90687">
        <w:t>RBA</w:t>
      </w:r>
      <w:r w:rsidR="003C4656">
        <w:t xml:space="preserve"> (</w:t>
      </w:r>
      <w:hyperlink r:id="rId2" w:history="1">
        <w:r w:rsidR="003C4656" w:rsidRPr="009861AB">
          <w:rPr>
            <w:rStyle w:val="Hyperlink"/>
          </w:rPr>
          <w:t>2025</w:t>
        </w:r>
      </w:hyperlink>
      <w:r w:rsidR="003C4656">
        <w:t>) Payments Data, Table C1.3: Credit and Chage Cards – Market Shares of Card Schemes</w:t>
      </w:r>
      <w:r w:rsidR="00C87574">
        <w:t>.</w:t>
      </w:r>
    </w:p>
  </w:footnote>
  <w:footnote w:id="31">
    <w:p w14:paraId="162B1C58" w14:textId="049C33E5" w:rsidR="00414B91" w:rsidRDefault="00414B91">
      <w:pPr>
        <w:pStyle w:val="FootnoteText"/>
      </w:pPr>
      <w:r>
        <w:rPr>
          <w:rStyle w:val="FootnoteReference"/>
        </w:rPr>
        <w:footnoteRef/>
      </w:r>
      <w:r>
        <w:t xml:space="preserve"> </w:t>
      </w:r>
      <w:r w:rsidR="00DD273B" w:rsidRPr="00DD273B">
        <w:t>Statistics from August are used to reflect most recently available statistics on market shares, as the series was decommissioned in August. 2020 and 2024 figures sourced from RBA (2025) Payments Data, Table C1.3: Credit and Charge Cards – Market</w:t>
      </w:r>
      <w:r w:rsidR="00C87574">
        <w:t>.</w:t>
      </w:r>
    </w:p>
  </w:footnote>
  <w:footnote w:id="32">
    <w:p w14:paraId="00D4A61D" w14:textId="3D294FCC" w:rsidR="00CE6F3E" w:rsidRDefault="00CE6F3E" w:rsidP="00CE6F3E">
      <w:pPr>
        <w:pStyle w:val="FootnoteText"/>
      </w:pPr>
      <w:r>
        <w:rPr>
          <w:rStyle w:val="FootnoteReference"/>
        </w:rPr>
        <w:footnoteRef/>
      </w:r>
      <w:r>
        <w:t xml:space="preserve"> Review of Retail Payments Regulation Conclusions Paper (2021) Page 39</w:t>
      </w:r>
      <w:r w:rsidR="00C87574">
        <w:t>.</w:t>
      </w:r>
    </w:p>
  </w:footnote>
  <w:footnote w:id="33">
    <w:p w14:paraId="538C90B3" w14:textId="339316AB" w:rsidR="006225DE" w:rsidRPr="004E0D08" w:rsidRDefault="006225DE">
      <w:pPr>
        <w:pStyle w:val="FootnoteText"/>
        <w:rPr>
          <w:lang w:val="en-GB"/>
        </w:rPr>
      </w:pPr>
      <w:r>
        <w:rPr>
          <w:rStyle w:val="FootnoteReference"/>
        </w:rPr>
        <w:footnoteRef/>
      </w:r>
      <w:r>
        <w:t xml:space="preserve"> </w:t>
      </w:r>
      <w:r w:rsidRPr="006225DE">
        <w:rPr>
          <w:lang w:val="en-GB"/>
        </w:rPr>
        <w:t>Connolly (2024) Online Retail Payments – Some Policy Issues.</w:t>
      </w:r>
    </w:p>
  </w:footnote>
  <w:footnote w:id="34">
    <w:p w14:paraId="2A75C5C6" w14:textId="436FA4A7" w:rsidR="00FB4A29" w:rsidRDefault="00FB4A29" w:rsidP="00FB4A29">
      <w:pPr>
        <w:pStyle w:val="FootnoteText"/>
      </w:pPr>
      <w:r>
        <w:rPr>
          <w:rStyle w:val="FootnoteReference"/>
        </w:rPr>
        <w:footnoteRef/>
      </w:r>
      <w:r>
        <w:t xml:space="preserve"> Acquirers passed through $1.2bn benefit after a $2.7bn interchange saving offset by a $0.3bn scheme fee increase (Source: European Commission 2020); </w:t>
      </w:r>
      <w:r w:rsidR="00EF6365">
        <w:t>Final Report: Market review into card-acquiring services</w:t>
      </w:r>
      <w:r w:rsidR="00BE0586">
        <w:t>, Payment Systems Regulator (2021)</w:t>
      </w:r>
      <w:r w:rsidR="00C87574">
        <w:t>.</w:t>
      </w:r>
    </w:p>
  </w:footnote>
  <w:footnote w:id="35">
    <w:p w14:paraId="0330F7FA" w14:textId="77777777" w:rsidR="00FB4A29" w:rsidRDefault="00FB4A29" w:rsidP="00FB4A29">
      <w:pPr>
        <w:pStyle w:val="FootnoteText"/>
      </w:pPr>
      <w:r>
        <w:rPr>
          <w:rStyle w:val="FootnoteReference"/>
        </w:rPr>
        <w:footnoteRef/>
      </w:r>
      <w:r>
        <w:t xml:space="preserve"> </w:t>
      </w:r>
      <w:r w:rsidRPr="007D0FC8">
        <w:t>https://finance.yahoo.com/news/lower-visa-mastercard-fees-small-113000078.html</w:t>
      </w:r>
    </w:p>
  </w:footnote>
  <w:footnote w:id="36">
    <w:p w14:paraId="06B23FC2" w14:textId="4B0795BB" w:rsidR="00041763" w:rsidRDefault="00041763" w:rsidP="00041763">
      <w:pPr>
        <w:pStyle w:val="FootnoteText"/>
      </w:pPr>
      <w:r>
        <w:rPr>
          <w:rStyle w:val="FootnoteReference"/>
        </w:rPr>
        <w:footnoteRef/>
      </w:r>
      <w:r>
        <w:t xml:space="preserve"> </w:t>
      </w:r>
      <w:r w:rsidR="00C74CD2" w:rsidRPr="00C74CD2">
        <w:t>In 2024, the fraud rate for domestic card not present (online) transactions was 9.3 basis points, more than 11 times larger than for card present</w:t>
      </w:r>
      <w:r w:rsidR="00C74CD2">
        <w:t xml:space="preserve"> (</w:t>
      </w:r>
      <w:r w:rsidR="00C74CD2" w:rsidRPr="00C74CD2">
        <w:t xml:space="preserve">Fraud figures from Page 13 of </w:t>
      </w:r>
      <w:proofErr w:type="spellStart"/>
      <w:r w:rsidR="00C74CD2" w:rsidRPr="00C74CD2">
        <w:t>AusPayNet</w:t>
      </w:r>
      <w:proofErr w:type="spellEnd"/>
      <w:r w:rsidR="00C74CD2" w:rsidRPr="00C74CD2">
        <w:t xml:space="preserve"> Fraud Report 2025</w:t>
      </w:r>
      <w:r w:rsidR="00C74CD2">
        <w:t xml:space="preserve">; </w:t>
      </w:r>
      <w:r w:rsidR="00C74CD2" w:rsidRPr="00C74CD2">
        <w:t>total transaction value</w:t>
      </w:r>
      <w:r w:rsidR="00C74CD2">
        <w:t>s</w:t>
      </w:r>
      <w:r w:rsidR="00C74CD2" w:rsidRPr="00C74CD2">
        <w:t xml:space="preserve"> from RBA Payments Data, C1.1 and C2.1</w:t>
      </w:r>
      <w:r w:rsidR="00C74CD2">
        <w:t>)</w:t>
      </w:r>
      <w:r w:rsidR="001D61C6">
        <w:t>.</w:t>
      </w:r>
    </w:p>
  </w:footnote>
  <w:footnote w:id="37">
    <w:p w14:paraId="1DAD86F1" w14:textId="072735F4" w:rsidR="00F04DC2" w:rsidRPr="00741710" w:rsidRDefault="00F04DC2" w:rsidP="004674AE">
      <w:pPr>
        <w:spacing w:after="160"/>
        <w:rPr>
          <w:rFonts w:cstheme="minorHAnsi"/>
          <w:sz w:val="21"/>
          <w:szCs w:val="21"/>
          <w:highlight w:val="magenta"/>
        </w:rPr>
      </w:pPr>
      <w:r>
        <w:rPr>
          <w:rStyle w:val="FootnoteReference"/>
        </w:rPr>
        <w:footnoteRef/>
      </w:r>
      <w:r>
        <w:t xml:space="preserve"> </w:t>
      </w:r>
      <w:r w:rsidRPr="00C04CE2">
        <w:rPr>
          <w:rFonts w:cstheme="minorHAnsi"/>
          <w:sz w:val="16"/>
          <w:szCs w:val="16"/>
        </w:rPr>
        <w:t>Subject to fair use policy (e.g. limits on international card mix)</w:t>
      </w:r>
      <w:r w:rsidR="00781762">
        <w:rPr>
          <w:rFonts w:cstheme="minorHAnsi"/>
          <w:sz w:val="16"/>
          <w:szCs w:val="16"/>
        </w:rPr>
        <w:t xml:space="preserve"> and detailed plan design</w:t>
      </w:r>
      <w:r w:rsidR="00390744">
        <w:rPr>
          <w:rFonts w:cstheme="minorHAnsi"/>
          <w:sz w:val="16"/>
          <w:szCs w:val="16"/>
        </w:rPr>
        <w:t xml:space="preserve"> including pricing</w:t>
      </w:r>
      <w:r w:rsidR="00D74E1B">
        <w:rPr>
          <w:rFonts w:cstheme="minorHAnsi"/>
          <w:sz w:val="16"/>
          <w:szCs w:val="16"/>
        </w:rPr>
        <w:t>.</w:t>
      </w:r>
    </w:p>
    <w:p w14:paraId="251E8446" w14:textId="77777777" w:rsidR="00F04DC2" w:rsidRDefault="00F04DC2" w:rsidP="00F04DC2">
      <w:pPr>
        <w:pStyle w:val="FootnoteText"/>
      </w:pPr>
    </w:p>
  </w:footnote>
  <w:footnote w:id="38">
    <w:p w14:paraId="09BEAFE5" w14:textId="1F5AA2DF" w:rsidR="0093793B" w:rsidRDefault="0093793B">
      <w:pPr>
        <w:pStyle w:val="FootnoteText"/>
      </w:pPr>
      <w:r>
        <w:rPr>
          <w:rStyle w:val="FootnoteReference"/>
        </w:rPr>
        <w:footnoteRef/>
      </w:r>
      <w:r>
        <w:t xml:space="preserve"> Refer </w:t>
      </w:r>
      <w:r w:rsidR="00FC5AF4">
        <w:t>prototype</w:t>
      </w:r>
      <w:r>
        <w:t xml:space="preserve"> in APPENDIX </w:t>
      </w:r>
      <w:r w:rsidR="001A21FD" w:rsidRPr="00AD02C3">
        <w:t>A</w:t>
      </w:r>
      <w:r w:rsidR="00563220">
        <w:t>.</w:t>
      </w:r>
    </w:p>
  </w:footnote>
  <w:footnote w:id="39">
    <w:p w14:paraId="050B2C7E" w14:textId="3244E588" w:rsidR="0093793B" w:rsidRDefault="0093793B">
      <w:pPr>
        <w:pStyle w:val="FootnoteText"/>
      </w:pPr>
      <w:r>
        <w:rPr>
          <w:rStyle w:val="FootnoteReference"/>
        </w:rPr>
        <w:footnoteRef/>
      </w:r>
      <w:r>
        <w:t xml:space="preserve"> Refer </w:t>
      </w:r>
      <w:r w:rsidR="00FC5AF4">
        <w:t>prototype</w:t>
      </w:r>
      <w:r>
        <w:t xml:space="preserve"> in APPENDIX </w:t>
      </w:r>
      <w:r w:rsidR="001A21FD" w:rsidRPr="00AD02C3">
        <w:t>B</w:t>
      </w:r>
      <w:r w:rsidR="00563220">
        <w:t>.</w:t>
      </w:r>
    </w:p>
  </w:footnote>
  <w:footnote w:id="40">
    <w:p w14:paraId="7BA11962" w14:textId="18AF0653" w:rsidR="00105067" w:rsidRDefault="00105067">
      <w:pPr>
        <w:pStyle w:val="FootnoteText"/>
      </w:pPr>
      <w:r>
        <w:rPr>
          <w:rStyle w:val="FootnoteReference"/>
        </w:rPr>
        <w:footnoteRef/>
      </w:r>
      <w:r>
        <w:t xml:space="preserve"> </w:t>
      </w:r>
      <w:proofErr w:type="spellStart"/>
      <w:r>
        <w:t>AusPayNet</w:t>
      </w:r>
      <w:proofErr w:type="spellEnd"/>
      <w:r>
        <w:t xml:space="preserve"> </w:t>
      </w:r>
      <w:r w:rsidR="00B8375B">
        <w:t>Fraud Mitigation Framework</w:t>
      </w:r>
      <w:r w:rsidR="00A820E8">
        <w:t>.</w:t>
      </w:r>
    </w:p>
  </w:footnote>
  <w:footnote w:id="41">
    <w:p w14:paraId="275A82C2" w14:textId="3203FD54" w:rsidR="0016315A" w:rsidRDefault="0016315A">
      <w:pPr>
        <w:pStyle w:val="FootnoteText"/>
      </w:pPr>
      <w:r>
        <w:rPr>
          <w:rStyle w:val="FootnoteReference"/>
        </w:rPr>
        <w:footnoteRef/>
      </w:r>
      <w:r>
        <w:t xml:space="preserve"> </w:t>
      </w:r>
      <w:r w:rsidR="00B46D15">
        <w:t>Consultation</w:t>
      </w:r>
      <w:r>
        <w:t xml:space="preserve"> Paper, p</w:t>
      </w:r>
      <w:r w:rsidR="00B46D15">
        <w:t>age 37.</w:t>
      </w:r>
    </w:p>
  </w:footnote>
  <w:footnote w:id="42">
    <w:p w14:paraId="69DC966D" w14:textId="49767734" w:rsidR="00E66F93" w:rsidRDefault="00E66F93">
      <w:pPr>
        <w:pStyle w:val="FootnoteText"/>
      </w:pPr>
      <w:r>
        <w:rPr>
          <w:rStyle w:val="FootnoteReference"/>
        </w:rPr>
        <w:footnoteRef/>
      </w:r>
      <w:r>
        <w:t xml:space="preserve"> Same footnotes apply as referenced in table above</w:t>
      </w:r>
      <w:r w:rsidR="00563220">
        <w:t>.</w:t>
      </w:r>
    </w:p>
  </w:footnote>
  <w:footnote w:id="43">
    <w:p w14:paraId="5C1F9A1F" w14:textId="70831969" w:rsidR="00BE7220" w:rsidRDefault="00BE7220">
      <w:pPr>
        <w:pStyle w:val="FootnoteText"/>
      </w:pPr>
      <w:r>
        <w:rPr>
          <w:rStyle w:val="FootnoteReference"/>
        </w:rPr>
        <w:footnoteRef/>
      </w:r>
      <w:r>
        <w:t xml:space="preserve"> Reform of credit card schemes in Australia IV, </w:t>
      </w:r>
      <w:r w:rsidR="00922F45">
        <w:t>RBA, 2002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19CA5" w14:textId="741C8FF0" w:rsidR="00DA44A8" w:rsidRDefault="00DA44A8">
    <w:pPr>
      <w:pStyle w:val="Header"/>
    </w:pPr>
    <w:r>
      <w:rPr>
        <w:noProof/>
      </w:rPr>
      <mc:AlternateContent>
        <mc:Choice Requires="wps">
          <w:drawing>
            <wp:anchor distT="0" distB="0" distL="0" distR="0" simplePos="0" relativeHeight="251660288" behindDoc="0" locked="0" layoutInCell="1" allowOverlap="1" wp14:anchorId="06CADBA2" wp14:editId="4553236D">
              <wp:simplePos x="635" y="635"/>
              <wp:positionH relativeFrom="page">
                <wp:align>center</wp:align>
              </wp:positionH>
              <wp:positionV relativeFrom="page">
                <wp:align>top</wp:align>
              </wp:positionV>
              <wp:extent cx="29845" cy="371475"/>
              <wp:effectExtent l="0" t="0" r="8255" b="9525"/>
              <wp:wrapNone/>
              <wp:docPr id="248888415" name="Text Box 2"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32810B64" w14:textId="1B9ECB21"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6CADBA2" id="_x0000_t202" coordsize="21600,21600" o:spt="202" path="m,l,21600r21600,l21600,xe">
              <v:stroke joinstyle="miter"/>
              <v:path gradientshapeok="t" o:connecttype="rect"/>
            </v:shapetype>
            <v:shape id="Text Box 2" o:spid="_x0000_s1026" type="#_x0000_t202" alt=" " style="position:absolute;left:0;text-align:left;margin-left:0;margin-top:0;width:2.35pt;height:29.2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" filled="f" stroked="f">
              <v:fill o:detectmouseclick="t"/>
              <v:textbox style="mso-fit-shape-to-text:t" inset="0,15pt,0,0">
                <w:txbxContent>
                  <w:p w14:paraId="32810B64" w14:textId="1B9ECB21"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 xml:space="preserve"> </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9D111" w14:textId="67EA576A" w:rsidR="00EF297E" w:rsidRPr="009C42CB" w:rsidRDefault="00DA44A8" w:rsidP="00F646B7">
    <w:pPr>
      <w:pStyle w:val="Header"/>
      <w:spacing w:after="120"/>
      <w:jc w:val="right"/>
      <w:rPr>
        <w:sz w:val="16"/>
        <w:szCs w:val="16"/>
        <w:lang w:val="en-GB"/>
      </w:rPr>
    </w:pPr>
    <w:r>
      <w:rPr>
        <w:noProof/>
        <w:sz w:val="16"/>
        <w:szCs w:val="16"/>
        <w:lang w:val="en-GB"/>
      </w:rPr>
      <mc:AlternateContent>
        <mc:Choice Requires="wps">
          <w:drawing>
            <wp:anchor distT="0" distB="0" distL="0" distR="0" simplePos="0" relativeHeight="251661312" behindDoc="0" locked="0" layoutInCell="1" allowOverlap="1" wp14:anchorId="70EDBC3C" wp14:editId="4091B63D">
              <wp:simplePos x="723900" y="213360"/>
              <wp:positionH relativeFrom="page">
                <wp:align>center</wp:align>
              </wp:positionH>
              <wp:positionV relativeFrom="page">
                <wp:align>top</wp:align>
              </wp:positionV>
              <wp:extent cx="29845" cy="371475"/>
              <wp:effectExtent l="0" t="0" r="8255" b="9525"/>
              <wp:wrapNone/>
              <wp:docPr id="86801123" name="Text Box 3"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1AD878E2" w14:textId="7DA224B4"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70EDBC3C" id="_x0000_t202" coordsize="21600,21600" o:spt="202" path="m,l,21600r21600,l21600,xe">
              <v:stroke joinstyle="miter"/>
              <v:path gradientshapeok="t" o:connecttype="rect"/>
            </v:shapetype>
            <v:shape id="Text Box 3" o:spid="_x0000_s1027" type="#_x0000_t202" alt=" " style="position:absolute;left:0;text-align:left;margin-left:0;margin-top:0;width:2.35pt;height:29.25pt;z-index:25166131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" filled="f" stroked="f">
              <v:fill o:detectmouseclick="t"/>
              <v:textbox style="mso-fit-shape-to-text:t" inset="0,15pt,0,0">
                <w:txbxContent>
                  <w:p w14:paraId="1AD878E2" w14:textId="7DA224B4"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 xml:space="preserve"> </w:t>
                    </w:r>
                  </w:p>
                </w:txbxContent>
              </v:textbox>
              <w10:wrap anchorx="page" anchory="page"/>
            </v:shape>
          </w:pict>
        </mc:Fallback>
      </mc:AlternateContent>
    </w:r>
    <w:r w:rsidR="009C42CB">
      <w:rPr>
        <w:sz w:val="16"/>
        <w:szCs w:val="16"/>
        <w:lang w:val="en-GB"/>
      </w:rPr>
      <w:t xml:space="preserve">SECTION: </w:t>
    </w:r>
    <w:r w:rsidR="00F646B7" w:rsidRPr="009C42CB">
      <w:rPr>
        <w:sz w:val="16"/>
        <w:szCs w:val="16"/>
        <w:lang w:val="en-GB"/>
      </w:rPr>
      <w:fldChar w:fldCharType="begin"/>
    </w:r>
    <w:r w:rsidR="00F646B7" w:rsidRPr="009C42CB">
      <w:rPr>
        <w:sz w:val="16"/>
        <w:szCs w:val="16"/>
        <w:lang w:val="en-GB"/>
      </w:rPr>
      <w:instrText xml:space="preserve"> STYLEREF  "Header 1"  \* MERGEFORMAT </w:instrText>
    </w:r>
    <w:r w:rsidR="006429EF">
      <w:rPr>
        <w:sz w:val="16"/>
        <w:szCs w:val="16"/>
        <w:lang w:val="en-GB"/>
      </w:rPr>
      <w:fldChar w:fldCharType="separate"/>
    </w:r>
    <w:r w:rsidR="006429EF">
      <w:rPr>
        <w:noProof/>
        <w:sz w:val="16"/>
        <w:szCs w:val="16"/>
        <w:lang w:val="en-GB"/>
      </w:rPr>
      <w:t>COST STUDY PROCESS</w:t>
    </w:r>
    <w:r w:rsidR="00F646B7" w:rsidRPr="009C42CB">
      <w:rPr>
        <w:sz w:val="16"/>
        <w:szCs w:val="16"/>
        <w:lang w:val="en-GB"/>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98838" w14:textId="276A0E65" w:rsidR="00A00E52" w:rsidRPr="00F21F05" w:rsidRDefault="00DA44A8" w:rsidP="00F21F05">
    <w:pPr>
      <w:pStyle w:val="Header"/>
      <w:spacing w:after="0"/>
      <w:jc w:val="right"/>
      <w:rPr>
        <w:b/>
        <w:color w:val="FF0000"/>
      </w:rPr>
    </w:pPr>
    <w:r>
      <w:rPr>
        <w:b/>
        <w:noProof/>
        <w:color w:val="FF0000"/>
      </w:rPr>
      <mc:AlternateContent>
        <mc:Choice Requires="wps">
          <w:drawing>
            <wp:anchor distT="0" distB="0" distL="0" distR="0" simplePos="0" relativeHeight="251659264" behindDoc="0" locked="0" layoutInCell="1" allowOverlap="1" wp14:anchorId="2AB6FA1B" wp14:editId="72EE07C4">
              <wp:simplePos x="723900" y="213360"/>
              <wp:positionH relativeFrom="page">
                <wp:align>center</wp:align>
              </wp:positionH>
              <wp:positionV relativeFrom="page">
                <wp:align>top</wp:align>
              </wp:positionV>
              <wp:extent cx="29845" cy="371475"/>
              <wp:effectExtent l="0" t="0" r="8255" b="9525"/>
              <wp:wrapNone/>
              <wp:docPr id="938514592" name="Text Box 1" descr=" ">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29845" cy="371475"/>
                      </a:xfrm>
                      <a:prstGeom prst="rect">
                        <a:avLst/>
                      </a:prstGeom>
                      <a:noFill/>
                      <a:ln>
                        <a:noFill/>
                      </a:ln>
                    </wps:spPr>
                    <wps:txbx>
                      <w:txbxContent>
                        <w:p w14:paraId="2524B628" w14:textId="0C6CE571"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 xml:space="preserve"> </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AB6FA1B" id="_x0000_t202" coordsize="21600,21600" o:spt="202" path="m,l,21600r21600,l21600,xe">
              <v:stroke joinstyle="miter"/>
              <v:path gradientshapeok="t" o:connecttype="rect"/>
            </v:shapetype>
            <v:shape id="Text Box 1" o:spid="_x0000_s1029" type="#_x0000_t202" alt=" " style="position:absolute;left:0;text-align:left;margin-left:0;margin-top:0;width:2.35pt;height:29.2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" filled="f" stroked="f">
              <v:fill o:detectmouseclick="t"/>
              <v:textbox style="mso-fit-shape-to-text:t" inset="0,15pt,0,0">
                <w:txbxContent>
                  <w:p w14:paraId="2524B628" w14:textId="0C6CE571" w:rsidR="00DA44A8" w:rsidRPr="00DA44A8" w:rsidRDefault="00DA44A8" w:rsidP="00DA44A8">
                    <w:pPr>
                      <w:spacing w:after="0"/>
                      <w:rPr>
                        <w:rFonts w:ascii="Myriad Pro" w:eastAsia="Myriad Pro" w:hAnsi="Myriad Pro" w:cs="Myriad Pro"/>
                        <w:noProof/>
                        <w:color w:val="808080"/>
                        <w:sz w:val="22"/>
                        <w:szCs w:val="22"/>
                      </w:rPr>
                    </w:pPr>
                    <w:r w:rsidRPr="00DA44A8">
                      <w:rPr>
                        <w:rFonts w:ascii="Myriad Pro" w:eastAsia="Myriad Pro" w:hAnsi="Myriad Pro" w:cs="Myriad Pro"/>
                        <w:noProof/>
                        <w:color w:val="808080"/>
                        <w:sz w:val="22"/>
                        <w:szCs w:val="22"/>
                      </w:rPr>
                      <w:t xml:space="preserve">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816AE8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C"/>
    <w:multiLevelType w:val="singleLevel"/>
    <w:tmpl w:val="F4C0F584"/>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F93E67A8"/>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A9047B5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A01CD6F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AB601AA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95B4ADB4"/>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A4387606"/>
    <w:lvl w:ilvl="0">
      <w:start w:val="1"/>
      <w:numFmt w:val="bullet"/>
      <w:lvlText w:val="›"/>
      <w:lvlJc w:val="left"/>
      <w:pPr>
        <w:tabs>
          <w:tab w:val="num" w:pos="926"/>
        </w:tabs>
        <w:ind w:left="926" w:hanging="360"/>
      </w:pPr>
      <w:rPr>
        <w:rFonts w:ascii="CBA Beacon Sans" w:hAnsi="CBA Beacon Sans" w:hint="default"/>
        <w:sz w:val="24"/>
        <w:szCs w:val="24"/>
      </w:rPr>
    </w:lvl>
  </w:abstractNum>
  <w:abstractNum w:abstractNumId="8" w15:restartNumberingAfterBreak="0">
    <w:nsid w:val="FFFFFF83"/>
    <w:multiLevelType w:val="singleLevel"/>
    <w:tmpl w:val="E932CC1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FE5A754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82C2ADF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1E03A4"/>
    <w:multiLevelType w:val="hybridMultilevel"/>
    <w:tmpl w:val="FBF6BC3A"/>
    <w:lvl w:ilvl="0" w:tplc="7FEA91D0">
      <w:start w:val="1"/>
      <w:numFmt w:val="bullet"/>
      <w:lvlText w:val="›"/>
      <w:lvlJc w:val="left"/>
      <w:pPr>
        <w:ind w:left="720" w:hanging="360"/>
      </w:pPr>
      <w:rPr>
        <w:rFonts w:ascii="CBA Beacon Sans" w:hAnsi="CBA Beacon Sans" w:hint="default"/>
        <w:sz w:val="24"/>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044A3D6D"/>
    <w:multiLevelType w:val="multilevel"/>
    <w:tmpl w:val="5C8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4CB10C8"/>
    <w:multiLevelType w:val="multilevel"/>
    <w:tmpl w:val="1162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769685C"/>
    <w:multiLevelType w:val="hybridMultilevel"/>
    <w:tmpl w:val="36CA5E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0ABB630E"/>
    <w:multiLevelType w:val="multilevel"/>
    <w:tmpl w:val="C8585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B6C50CE"/>
    <w:multiLevelType w:val="multilevel"/>
    <w:tmpl w:val="5FCEE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BD47769"/>
    <w:multiLevelType w:val="hybridMultilevel"/>
    <w:tmpl w:val="BF48AC3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0E5D317F"/>
    <w:multiLevelType w:val="multilevel"/>
    <w:tmpl w:val="9CE47A4C"/>
    <w:lvl w:ilvl="0">
      <w:start w:val="1"/>
      <w:numFmt w:val="bullet"/>
      <w:pStyle w:val="ListBullet"/>
      <w:lvlText w:val=""/>
      <w:lvlJc w:val="left"/>
      <w:pPr>
        <w:ind w:left="284" w:hanging="284"/>
      </w:pPr>
      <w:rPr>
        <w:rFonts w:ascii="Symbol" w:hAnsi="Symbol" w:hint="default"/>
        <w:sz w:val="24"/>
      </w:rPr>
    </w:lvl>
    <w:lvl w:ilvl="1">
      <w:start w:val="1"/>
      <w:numFmt w:val="bullet"/>
      <w:pStyle w:val="ListBullet2"/>
      <w:lvlText w:val="›"/>
      <w:lvlJc w:val="left"/>
      <w:pPr>
        <w:ind w:left="567" w:hanging="283"/>
      </w:pPr>
      <w:rPr>
        <w:rFonts w:ascii="CBA Beacon Sans" w:hAnsi="CBA Beacon Sans" w:hint="default"/>
        <w:sz w:val="24"/>
      </w:rPr>
    </w:lvl>
    <w:lvl w:ilvl="2">
      <w:start w:val="1"/>
      <w:numFmt w:val="bullet"/>
      <w:pStyle w:val="ListBullet3"/>
      <w:lvlText w:val="›"/>
      <w:lvlJc w:val="left"/>
      <w:pPr>
        <w:ind w:left="851" w:hanging="284"/>
      </w:pPr>
      <w:rPr>
        <w:rFonts w:ascii="CBA Beacon Sans" w:hAnsi="CBA Beacon Sans" w:hint="default"/>
        <w:color w:val="8E8E8E" w:themeColor="text1" w:themeTint="80"/>
        <w:sz w:val="24"/>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9" w15:restartNumberingAfterBreak="0">
    <w:nsid w:val="106E76A4"/>
    <w:multiLevelType w:val="hybridMultilevel"/>
    <w:tmpl w:val="56BAA68E"/>
    <w:lvl w:ilvl="0" w:tplc="0809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1841C10"/>
    <w:multiLevelType w:val="hybridMultilevel"/>
    <w:tmpl w:val="97C622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11F7582D"/>
    <w:multiLevelType w:val="multilevel"/>
    <w:tmpl w:val="2400A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4F05FF6"/>
    <w:multiLevelType w:val="hybridMultilevel"/>
    <w:tmpl w:val="186089D2"/>
    <w:lvl w:ilvl="0" w:tplc="E898B91A">
      <w:start w:val="1"/>
      <w:numFmt w:val="lowerRoman"/>
      <w:lvlText w:val="%1)"/>
      <w:lvlJc w:val="left"/>
      <w:pPr>
        <w:ind w:left="720" w:hanging="72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18C73925"/>
    <w:multiLevelType w:val="hybridMultilevel"/>
    <w:tmpl w:val="0ED8CC6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1A724505"/>
    <w:multiLevelType w:val="hybridMultilevel"/>
    <w:tmpl w:val="24448CF4"/>
    <w:lvl w:ilvl="0" w:tplc="143CB700">
      <w:start w:val="1"/>
      <w:numFmt w:val="bullet"/>
      <w:lvlText w:val="•"/>
      <w:lvlJc w:val="left"/>
      <w:pPr>
        <w:tabs>
          <w:tab w:val="num" w:pos="360"/>
        </w:tabs>
        <w:ind w:left="360" w:hanging="360"/>
      </w:pPr>
      <w:rPr>
        <w:rFonts w:ascii="Arial" w:hAnsi="Arial" w:hint="default"/>
      </w:rPr>
    </w:lvl>
    <w:lvl w:ilvl="1" w:tplc="26CE3764" w:tentative="1">
      <w:start w:val="1"/>
      <w:numFmt w:val="bullet"/>
      <w:lvlText w:val="•"/>
      <w:lvlJc w:val="left"/>
      <w:pPr>
        <w:tabs>
          <w:tab w:val="num" w:pos="1080"/>
        </w:tabs>
        <w:ind w:left="1080" w:hanging="360"/>
      </w:pPr>
      <w:rPr>
        <w:rFonts w:ascii="Arial" w:hAnsi="Arial" w:hint="default"/>
      </w:rPr>
    </w:lvl>
    <w:lvl w:ilvl="2" w:tplc="5338E80E" w:tentative="1">
      <w:start w:val="1"/>
      <w:numFmt w:val="bullet"/>
      <w:lvlText w:val="•"/>
      <w:lvlJc w:val="left"/>
      <w:pPr>
        <w:tabs>
          <w:tab w:val="num" w:pos="1800"/>
        </w:tabs>
        <w:ind w:left="1800" w:hanging="360"/>
      </w:pPr>
      <w:rPr>
        <w:rFonts w:ascii="Arial" w:hAnsi="Arial" w:hint="default"/>
      </w:rPr>
    </w:lvl>
    <w:lvl w:ilvl="3" w:tplc="08B8E5E0" w:tentative="1">
      <w:start w:val="1"/>
      <w:numFmt w:val="bullet"/>
      <w:lvlText w:val="•"/>
      <w:lvlJc w:val="left"/>
      <w:pPr>
        <w:tabs>
          <w:tab w:val="num" w:pos="2520"/>
        </w:tabs>
        <w:ind w:left="2520" w:hanging="360"/>
      </w:pPr>
      <w:rPr>
        <w:rFonts w:ascii="Arial" w:hAnsi="Arial" w:hint="default"/>
      </w:rPr>
    </w:lvl>
    <w:lvl w:ilvl="4" w:tplc="62A2457C" w:tentative="1">
      <w:start w:val="1"/>
      <w:numFmt w:val="bullet"/>
      <w:lvlText w:val="•"/>
      <w:lvlJc w:val="left"/>
      <w:pPr>
        <w:tabs>
          <w:tab w:val="num" w:pos="3240"/>
        </w:tabs>
        <w:ind w:left="3240" w:hanging="360"/>
      </w:pPr>
      <w:rPr>
        <w:rFonts w:ascii="Arial" w:hAnsi="Arial" w:hint="default"/>
      </w:rPr>
    </w:lvl>
    <w:lvl w:ilvl="5" w:tplc="F8520734" w:tentative="1">
      <w:start w:val="1"/>
      <w:numFmt w:val="bullet"/>
      <w:lvlText w:val="•"/>
      <w:lvlJc w:val="left"/>
      <w:pPr>
        <w:tabs>
          <w:tab w:val="num" w:pos="3960"/>
        </w:tabs>
        <w:ind w:left="3960" w:hanging="360"/>
      </w:pPr>
      <w:rPr>
        <w:rFonts w:ascii="Arial" w:hAnsi="Arial" w:hint="default"/>
      </w:rPr>
    </w:lvl>
    <w:lvl w:ilvl="6" w:tplc="A29840AE" w:tentative="1">
      <w:start w:val="1"/>
      <w:numFmt w:val="bullet"/>
      <w:lvlText w:val="•"/>
      <w:lvlJc w:val="left"/>
      <w:pPr>
        <w:tabs>
          <w:tab w:val="num" w:pos="4680"/>
        </w:tabs>
        <w:ind w:left="4680" w:hanging="360"/>
      </w:pPr>
      <w:rPr>
        <w:rFonts w:ascii="Arial" w:hAnsi="Arial" w:hint="default"/>
      </w:rPr>
    </w:lvl>
    <w:lvl w:ilvl="7" w:tplc="BE1CBD14" w:tentative="1">
      <w:start w:val="1"/>
      <w:numFmt w:val="bullet"/>
      <w:lvlText w:val="•"/>
      <w:lvlJc w:val="left"/>
      <w:pPr>
        <w:tabs>
          <w:tab w:val="num" w:pos="5400"/>
        </w:tabs>
        <w:ind w:left="5400" w:hanging="360"/>
      </w:pPr>
      <w:rPr>
        <w:rFonts w:ascii="Arial" w:hAnsi="Arial" w:hint="default"/>
      </w:rPr>
    </w:lvl>
    <w:lvl w:ilvl="8" w:tplc="2FF8AF98" w:tentative="1">
      <w:start w:val="1"/>
      <w:numFmt w:val="bullet"/>
      <w:lvlText w:val="•"/>
      <w:lvlJc w:val="left"/>
      <w:pPr>
        <w:tabs>
          <w:tab w:val="num" w:pos="6120"/>
        </w:tabs>
        <w:ind w:left="6120" w:hanging="360"/>
      </w:pPr>
      <w:rPr>
        <w:rFonts w:ascii="Arial" w:hAnsi="Arial" w:hint="default"/>
      </w:rPr>
    </w:lvl>
  </w:abstractNum>
  <w:abstractNum w:abstractNumId="25" w15:restartNumberingAfterBreak="0">
    <w:nsid w:val="1A851FF0"/>
    <w:multiLevelType w:val="multilevel"/>
    <w:tmpl w:val="D7CAF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24C6E4D"/>
    <w:multiLevelType w:val="hybridMultilevel"/>
    <w:tmpl w:val="ABDECF5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7" w15:restartNumberingAfterBreak="0">
    <w:nsid w:val="29C51D40"/>
    <w:multiLevelType w:val="multilevel"/>
    <w:tmpl w:val="BBC62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AFB1E84"/>
    <w:multiLevelType w:val="multilevel"/>
    <w:tmpl w:val="09FC7376"/>
    <w:lvl w:ilvl="0">
      <w:start w:val="1"/>
      <w:numFmt w:val="lowerLetter"/>
      <w:pStyle w:val="List"/>
      <w:lvlText w:val="%1."/>
      <w:lvlJc w:val="left"/>
      <w:pPr>
        <w:ind w:left="284" w:hanging="284"/>
      </w:pPr>
      <w:rPr>
        <w:rFonts w:hint="default"/>
      </w:rPr>
    </w:lvl>
    <w:lvl w:ilvl="1">
      <w:start w:val="1"/>
      <w:numFmt w:val="lowerRoman"/>
      <w:pStyle w:val="List2"/>
      <w:lvlText w:val="%2."/>
      <w:lvlJc w:val="left"/>
      <w:pPr>
        <w:tabs>
          <w:tab w:val="num" w:pos="340"/>
        </w:tabs>
        <w:ind w:left="567" w:hanging="283"/>
      </w:pPr>
      <w:rPr>
        <w:rFonts w:hint="default"/>
      </w:rPr>
    </w:lvl>
    <w:lvl w:ilvl="2">
      <w:start w:val="1"/>
      <w:numFmt w:val="upperLetter"/>
      <w:pStyle w:val="List3"/>
      <w:lvlText w:val="%3."/>
      <w:lvlJc w:val="left"/>
      <w:pPr>
        <w:ind w:left="851" w:hanging="284"/>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29" w15:restartNumberingAfterBreak="0">
    <w:nsid w:val="2B1465F0"/>
    <w:multiLevelType w:val="multilevel"/>
    <w:tmpl w:val="0C069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D9F6A7A"/>
    <w:multiLevelType w:val="hybridMultilevel"/>
    <w:tmpl w:val="46522F22"/>
    <w:lvl w:ilvl="0" w:tplc="85FCAADA">
      <w:start w:val="1"/>
      <w:numFmt w:val="bullet"/>
      <w:lvlText w:val="•"/>
      <w:lvlJc w:val="left"/>
      <w:pPr>
        <w:tabs>
          <w:tab w:val="num" w:pos="360"/>
        </w:tabs>
        <w:ind w:left="360" w:hanging="360"/>
      </w:pPr>
      <w:rPr>
        <w:rFonts w:ascii="Arial" w:hAnsi="Arial" w:hint="default"/>
      </w:rPr>
    </w:lvl>
    <w:lvl w:ilvl="1" w:tplc="1BB44B0C" w:tentative="1">
      <w:start w:val="1"/>
      <w:numFmt w:val="bullet"/>
      <w:lvlText w:val="•"/>
      <w:lvlJc w:val="left"/>
      <w:pPr>
        <w:tabs>
          <w:tab w:val="num" w:pos="1080"/>
        </w:tabs>
        <w:ind w:left="1080" w:hanging="360"/>
      </w:pPr>
      <w:rPr>
        <w:rFonts w:ascii="Arial" w:hAnsi="Arial" w:hint="default"/>
      </w:rPr>
    </w:lvl>
    <w:lvl w:ilvl="2" w:tplc="65F83896" w:tentative="1">
      <w:start w:val="1"/>
      <w:numFmt w:val="bullet"/>
      <w:lvlText w:val="•"/>
      <w:lvlJc w:val="left"/>
      <w:pPr>
        <w:tabs>
          <w:tab w:val="num" w:pos="1800"/>
        </w:tabs>
        <w:ind w:left="1800" w:hanging="360"/>
      </w:pPr>
      <w:rPr>
        <w:rFonts w:ascii="Arial" w:hAnsi="Arial" w:hint="default"/>
      </w:rPr>
    </w:lvl>
    <w:lvl w:ilvl="3" w:tplc="30EAEFAC" w:tentative="1">
      <w:start w:val="1"/>
      <w:numFmt w:val="bullet"/>
      <w:lvlText w:val="•"/>
      <w:lvlJc w:val="left"/>
      <w:pPr>
        <w:tabs>
          <w:tab w:val="num" w:pos="2520"/>
        </w:tabs>
        <w:ind w:left="2520" w:hanging="360"/>
      </w:pPr>
      <w:rPr>
        <w:rFonts w:ascii="Arial" w:hAnsi="Arial" w:hint="default"/>
      </w:rPr>
    </w:lvl>
    <w:lvl w:ilvl="4" w:tplc="4A9A7046" w:tentative="1">
      <w:start w:val="1"/>
      <w:numFmt w:val="bullet"/>
      <w:lvlText w:val="•"/>
      <w:lvlJc w:val="left"/>
      <w:pPr>
        <w:tabs>
          <w:tab w:val="num" w:pos="3240"/>
        </w:tabs>
        <w:ind w:left="3240" w:hanging="360"/>
      </w:pPr>
      <w:rPr>
        <w:rFonts w:ascii="Arial" w:hAnsi="Arial" w:hint="default"/>
      </w:rPr>
    </w:lvl>
    <w:lvl w:ilvl="5" w:tplc="D14A88BE" w:tentative="1">
      <w:start w:val="1"/>
      <w:numFmt w:val="bullet"/>
      <w:lvlText w:val="•"/>
      <w:lvlJc w:val="left"/>
      <w:pPr>
        <w:tabs>
          <w:tab w:val="num" w:pos="3960"/>
        </w:tabs>
        <w:ind w:left="3960" w:hanging="360"/>
      </w:pPr>
      <w:rPr>
        <w:rFonts w:ascii="Arial" w:hAnsi="Arial" w:hint="default"/>
      </w:rPr>
    </w:lvl>
    <w:lvl w:ilvl="6" w:tplc="609CBFB8" w:tentative="1">
      <w:start w:val="1"/>
      <w:numFmt w:val="bullet"/>
      <w:lvlText w:val="•"/>
      <w:lvlJc w:val="left"/>
      <w:pPr>
        <w:tabs>
          <w:tab w:val="num" w:pos="4680"/>
        </w:tabs>
        <w:ind w:left="4680" w:hanging="360"/>
      </w:pPr>
      <w:rPr>
        <w:rFonts w:ascii="Arial" w:hAnsi="Arial" w:hint="default"/>
      </w:rPr>
    </w:lvl>
    <w:lvl w:ilvl="7" w:tplc="A95EE4E2" w:tentative="1">
      <w:start w:val="1"/>
      <w:numFmt w:val="bullet"/>
      <w:lvlText w:val="•"/>
      <w:lvlJc w:val="left"/>
      <w:pPr>
        <w:tabs>
          <w:tab w:val="num" w:pos="5400"/>
        </w:tabs>
        <w:ind w:left="5400" w:hanging="360"/>
      </w:pPr>
      <w:rPr>
        <w:rFonts w:ascii="Arial" w:hAnsi="Arial" w:hint="default"/>
      </w:rPr>
    </w:lvl>
    <w:lvl w:ilvl="8" w:tplc="573E7C6E" w:tentative="1">
      <w:start w:val="1"/>
      <w:numFmt w:val="bullet"/>
      <w:lvlText w:val="•"/>
      <w:lvlJc w:val="left"/>
      <w:pPr>
        <w:tabs>
          <w:tab w:val="num" w:pos="6120"/>
        </w:tabs>
        <w:ind w:left="6120" w:hanging="360"/>
      </w:pPr>
      <w:rPr>
        <w:rFonts w:ascii="Arial" w:hAnsi="Arial" w:hint="default"/>
      </w:rPr>
    </w:lvl>
  </w:abstractNum>
  <w:abstractNum w:abstractNumId="31" w15:restartNumberingAfterBreak="0">
    <w:nsid w:val="2DE90923"/>
    <w:multiLevelType w:val="hybridMultilevel"/>
    <w:tmpl w:val="6D56D6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2360042"/>
    <w:multiLevelType w:val="hybridMultilevel"/>
    <w:tmpl w:val="07C0AB6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3" w15:restartNumberingAfterBreak="0">
    <w:nsid w:val="39261A56"/>
    <w:multiLevelType w:val="hybridMultilevel"/>
    <w:tmpl w:val="2662EBB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393977B7"/>
    <w:multiLevelType w:val="hybridMultilevel"/>
    <w:tmpl w:val="FBB299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B672EF5"/>
    <w:multiLevelType w:val="hybridMultilevel"/>
    <w:tmpl w:val="52C82D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6" w15:restartNumberingAfterBreak="0">
    <w:nsid w:val="3CF5388C"/>
    <w:multiLevelType w:val="hybridMultilevel"/>
    <w:tmpl w:val="31281DDC"/>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7" w15:restartNumberingAfterBreak="0">
    <w:nsid w:val="3E7134CE"/>
    <w:multiLevelType w:val="multilevel"/>
    <w:tmpl w:val="FC6ED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1F93CFE"/>
    <w:multiLevelType w:val="hybridMultilevel"/>
    <w:tmpl w:val="D3BC7854"/>
    <w:lvl w:ilvl="0" w:tplc="C4D24572">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436538C2"/>
    <w:multiLevelType w:val="hybridMultilevel"/>
    <w:tmpl w:val="60761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48A222B"/>
    <w:multiLevelType w:val="hybridMultilevel"/>
    <w:tmpl w:val="E2649C44"/>
    <w:lvl w:ilvl="0" w:tplc="4B3A616E">
      <w:start w:val="1"/>
      <w:numFmt w:val="decimal"/>
      <w:lvlText w:val="%1)"/>
      <w:lvlJc w:val="left"/>
      <w:pPr>
        <w:ind w:left="1020" w:hanging="360"/>
      </w:pPr>
    </w:lvl>
    <w:lvl w:ilvl="1" w:tplc="2048E99A">
      <w:start w:val="1"/>
      <w:numFmt w:val="decimal"/>
      <w:lvlText w:val="%2)"/>
      <w:lvlJc w:val="left"/>
      <w:pPr>
        <w:ind w:left="1020" w:hanging="360"/>
      </w:pPr>
    </w:lvl>
    <w:lvl w:ilvl="2" w:tplc="5DB213B0">
      <w:start w:val="1"/>
      <w:numFmt w:val="decimal"/>
      <w:lvlText w:val="%3)"/>
      <w:lvlJc w:val="left"/>
      <w:pPr>
        <w:ind w:left="1020" w:hanging="360"/>
      </w:pPr>
    </w:lvl>
    <w:lvl w:ilvl="3" w:tplc="CA082662">
      <w:start w:val="1"/>
      <w:numFmt w:val="decimal"/>
      <w:lvlText w:val="%4)"/>
      <w:lvlJc w:val="left"/>
      <w:pPr>
        <w:ind w:left="1020" w:hanging="360"/>
      </w:pPr>
    </w:lvl>
    <w:lvl w:ilvl="4" w:tplc="004CDEA4">
      <w:start w:val="1"/>
      <w:numFmt w:val="decimal"/>
      <w:lvlText w:val="%5)"/>
      <w:lvlJc w:val="left"/>
      <w:pPr>
        <w:ind w:left="1020" w:hanging="360"/>
      </w:pPr>
    </w:lvl>
    <w:lvl w:ilvl="5" w:tplc="D1CE4AB8">
      <w:start w:val="1"/>
      <w:numFmt w:val="decimal"/>
      <w:lvlText w:val="%6)"/>
      <w:lvlJc w:val="left"/>
      <w:pPr>
        <w:ind w:left="1020" w:hanging="360"/>
      </w:pPr>
    </w:lvl>
    <w:lvl w:ilvl="6" w:tplc="039860C0">
      <w:start w:val="1"/>
      <w:numFmt w:val="decimal"/>
      <w:lvlText w:val="%7)"/>
      <w:lvlJc w:val="left"/>
      <w:pPr>
        <w:ind w:left="1020" w:hanging="360"/>
      </w:pPr>
    </w:lvl>
    <w:lvl w:ilvl="7" w:tplc="FA82D0E2">
      <w:start w:val="1"/>
      <w:numFmt w:val="decimal"/>
      <w:lvlText w:val="%8)"/>
      <w:lvlJc w:val="left"/>
      <w:pPr>
        <w:ind w:left="1020" w:hanging="360"/>
      </w:pPr>
    </w:lvl>
    <w:lvl w:ilvl="8" w:tplc="06344822">
      <w:start w:val="1"/>
      <w:numFmt w:val="decimal"/>
      <w:lvlText w:val="%9)"/>
      <w:lvlJc w:val="left"/>
      <w:pPr>
        <w:ind w:left="1020" w:hanging="360"/>
      </w:pPr>
    </w:lvl>
  </w:abstractNum>
  <w:abstractNum w:abstractNumId="41" w15:restartNumberingAfterBreak="0">
    <w:nsid w:val="4A8337D8"/>
    <w:multiLevelType w:val="hybridMultilevel"/>
    <w:tmpl w:val="2CF2C9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2" w15:restartNumberingAfterBreak="0">
    <w:nsid w:val="4F5420A0"/>
    <w:multiLevelType w:val="hybridMultilevel"/>
    <w:tmpl w:val="0122B9FC"/>
    <w:lvl w:ilvl="0" w:tplc="D8CE0A0E">
      <w:start w:val="8"/>
      <w:numFmt w:val="bullet"/>
      <w:lvlText w:val=""/>
      <w:lvlJc w:val="left"/>
      <w:pPr>
        <w:ind w:left="720" w:hanging="360"/>
      </w:pPr>
      <w:rPr>
        <w:rFonts w:ascii="Symbol" w:eastAsiaTheme="minorHAnsi"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3" w15:restartNumberingAfterBreak="0">
    <w:nsid w:val="522633BE"/>
    <w:multiLevelType w:val="hybridMultilevel"/>
    <w:tmpl w:val="992EEB3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15:restartNumberingAfterBreak="0">
    <w:nsid w:val="52E85FD3"/>
    <w:multiLevelType w:val="hybridMultilevel"/>
    <w:tmpl w:val="F0B4DF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547E2D5C"/>
    <w:multiLevelType w:val="hybridMultilevel"/>
    <w:tmpl w:val="97BA5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7400283"/>
    <w:multiLevelType w:val="multilevel"/>
    <w:tmpl w:val="0B12323E"/>
    <w:lvl w:ilvl="0">
      <w:start w:val="1"/>
      <w:numFmt w:val="decimal"/>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pStyle w:val="Heading5"/>
      <w:lvlText w:val="%5."/>
      <w:lvlJc w:val="left"/>
      <w:pPr>
        <w:ind w:left="284" w:hanging="284"/>
      </w:pPr>
      <w:rPr>
        <w:rFonts w:hint="default"/>
      </w:rPr>
    </w:lvl>
    <w:lvl w:ilvl="5">
      <w:start w:val="1"/>
      <w:numFmt w:val="lowerRoman"/>
      <w:pStyle w:val="Heading6"/>
      <w:lvlText w:val="%6."/>
      <w:lvlJc w:val="left"/>
      <w:pPr>
        <w:tabs>
          <w:tab w:val="num" w:pos="284"/>
        </w:tabs>
        <w:ind w:left="567" w:hanging="283"/>
      </w:pPr>
      <w:rPr>
        <w:rFonts w:hint="default"/>
      </w:rPr>
    </w:lvl>
    <w:lvl w:ilvl="6">
      <w:start w:val="1"/>
      <w:numFmt w:val="upperLetter"/>
      <w:pStyle w:val="Heading7"/>
      <w:lvlText w:val="%7."/>
      <w:lvlJc w:val="left"/>
      <w:pPr>
        <w:ind w:left="851" w:hanging="284"/>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47" w15:restartNumberingAfterBreak="0">
    <w:nsid w:val="586A2544"/>
    <w:multiLevelType w:val="multilevel"/>
    <w:tmpl w:val="DB60B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9C071AE"/>
    <w:multiLevelType w:val="hybridMultilevel"/>
    <w:tmpl w:val="FBDCEDC0"/>
    <w:lvl w:ilvl="0" w:tplc="FFFFFFFF">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9" w15:restartNumberingAfterBreak="0">
    <w:nsid w:val="5AA124B0"/>
    <w:multiLevelType w:val="multilevel"/>
    <w:tmpl w:val="7EB0C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B1A4896"/>
    <w:multiLevelType w:val="multilevel"/>
    <w:tmpl w:val="B8DEC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5F1E55EA"/>
    <w:multiLevelType w:val="hybridMultilevel"/>
    <w:tmpl w:val="E9FAA24E"/>
    <w:lvl w:ilvl="0" w:tplc="2E40C1D2">
      <w:start w:val="1"/>
      <w:numFmt w:val="decimal"/>
      <w:pStyle w:val="Heading1"/>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634B0C41"/>
    <w:multiLevelType w:val="multilevel"/>
    <w:tmpl w:val="999C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9D02C92"/>
    <w:multiLevelType w:val="hybridMultilevel"/>
    <w:tmpl w:val="2FF67168"/>
    <w:lvl w:ilvl="0" w:tplc="4462C59E">
      <w:start w:val="1"/>
      <w:numFmt w:val="bullet"/>
      <w:lvlText w:val="•"/>
      <w:lvlJc w:val="left"/>
      <w:pPr>
        <w:tabs>
          <w:tab w:val="num" w:pos="360"/>
        </w:tabs>
        <w:ind w:left="360" w:hanging="360"/>
      </w:pPr>
      <w:rPr>
        <w:rFonts w:ascii="Arial" w:hAnsi="Arial" w:hint="default"/>
      </w:rPr>
    </w:lvl>
    <w:lvl w:ilvl="1" w:tplc="CEF8B378" w:tentative="1">
      <w:start w:val="1"/>
      <w:numFmt w:val="bullet"/>
      <w:lvlText w:val="•"/>
      <w:lvlJc w:val="left"/>
      <w:pPr>
        <w:tabs>
          <w:tab w:val="num" w:pos="1080"/>
        </w:tabs>
        <w:ind w:left="1080" w:hanging="360"/>
      </w:pPr>
      <w:rPr>
        <w:rFonts w:ascii="Arial" w:hAnsi="Arial" w:hint="default"/>
      </w:rPr>
    </w:lvl>
    <w:lvl w:ilvl="2" w:tplc="73B08936" w:tentative="1">
      <w:start w:val="1"/>
      <w:numFmt w:val="bullet"/>
      <w:lvlText w:val="•"/>
      <w:lvlJc w:val="left"/>
      <w:pPr>
        <w:tabs>
          <w:tab w:val="num" w:pos="1800"/>
        </w:tabs>
        <w:ind w:left="1800" w:hanging="360"/>
      </w:pPr>
      <w:rPr>
        <w:rFonts w:ascii="Arial" w:hAnsi="Arial" w:hint="default"/>
      </w:rPr>
    </w:lvl>
    <w:lvl w:ilvl="3" w:tplc="7C787D7A" w:tentative="1">
      <w:start w:val="1"/>
      <w:numFmt w:val="bullet"/>
      <w:lvlText w:val="•"/>
      <w:lvlJc w:val="left"/>
      <w:pPr>
        <w:tabs>
          <w:tab w:val="num" w:pos="2520"/>
        </w:tabs>
        <w:ind w:left="2520" w:hanging="360"/>
      </w:pPr>
      <w:rPr>
        <w:rFonts w:ascii="Arial" w:hAnsi="Arial" w:hint="default"/>
      </w:rPr>
    </w:lvl>
    <w:lvl w:ilvl="4" w:tplc="15DE4EF0" w:tentative="1">
      <w:start w:val="1"/>
      <w:numFmt w:val="bullet"/>
      <w:lvlText w:val="•"/>
      <w:lvlJc w:val="left"/>
      <w:pPr>
        <w:tabs>
          <w:tab w:val="num" w:pos="3240"/>
        </w:tabs>
        <w:ind w:left="3240" w:hanging="360"/>
      </w:pPr>
      <w:rPr>
        <w:rFonts w:ascii="Arial" w:hAnsi="Arial" w:hint="default"/>
      </w:rPr>
    </w:lvl>
    <w:lvl w:ilvl="5" w:tplc="B69E7D26" w:tentative="1">
      <w:start w:val="1"/>
      <w:numFmt w:val="bullet"/>
      <w:lvlText w:val="•"/>
      <w:lvlJc w:val="left"/>
      <w:pPr>
        <w:tabs>
          <w:tab w:val="num" w:pos="3960"/>
        </w:tabs>
        <w:ind w:left="3960" w:hanging="360"/>
      </w:pPr>
      <w:rPr>
        <w:rFonts w:ascii="Arial" w:hAnsi="Arial" w:hint="default"/>
      </w:rPr>
    </w:lvl>
    <w:lvl w:ilvl="6" w:tplc="A0D809DC" w:tentative="1">
      <w:start w:val="1"/>
      <w:numFmt w:val="bullet"/>
      <w:lvlText w:val="•"/>
      <w:lvlJc w:val="left"/>
      <w:pPr>
        <w:tabs>
          <w:tab w:val="num" w:pos="4680"/>
        </w:tabs>
        <w:ind w:left="4680" w:hanging="360"/>
      </w:pPr>
      <w:rPr>
        <w:rFonts w:ascii="Arial" w:hAnsi="Arial" w:hint="default"/>
      </w:rPr>
    </w:lvl>
    <w:lvl w:ilvl="7" w:tplc="77A2137E" w:tentative="1">
      <w:start w:val="1"/>
      <w:numFmt w:val="bullet"/>
      <w:lvlText w:val="•"/>
      <w:lvlJc w:val="left"/>
      <w:pPr>
        <w:tabs>
          <w:tab w:val="num" w:pos="5400"/>
        </w:tabs>
        <w:ind w:left="5400" w:hanging="360"/>
      </w:pPr>
      <w:rPr>
        <w:rFonts w:ascii="Arial" w:hAnsi="Arial" w:hint="default"/>
      </w:rPr>
    </w:lvl>
    <w:lvl w:ilvl="8" w:tplc="35D489F0" w:tentative="1">
      <w:start w:val="1"/>
      <w:numFmt w:val="bullet"/>
      <w:lvlText w:val="•"/>
      <w:lvlJc w:val="left"/>
      <w:pPr>
        <w:tabs>
          <w:tab w:val="num" w:pos="6120"/>
        </w:tabs>
        <w:ind w:left="6120" w:hanging="360"/>
      </w:pPr>
      <w:rPr>
        <w:rFonts w:ascii="Arial" w:hAnsi="Arial" w:hint="default"/>
      </w:rPr>
    </w:lvl>
  </w:abstractNum>
  <w:abstractNum w:abstractNumId="54" w15:restartNumberingAfterBreak="0">
    <w:nsid w:val="6AED5D75"/>
    <w:multiLevelType w:val="hybridMultilevel"/>
    <w:tmpl w:val="5BCC398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5" w15:restartNumberingAfterBreak="0">
    <w:nsid w:val="6C06706B"/>
    <w:multiLevelType w:val="hybridMultilevel"/>
    <w:tmpl w:val="FAE0EA3A"/>
    <w:lvl w:ilvl="0" w:tplc="42CE322A">
      <w:start w:val="1"/>
      <w:numFmt w:val="bullet"/>
      <w:lvlText w:val="•"/>
      <w:lvlJc w:val="left"/>
      <w:pPr>
        <w:tabs>
          <w:tab w:val="num" w:pos="360"/>
        </w:tabs>
        <w:ind w:left="360" w:hanging="360"/>
      </w:pPr>
      <w:rPr>
        <w:rFonts w:ascii="Arial" w:hAnsi="Arial" w:hint="default"/>
      </w:rPr>
    </w:lvl>
    <w:lvl w:ilvl="1" w:tplc="E31426D8" w:tentative="1">
      <w:start w:val="1"/>
      <w:numFmt w:val="bullet"/>
      <w:lvlText w:val="•"/>
      <w:lvlJc w:val="left"/>
      <w:pPr>
        <w:tabs>
          <w:tab w:val="num" w:pos="1080"/>
        </w:tabs>
        <w:ind w:left="1080" w:hanging="360"/>
      </w:pPr>
      <w:rPr>
        <w:rFonts w:ascii="Arial" w:hAnsi="Arial" w:hint="default"/>
      </w:rPr>
    </w:lvl>
    <w:lvl w:ilvl="2" w:tplc="83DE5984" w:tentative="1">
      <w:start w:val="1"/>
      <w:numFmt w:val="bullet"/>
      <w:lvlText w:val="•"/>
      <w:lvlJc w:val="left"/>
      <w:pPr>
        <w:tabs>
          <w:tab w:val="num" w:pos="1800"/>
        </w:tabs>
        <w:ind w:left="1800" w:hanging="360"/>
      </w:pPr>
      <w:rPr>
        <w:rFonts w:ascii="Arial" w:hAnsi="Arial" w:hint="default"/>
      </w:rPr>
    </w:lvl>
    <w:lvl w:ilvl="3" w:tplc="90EAD890" w:tentative="1">
      <w:start w:val="1"/>
      <w:numFmt w:val="bullet"/>
      <w:lvlText w:val="•"/>
      <w:lvlJc w:val="left"/>
      <w:pPr>
        <w:tabs>
          <w:tab w:val="num" w:pos="2520"/>
        </w:tabs>
        <w:ind w:left="2520" w:hanging="360"/>
      </w:pPr>
      <w:rPr>
        <w:rFonts w:ascii="Arial" w:hAnsi="Arial" w:hint="default"/>
      </w:rPr>
    </w:lvl>
    <w:lvl w:ilvl="4" w:tplc="B26095DC" w:tentative="1">
      <w:start w:val="1"/>
      <w:numFmt w:val="bullet"/>
      <w:lvlText w:val="•"/>
      <w:lvlJc w:val="left"/>
      <w:pPr>
        <w:tabs>
          <w:tab w:val="num" w:pos="3240"/>
        </w:tabs>
        <w:ind w:left="3240" w:hanging="360"/>
      </w:pPr>
      <w:rPr>
        <w:rFonts w:ascii="Arial" w:hAnsi="Arial" w:hint="default"/>
      </w:rPr>
    </w:lvl>
    <w:lvl w:ilvl="5" w:tplc="9C7CB370" w:tentative="1">
      <w:start w:val="1"/>
      <w:numFmt w:val="bullet"/>
      <w:lvlText w:val="•"/>
      <w:lvlJc w:val="left"/>
      <w:pPr>
        <w:tabs>
          <w:tab w:val="num" w:pos="3960"/>
        </w:tabs>
        <w:ind w:left="3960" w:hanging="360"/>
      </w:pPr>
      <w:rPr>
        <w:rFonts w:ascii="Arial" w:hAnsi="Arial" w:hint="default"/>
      </w:rPr>
    </w:lvl>
    <w:lvl w:ilvl="6" w:tplc="8372318E" w:tentative="1">
      <w:start w:val="1"/>
      <w:numFmt w:val="bullet"/>
      <w:lvlText w:val="•"/>
      <w:lvlJc w:val="left"/>
      <w:pPr>
        <w:tabs>
          <w:tab w:val="num" w:pos="4680"/>
        </w:tabs>
        <w:ind w:left="4680" w:hanging="360"/>
      </w:pPr>
      <w:rPr>
        <w:rFonts w:ascii="Arial" w:hAnsi="Arial" w:hint="default"/>
      </w:rPr>
    </w:lvl>
    <w:lvl w:ilvl="7" w:tplc="61CAEE10" w:tentative="1">
      <w:start w:val="1"/>
      <w:numFmt w:val="bullet"/>
      <w:lvlText w:val="•"/>
      <w:lvlJc w:val="left"/>
      <w:pPr>
        <w:tabs>
          <w:tab w:val="num" w:pos="5400"/>
        </w:tabs>
        <w:ind w:left="5400" w:hanging="360"/>
      </w:pPr>
      <w:rPr>
        <w:rFonts w:ascii="Arial" w:hAnsi="Arial" w:hint="default"/>
      </w:rPr>
    </w:lvl>
    <w:lvl w:ilvl="8" w:tplc="99444414" w:tentative="1">
      <w:start w:val="1"/>
      <w:numFmt w:val="bullet"/>
      <w:lvlText w:val="•"/>
      <w:lvlJc w:val="left"/>
      <w:pPr>
        <w:tabs>
          <w:tab w:val="num" w:pos="6120"/>
        </w:tabs>
        <w:ind w:left="6120" w:hanging="360"/>
      </w:pPr>
      <w:rPr>
        <w:rFonts w:ascii="Arial" w:hAnsi="Arial" w:hint="default"/>
      </w:rPr>
    </w:lvl>
  </w:abstractNum>
  <w:abstractNum w:abstractNumId="56" w15:restartNumberingAfterBreak="0">
    <w:nsid w:val="6C3632B0"/>
    <w:multiLevelType w:val="hybridMultilevel"/>
    <w:tmpl w:val="87682B46"/>
    <w:lvl w:ilvl="0" w:tplc="893EA9C8">
      <w:start w:val="1"/>
      <w:numFmt w:val="bullet"/>
      <w:lvlText w:val="•"/>
      <w:lvlJc w:val="left"/>
      <w:pPr>
        <w:tabs>
          <w:tab w:val="num" w:pos="360"/>
        </w:tabs>
        <w:ind w:left="360" w:hanging="360"/>
      </w:pPr>
      <w:rPr>
        <w:rFonts w:ascii="Arial" w:hAnsi="Arial" w:hint="default"/>
      </w:rPr>
    </w:lvl>
    <w:lvl w:ilvl="1" w:tplc="041C1202" w:tentative="1">
      <w:start w:val="1"/>
      <w:numFmt w:val="bullet"/>
      <w:lvlText w:val="•"/>
      <w:lvlJc w:val="left"/>
      <w:pPr>
        <w:tabs>
          <w:tab w:val="num" w:pos="1080"/>
        </w:tabs>
        <w:ind w:left="1080" w:hanging="360"/>
      </w:pPr>
      <w:rPr>
        <w:rFonts w:ascii="Arial" w:hAnsi="Arial" w:hint="default"/>
      </w:rPr>
    </w:lvl>
    <w:lvl w:ilvl="2" w:tplc="4F38682E" w:tentative="1">
      <w:start w:val="1"/>
      <w:numFmt w:val="bullet"/>
      <w:lvlText w:val="•"/>
      <w:lvlJc w:val="left"/>
      <w:pPr>
        <w:tabs>
          <w:tab w:val="num" w:pos="1800"/>
        </w:tabs>
        <w:ind w:left="1800" w:hanging="360"/>
      </w:pPr>
      <w:rPr>
        <w:rFonts w:ascii="Arial" w:hAnsi="Arial" w:hint="default"/>
      </w:rPr>
    </w:lvl>
    <w:lvl w:ilvl="3" w:tplc="49D8460C" w:tentative="1">
      <w:start w:val="1"/>
      <w:numFmt w:val="bullet"/>
      <w:lvlText w:val="•"/>
      <w:lvlJc w:val="left"/>
      <w:pPr>
        <w:tabs>
          <w:tab w:val="num" w:pos="2520"/>
        </w:tabs>
        <w:ind w:left="2520" w:hanging="360"/>
      </w:pPr>
      <w:rPr>
        <w:rFonts w:ascii="Arial" w:hAnsi="Arial" w:hint="default"/>
      </w:rPr>
    </w:lvl>
    <w:lvl w:ilvl="4" w:tplc="A9E2D2BE" w:tentative="1">
      <w:start w:val="1"/>
      <w:numFmt w:val="bullet"/>
      <w:lvlText w:val="•"/>
      <w:lvlJc w:val="left"/>
      <w:pPr>
        <w:tabs>
          <w:tab w:val="num" w:pos="3240"/>
        </w:tabs>
        <w:ind w:left="3240" w:hanging="360"/>
      </w:pPr>
      <w:rPr>
        <w:rFonts w:ascii="Arial" w:hAnsi="Arial" w:hint="default"/>
      </w:rPr>
    </w:lvl>
    <w:lvl w:ilvl="5" w:tplc="605886F6" w:tentative="1">
      <w:start w:val="1"/>
      <w:numFmt w:val="bullet"/>
      <w:lvlText w:val="•"/>
      <w:lvlJc w:val="left"/>
      <w:pPr>
        <w:tabs>
          <w:tab w:val="num" w:pos="3960"/>
        </w:tabs>
        <w:ind w:left="3960" w:hanging="360"/>
      </w:pPr>
      <w:rPr>
        <w:rFonts w:ascii="Arial" w:hAnsi="Arial" w:hint="default"/>
      </w:rPr>
    </w:lvl>
    <w:lvl w:ilvl="6" w:tplc="08A87C90" w:tentative="1">
      <w:start w:val="1"/>
      <w:numFmt w:val="bullet"/>
      <w:lvlText w:val="•"/>
      <w:lvlJc w:val="left"/>
      <w:pPr>
        <w:tabs>
          <w:tab w:val="num" w:pos="4680"/>
        </w:tabs>
        <w:ind w:left="4680" w:hanging="360"/>
      </w:pPr>
      <w:rPr>
        <w:rFonts w:ascii="Arial" w:hAnsi="Arial" w:hint="default"/>
      </w:rPr>
    </w:lvl>
    <w:lvl w:ilvl="7" w:tplc="04F2233C" w:tentative="1">
      <w:start w:val="1"/>
      <w:numFmt w:val="bullet"/>
      <w:lvlText w:val="•"/>
      <w:lvlJc w:val="left"/>
      <w:pPr>
        <w:tabs>
          <w:tab w:val="num" w:pos="5400"/>
        </w:tabs>
        <w:ind w:left="5400" w:hanging="360"/>
      </w:pPr>
      <w:rPr>
        <w:rFonts w:ascii="Arial" w:hAnsi="Arial" w:hint="default"/>
      </w:rPr>
    </w:lvl>
    <w:lvl w:ilvl="8" w:tplc="12384AAA" w:tentative="1">
      <w:start w:val="1"/>
      <w:numFmt w:val="bullet"/>
      <w:lvlText w:val="•"/>
      <w:lvlJc w:val="left"/>
      <w:pPr>
        <w:tabs>
          <w:tab w:val="num" w:pos="6120"/>
        </w:tabs>
        <w:ind w:left="6120" w:hanging="360"/>
      </w:pPr>
      <w:rPr>
        <w:rFonts w:ascii="Arial" w:hAnsi="Arial" w:hint="default"/>
      </w:rPr>
    </w:lvl>
  </w:abstractNum>
  <w:abstractNum w:abstractNumId="57" w15:restartNumberingAfterBreak="0">
    <w:nsid w:val="6C943D88"/>
    <w:multiLevelType w:val="multilevel"/>
    <w:tmpl w:val="B054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70ED1235"/>
    <w:multiLevelType w:val="multilevel"/>
    <w:tmpl w:val="B548FC8A"/>
    <w:lvl w:ilvl="0">
      <w:start w:val="1"/>
      <w:numFmt w:val="decimal"/>
      <w:lvlText w:val="%1."/>
      <w:lvlJc w:val="left"/>
      <w:pPr>
        <w:tabs>
          <w:tab w:val="num" w:pos="360"/>
        </w:tabs>
        <w:ind w:left="360" w:hanging="360"/>
      </w:pPr>
      <w:rPr>
        <w:rFonts w:asciiTheme="minorHAnsi" w:eastAsiaTheme="minorHAnsi" w:hAnsiTheme="minorHAnsi" w:cstheme="minorBidi"/>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9" w15:restartNumberingAfterBreak="0">
    <w:nsid w:val="71342A87"/>
    <w:multiLevelType w:val="hybridMultilevel"/>
    <w:tmpl w:val="74E4DD78"/>
    <w:lvl w:ilvl="0" w:tplc="FE82493C">
      <w:start w:val="1"/>
      <w:numFmt w:val="bullet"/>
      <w:lvlText w:val="•"/>
      <w:lvlJc w:val="left"/>
      <w:pPr>
        <w:tabs>
          <w:tab w:val="num" w:pos="360"/>
        </w:tabs>
        <w:ind w:left="360" w:hanging="360"/>
      </w:pPr>
      <w:rPr>
        <w:rFonts w:ascii="Arial" w:hAnsi="Arial" w:hint="default"/>
      </w:rPr>
    </w:lvl>
    <w:lvl w:ilvl="1" w:tplc="07BC00F2" w:tentative="1">
      <w:start w:val="1"/>
      <w:numFmt w:val="bullet"/>
      <w:lvlText w:val="•"/>
      <w:lvlJc w:val="left"/>
      <w:pPr>
        <w:tabs>
          <w:tab w:val="num" w:pos="1080"/>
        </w:tabs>
        <w:ind w:left="1080" w:hanging="360"/>
      </w:pPr>
      <w:rPr>
        <w:rFonts w:ascii="Arial" w:hAnsi="Arial" w:hint="default"/>
      </w:rPr>
    </w:lvl>
    <w:lvl w:ilvl="2" w:tplc="9908658E" w:tentative="1">
      <w:start w:val="1"/>
      <w:numFmt w:val="bullet"/>
      <w:lvlText w:val="•"/>
      <w:lvlJc w:val="left"/>
      <w:pPr>
        <w:tabs>
          <w:tab w:val="num" w:pos="1800"/>
        </w:tabs>
        <w:ind w:left="1800" w:hanging="360"/>
      </w:pPr>
      <w:rPr>
        <w:rFonts w:ascii="Arial" w:hAnsi="Arial" w:hint="default"/>
      </w:rPr>
    </w:lvl>
    <w:lvl w:ilvl="3" w:tplc="81B2121C" w:tentative="1">
      <w:start w:val="1"/>
      <w:numFmt w:val="bullet"/>
      <w:lvlText w:val="•"/>
      <w:lvlJc w:val="left"/>
      <w:pPr>
        <w:tabs>
          <w:tab w:val="num" w:pos="2520"/>
        </w:tabs>
        <w:ind w:left="2520" w:hanging="360"/>
      </w:pPr>
      <w:rPr>
        <w:rFonts w:ascii="Arial" w:hAnsi="Arial" w:hint="default"/>
      </w:rPr>
    </w:lvl>
    <w:lvl w:ilvl="4" w:tplc="26D8711C" w:tentative="1">
      <w:start w:val="1"/>
      <w:numFmt w:val="bullet"/>
      <w:lvlText w:val="•"/>
      <w:lvlJc w:val="left"/>
      <w:pPr>
        <w:tabs>
          <w:tab w:val="num" w:pos="3240"/>
        </w:tabs>
        <w:ind w:left="3240" w:hanging="360"/>
      </w:pPr>
      <w:rPr>
        <w:rFonts w:ascii="Arial" w:hAnsi="Arial" w:hint="default"/>
      </w:rPr>
    </w:lvl>
    <w:lvl w:ilvl="5" w:tplc="E39A383C" w:tentative="1">
      <w:start w:val="1"/>
      <w:numFmt w:val="bullet"/>
      <w:lvlText w:val="•"/>
      <w:lvlJc w:val="left"/>
      <w:pPr>
        <w:tabs>
          <w:tab w:val="num" w:pos="3960"/>
        </w:tabs>
        <w:ind w:left="3960" w:hanging="360"/>
      </w:pPr>
      <w:rPr>
        <w:rFonts w:ascii="Arial" w:hAnsi="Arial" w:hint="default"/>
      </w:rPr>
    </w:lvl>
    <w:lvl w:ilvl="6" w:tplc="B6265C72" w:tentative="1">
      <w:start w:val="1"/>
      <w:numFmt w:val="bullet"/>
      <w:lvlText w:val="•"/>
      <w:lvlJc w:val="left"/>
      <w:pPr>
        <w:tabs>
          <w:tab w:val="num" w:pos="4680"/>
        </w:tabs>
        <w:ind w:left="4680" w:hanging="360"/>
      </w:pPr>
      <w:rPr>
        <w:rFonts w:ascii="Arial" w:hAnsi="Arial" w:hint="default"/>
      </w:rPr>
    </w:lvl>
    <w:lvl w:ilvl="7" w:tplc="162299E0" w:tentative="1">
      <w:start w:val="1"/>
      <w:numFmt w:val="bullet"/>
      <w:lvlText w:val="•"/>
      <w:lvlJc w:val="left"/>
      <w:pPr>
        <w:tabs>
          <w:tab w:val="num" w:pos="5400"/>
        </w:tabs>
        <w:ind w:left="5400" w:hanging="360"/>
      </w:pPr>
      <w:rPr>
        <w:rFonts w:ascii="Arial" w:hAnsi="Arial" w:hint="default"/>
      </w:rPr>
    </w:lvl>
    <w:lvl w:ilvl="8" w:tplc="9D10D86A" w:tentative="1">
      <w:start w:val="1"/>
      <w:numFmt w:val="bullet"/>
      <w:lvlText w:val="•"/>
      <w:lvlJc w:val="left"/>
      <w:pPr>
        <w:tabs>
          <w:tab w:val="num" w:pos="6120"/>
        </w:tabs>
        <w:ind w:left="6120" w:hanging="360"/>
      </w:pPr>
      <w:rPr>
        <w:rFonts w:ascii="Arial" w:hAnsi="Arial" w:hint="default"/>
      </w:rPr>
    </w:lvl>
  </w:abstractNum>
  <w:abstractNum w:abstractNumId="60" w15:restartNumberingAfterBreak="0">
    <w:nsid w:val="729B6CD3"/>
    <w:multiLevelType w:val="hybridMultilevel"/>
    <w:tmpl w:val="3BEACDB6"/>
    <w:lvl w:ilvl="0" w:tplc="3C644332">
      <w:start w:val="8"/>
      <w:numFmt w:val="bullet"/>
      <w:lvlText w:val=""/>
      <w:lvlJc w:val="left"/>
      <w:pPr>
        <w:ind w:left="720" w:hanging="360"/>
      </w:pPr>
      <w:rPr>
        <w:rFonts w:ascii="Symbol" w:eastAsiaTheme="minorHAnsi"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1" w15:restartNumberingAfterBreak="0">
    <w:nsid w:val="73612125"/>
    <w:multiLevelType w:val="hybridMultilevel"/>
    <w:tmpl w:val="5FFE1C82"/>
    <w:lvl w:ilvl="0" w:tplc="08090001">
      <w:start w:val="1"/>
      <w:numFmt w:val="bullet"/>
      <w:lvlText w:val=""/>
      <w:lvlJc w:val="left"/>
      <w:pPr>
        <w:ind w:left="767" w:hanging="360"/>
      </w:pPr>
      <w:rPr>
        <w:rFonts w:ascii="Symbol" w:hAnsi="Symbol" w:hint="default"/>
      </w:rPr>
    </w:lvl>
    <w:lvl w:ilvl="1" w:tplc="0BD2C0A0">
      <w:numFmt w:val="bullet"/>
      <w:lvlText w:val=""/>
      <w:lvlJc w:val="left"/>
      <w:pPr>
        <w:ind w:left="1487" w:hanging="360"/>
      </w:pPr>
      <w:rPr>
        <w:rFonts w:ascii="Wingdings 2" w:eastAsiaTheme="minorHAnsi" w:hAnsi="Wingdings 2" w:cstheme="minorHAnsi"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62" w15:restartNumberingAfterBreak="0">
    <w:nsid w:val="76F96D88"/>
    <w:multiLevelType w:val="multilevel"/>
    <w:tmpl w:val="9270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7415789"/>
    <w:multiLevelType w:val="hybridMultilevel"/>
    <w:tmpl w:val="85FEFB98"/>
    <w:lvl w:ilvl="0" w:tplc="B064800A">
      <w:start w:val="2002"/>
      <w:numFmt w:val="bullet"/>
      <w:lvlText w:val="-"/>
      <w:lvlJc w:val="left"/>
      <w:pPr>
        <w:ind w:left="720" w:hanging="360"/>
      </w:pPr>
      <w:rPr>
        <w:rFonts w:ascii="Aptos" w:eastAsia="Times New Roman" w:hAnsi="Aptos" w:cs="Segoe U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15:restartNumberingAfterBreak="0">
    <w:nsid w:val="778D1C85"/>
    <w:multiLevelType w:val="multilevel"/>
    <w:tmpl w:val="91061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BC20C56"/>
    <w:multiLevelType w:val="multilevel"/>
    <w:tmpl w:val="C36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D213019"/>
    <w:multiLevelType w:val="hybridMultilevel"/>
    <w:tmpl w:val="D1F660E2"/>
    <w:lvl w:ilvl="0" w:tplc="54C8DD7C">
      <w:start w:val="1"/>
      <w:numFmt w:val="bullet"/>
      <w:lvlText w:val="•"/>
      <w:lvlJc w:val="left"/>
      <w:pPr>
        <w:tabs>
          <w:tab w:val="num" w:pos="360"/>
        </w:tabs>
        <w:ind w:left="360" w:hanging="360"/>
      </w:pPr>
      <w:rPr>
        <w:rFonts w:ascii="Arial" w:hAnsi="Arial" w:hint="default"/>
      </w:rPr>
    </w:lvl>
    <w:lvl w:ilvl="1" w:tplc="928A221C" w:tentative="1">
      <w:start w:val="1"/>
      <w:numFmt w:val="bullet"/>
      <w:lvlText w:val="•"/>
      <w:lvlJc w:val="left"/>
      <w:pPr>
        <w:tabs>
          <w:tab w:val="num" w:pos="1080"/>
        </w:tabs>
        <w:ind w:left="1080" w:hanging="360"/>
      </w:pPr>
      <w:rPr>
        <w:rFonts w:ascii="Arial" w:hAnsi="Arial" w:hint="default"/>
      </w:rPr>
    </w:lvl>
    <w:lvl w:ilvl="2" w:tplc="FF2CEE6E" w:tentative="1">
      <w:start w:val="1"/>
      <w:numFmt w:val="bullet"/>
      <w:lvlText w:val="•"/>
      <w:lvlJc w:val="left"/>
      <w:pPr>
        <w:tabs>
          <w:tab w:val="num" w:pos="1800"/>
        </w:tabs>
        <w:ind w:left="1800" w:hanging="360"/>
      </w:pPr>
      <w:rPr>
        <w:rFonts w:ascii="Arial" w:hAnsi="Arial" w:hint="default"/>
      </w:rPr>
    </w:lvl>
    <w:lvl w:ilvl="3" w:tplc="8A9C1AC4" w:tentative="1">
      <w:start w:val="1"/>
      <w:numFmt w:val="bullet"/>
      <w:lvlText w:val="•"/>
      <w:lvlJc w:val="left"/>
      <w:pPr>
        <w:tabs>
          <w:tab w:val="num" w:pos="2520"/>
        </w:tabs>
        <w:ind w:left="2520" w:hanging="360"/>
      </w:pPr>
      <w:rPr>
        <w:rFonts w:ascii="Arial" w:hAnsi="Arial" w:hint="default"/>
      </w:rPr>
    </w:lvl>
    <w:lvl w:ilvl="4" w:tplc="507AB930" w:tentative="1">
      <w:start w:val="1"/>
      <w:numFmt w:val="bullet"/>
      <w:lvlText w:val="•"/>
      <w:lvlJc w:val="left"/>
      <w:pPr>
        <w:tabs>
          <w:tab w:val="num" w:pos="3240"/>
        </w:tabs>
        <w:ind w:left="3240" w:hanging="360"/>
      </w:pPr>
      <w:rPr>
        <w:rFonts w:ascii="Arial" w:hAnsi="Arial" w:hint="default"/>
      </w:rPr>
    </w:lvl>
    <w:lvl w:ilvl="5" w:tplc="04628DC0" w:tentative="1">
      <w:start w:val="1"/>
      <w:numFmt w:val="bullet"/>
      <w:lvlText w:val="•"/>
      <w:lvlJc w:val="left"/>
      <w:pPr>
        <w:tabs>
          <w:tab w:val="num" w:pos="3960"/>
        </w:tabs>
        <w:ind w:left="3960" w:hanging="360"/>
      </w:pPr>
      <w:rPr>
        <w:rFonts w:ascii="Arial" w:hAnsi="Arial" w:hint="default"/>
      </w:rPr>
    </w:lvl>
    <w:lvl w:ilvl="6" w:tplc="65BC6E1A" w:tentative="1">
      <w:start w:val="1"/>
      <w:numFmt w:val="bullet"/>
      <w:lvlText w:val="•"/>
      <w:lvlJc w:val="left"/>
      <w:pPr>
        <w:tabs>
          <w:tab w:val="num" w:pos="4680"/>
        </w:tabs>
        <w:ind w:left="4680" w:hanging="360"/>
      </w:pPr>
      <w:rPr>
        <w:rFonts w:ascii="Arial" w:hAnsi="Arial" w:hint="default"/>
      </w:rPr>
    </w:lvl>
    <w:lvl w:ilvl="7" w:tplc="5D14369A" w:tentative="1">
      <w:start w:val="1"/>
      <w:numFmt w:val="bullet"/>
      <w:lvlText w:val="•"/>
      <w:lvlJc w:val="left"/>
      <w:pPr>
        <w:tabs>
          <w:tab w:val="num" w:pos="5400"/>
        </w:tabs>
        <w:ind w:left="5400" w:hanging="360"/>
      </w:pPr>
      <w:rPr>
        <w:rFonts w:ascii="Arial" w:hAnsi="Arial" w:hint="default"/>
      </w:rPr>
    </w:lvl>
    <w:lvl w:ilvl="8" w:tplc="4230C11A" w:tentative="1">
      <w:start w:val="1"/>
      <w:numFmt w:val="bullet"/>
      <w:lvlText w:val="•"/>
      <w:lvlJc w:val="left"/>
      <w:pPr>
        <w:tabs>
          <w:tab w:val="num" w:pos="6120"/>
        </w:tabs>
        <w:ind w:left="6120" w:hanging="360"/>
      </w:pPr>
      <w:rPr>
        <w:rFonts w:ascii="Arial" w:hAnsi="Arial" w:hint="default"/>
      </w:rPr>
    </w:lvl>
  </w:abstractNum>
  <w:abstractNum w:abstractNumId="67" w15:restartNumberingAfterBreak="0">
    <w:nsid w:val="7F85595A"/>
    <w:multiLevelType w:val="multilevel"/>
    <w:tmpl w:val="5772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04101884">
    <w:abstractNumId w:val="10"/>
  </w:num>
  <w:num w:numId="2" w16cid:durableId="1108937256">
    <w:abstractNumId w:val="8"/>
  </w:num>
  <w:num w:numId="3" w16cid:durableId="988023887">
    <w:abstractNumId w:val="7"/>
  </w:num>
  <w:num w:numId="4" w16cid:durableId="313072198">
    <w:abstractNumId w:val="6"/>
  </w:num>
  <w:num w:numId="5" w16cid:durableId="1325666567">
    <w:abstractNumId w:val="5"/>
  </w:num>
  <w:num w:numId="6" w16cid:durableId="1585872024">
    <w:abstractNumId w:val="9"/>
  </w:num>
  <w:num w:numId="7" w16cid:durableId="288242438">
    <w:abstractNumId w:val="4"/>
  </w:num>
  <w:num w:numId="8" w16cid:durableId="1518739069">
    <w:abstractNumId w:val="3"/>
  </w:num>
  <w:num w:numId="9" w16cid:durableId="1428772360">
    <w:abstractNumId w:val="2"/>
  </w:num>
  <w:num w:numId="10" w16cid:durableId="733621568">
    <w:abstractNumId w:val="1"/>
  </w:num>
  <w:num w:numId="11" w16cid:durableId="307321982">
    <w:abstractNumId w:val="18"/>
  </w:num>
  <w:num w:numId="12" w16cid:durableId="1093160996">
    <w:abstractNumId w:val="11"/>
  </w:num>
  <w:num w:numId="13" w16cid:durableId="859313626">
    <w:abstractNumId w:val="11"/>
    <w:lvlOverride w:ilvl="0">
      <w:startOverride w:val="1"/>
    </w:lvlOverride>
  </w:num>
  <w:num w:numId="14" w16cid:durableId="868177332">
    <w:abstractNumId w:val="7"/>
    <w:lvlOverride w:ilvl="0">
      <w:startOverride w:val="1"/>
    </w:lvlOverride>
  </w:num>
  <w:num w:numId="15" w16cid:durableId="24985436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37753537">
    <w:abstractNumId w:val="28"/>
  </w:num>
  <w:num w:numId="17" w16cid:durableId="1253927260">
    <w:abstractNumId w:val="46"/>
  </w:num>
  <w:num w:numId="18" w16cid:durableId="1911190130">
    <w:abstractNumId w:val="46"/>
  </w:num>
  <w:num w:numId="19" w16cid:durableId="1878808588">
    <w:abstractNumId w:val="46"/>
  </w:num>
  <w:num w:numId="20" w16cid:durableId="57358634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784495933">
    <w:abstractNumId w:val="41"/>
  </w:num>
  <w:num w:numId="22" w16cid:durableId="806506097">
    <w:abstractNumId w:val="22"/>
  </w:num>
  <w:num w:numId="23" w16cid:durableId="378281548">
    <w:abstractNumId w:val="61"/>
  </w:num>
  <w:num w:numId="24" w16cid:durableId="986205920">
    <w:abstractNumId w:val="38"/>
  </w:num>
  <w:num w:numId="25" w16cid:durableId="184952483">
    <w:abstractNumId w:val="42"/>
  </w:num>
  <w:num w:numId="26" w16cid:durableId="1383021805">
    <w:abstractNumId w:val="60"/>
  </w:num>
  <w:num w:numId="27" w16cid:durableId="1875338505">
    <w:abstractNumId w:val="43"/>
  </w:num>
  <w:num w:numId="28" w16cid:durableId="183054283">
    <w:abstractNumId w:val="26"/>
  </w:num>
  <w:num w:numId="29" w16cid:durableId="18822621">
    <w:abstractNumId w:val="20"/>
  </w:num>
  <w:num w:numId="30" w16cid:durableId="1597254365">
    <w:abstractNumId w:val="23"/>
  </w:num>
  <w:num w:numId="31" w16cid:durableId="738552616">
    <w:abstractNumId w:val="33"/>
  </w:num>
  <w:num w:numId="32" w16cid:durableId="1241672722">
    <w:abstractNumId w:val="19"/>
  </w:num>
  <w:num w:numId="33" w16cid:durableId="145752935">
    <w:abstractNumId w:val="51"/>
  </w:num>
  <w:num w:numId="34" w16cid:durableId="1198196349">
    <w:abstractNumId w:val="14"/>
  </w:num>
  <w:num w:numId="35" w16cid:durableId="982543999">
    <w:abstractNumId w:val="39"/>
  </w:num>
  <w:num w:numId="36" w16cid:durableId="839613553">
    <w:abstractNumId w:val="58"/>
  </w:num>
  <w:num w:numId="37" w16cid:durableId="525871722">
    <w:abstractNumId w:val="45"/>
  </w:num>
  <w:num w:numId="38" w16cid:durableId="840512579">
    <w:abstractNumId w:val="31"/>
  </w:num>
  <w:num w:numId="39" w16cid:durableId="122845799">
    <w:abstractNumId w:val="0"/>
  </w:num>
  <w:num w:numId="40" w16cid:durableId="1387221546">
    <w:abstractNumId w:val="17"/>
  </w:num>
  <w:num w:numId="41" w16cid:durableId="1741438396">
    <w:abstractNumId w:val="40"/>
  </w:num>
  <w:num w:numId="42" w16cid:durableId="2014988801">
    <w:abstractNumId w:val="35"/>
  </w:num>
  <w:num w:numId="43" w16cid:durableId="433791827">
    <w:abstractNumId w:val="44"/>
  </w:num>
  <w:num w:numId="44" w16cid:durableId="2069722247">
    <w:abstractNumId w:val="30"/>
  </w:num>
  <w:num w:numId="45" w16cid:durableId="825248867">
    <w:abstractNumId w:val="53"/>
  </w:num>
  <w:num w:numId="46" w16cid:durableId="1394038478">
    <w:abstractNumId w:val="66"/>
  </w:num>
  <w:num w:numId="47" w16cid:durableId="17583700">
    <w:abstractNumId w:val="24"/>
  </w:num>
  <w:num w:numId="48" w16cid:durableId="449280721">
    <w:abstractNumId w:val="55"/>
  </w:num>
  <w:num w:numId="49" w16cid:durableId="1727756477">
    <w:abstractNumId w:val="56"/>
  </w:num>
  <w:num w:numId="50" w16cid:durableId="1792895048">
    <w:abstractNumId w:val="59"/>
  </w:num>
  <w:num w:numId="51" w16cid:durableId="1251620641">
    <w:abstractNumId w:val="36"/>
  </w:num>
  <w:num w:numId="52" w16cid:durableId="1876967552">
    <w:abstractNumId w:val="32"/>
  </w:num>
  <w:num w:numId="53" w16cid:durableId="996765839">
    <w:abstractNumId w:val="54"/>
  </w:num>
  <w:num w:numId="54" w16cid:durableId="60179521">
    <w:abstractNumId w:val="65"/>
  </w:num>
  <w:num w:numId="55" w16cid:durableId="797457034">
    <w:abstractNumId w:val="67"/>
  </w:num>
  <w:num w:numId="56" w16cid:durableId="1807581027">
    <w:abstractNumId w:val="27"/>
  </w:num>
  <w:num w:numId="57" w16cid:durableId="102769658">
    <w:abstractNumId w:val="47"/>
  </w:num>
  <w:num w:numId="58" w16cid:durableId="2052073246">
    <w:abstractNumId w:val="25"/>
  </w:num>
  <w:num w:numId="59" w16cid:durableId="1136950386">
    <w:abstractNumId w:val="52"/>
  </w:num>
  <w:num w:numId="60" w16cid:durableId="1422677883">
    <w:abstractNumId w:val="13"/>
  </w:num>
  <w:num w:numId="61" w16cid:durableId="1609659872">
    <w:abstractNumId w:val="64"/>
  </w:num>
  <w:num w:numId="62" w16cid:durableId="2029521383">
    <w:abstractNumId w:val="15"/>
  </w:num>
  <w:num w:numId="63" w16cid:durableId="797072206">
    <w:abstractNumId w:val="49"/>
  </w:num>
  <w:num w:numId="64" w16cid:durableId="157965783">
    <w:abstractNumId w:val="50"/>
  </w:num>
  <w:num w:numId="65" w16cid:durableId="1638561824">
    <w:abstractNumId w:val="21"/>
  </w:num>
  <w:num w:numId="66" w16cid:durableId="854466809">
    <w:abstractNumId w:val="12"/>
  </w:num>
  <w:num w:numId="67" w16cid:durableId="1833712238">
    <w:abstractNumId w:val="37"/>
  </w:num>
  <w:num w:numId="68" w16cid:durableId="472602672">
    <w:abstractNumId w:val="62"/>
  </w:num>
  <w:num w:numId="69" w16cid:durableId="631790796">
    <w:abstractNumId w:val="29"/>
  </w:num>
  <w:num w:numId="70" w16cid:durableId="1926300643">
    <w:abstractNumId w:val="57"/>
  </w:num>
  <w:num w:numId="71" w16cid:durableId="935479079">
    <w:abstractNumId w:val="16"/>
  </w:num>
  <w:num w:numId="72" w16cid:durableId="94710598">
    <w:abstractNumId w:val="63"/>
  </w:num>
  <w:num w:numId="73" w16cid:durableId="709183433">
    <w:abstractNumId w:val="34"/>
  </w:num>
  <w:num w:numId="74" w16cid:durableId="1911962100">
    <w:abstractNumId w:val="48"/>
  </w:num>
  <w:num w:numId="75" w16cid:durableId="2113697858">
    <w:abstractNumId w:val="4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199B"/>
    <w:rsid w:val="000006BB"/>
    <w:rsid w:val="00000B0B"/>
    <w:rsid w:val="000011B9"/>
    <w:rsid w:val="00001345"/>
    <w:rsid w:val="000014B2"/>
    <w:rsid w:val="0000177E"/>
    <w:rsid w:val="00001A39"/>
    <w:rsid w:val="00001A3A"/>
    <w:rsid w:val="00001AA4"/>
    <w:rsid w:val="00002417"/>
    <w:rsid w:val="0000275C"/>
    <w:rsid w:val="00002896"/>
    <w:rsid w:val="000028B4"/>
    <w:rsid w:val="00002A27"/>
    <w:rsid w:val="00002CBE"/>
    <w:rsid w:val="00002CE2"/>
    <w:rsid w:val="00002D72"/>
    <w:rsid w:val="00002FAF"/>
    <w:rsid w:val="000031FC"/>
    <w:rsid w:val="0000338A"/>
    <w:rsid w:val="00003725"/>
    <w:rsid w:val="00003906"/>
    <w:rsid w:val="000039DF"/>
    <w:rsid w:val="00003A9D"/>
    <w:rsid w:val="00003E2B"/>
    <w:rsid w:val="00003F1F"/>
    <w:rsid w:val="00004167"/>
    <w:rsid w:val="0000455B"/>
    <w:rsid w:val="00004798"/>
    <w:rsid w:val="000051F7"/>
    <w:rsid w:val="00005351"/>
    <w:rsid w:val="000054EB"/>
    <w:rsid w:val="00005578"/>
    <w:rsid w:val="00005AEF"/>
    <w:rsid w:val="00005CC9"/>
    <w:rsid w:val="00005FCA"/>
    <w:rsid w:val="000064A4"/>
    <w:rsid w:val="00006B7D"/>
    <w:rsid w:val="0000731F"/>
    <w:rsid w:val="000077B4"/>
    <w:rsid w:val="00007888"/>
    <w:rsid w:val="000078A0"/>
    <w:rsid w:val="00007940"/>
    <w:rsid w:val="00007ED4"/>
    <w:rsid w:val="0001003B"/>
    <w:rsid w:val="0001044D"/>
    <w:rsid w:val="00010482"/>
    <w:rsid w:val="000106C6"/>
    <w:rsid w:val="000108F7"/>
    <w:rsid w:val="00010CE9"/>
    <w:rsid w:val="00010F91"/>
    <w:rsid w:val="00011580"/>
    <w:rsid w:val="00011A60"/>
    <w:rsid w:val="00011C39"/>
    <w:rsid w:val="00012515"/>
    <w:rsid w:val="00012763"/>
    <w:rsid w:val="00012E85"/>
    <w:rsid w:val="0001351F"/>
    <w:rsid w:val="00013D50"/>
    <w:rsid w:val="00014562"/>
    <w:rsid w:val="00014817"/>
    <w:rsid w:val="000149A5"/>
    <w:rsid w:val="00014AE0"/>
    <w:rsid w:val="00014B7B"/>
    <w:rsid w:val="00014BB1"/>
    <w:rsid w:val="00014F61"/>
    <w:rsid w:val="00015404"/>
    <w:rsid w:val="00015494"/>
    <w:rsid w:val="0001550E"/>
    <w:rsid w:val="000155D9"/>
    <w:rsid w:val="00015815"/>
    <w:rsid w:val="00015890"/>
    <w:rsid w:val="00015E68"/>
    <w:rsid w:val="00015F5D"/>
    <w:rsid w:val="0001625B"/>
    <w:rsid w:val="000162C2"/>
    <w:rsid w:val="000164E1"/>
    <w:rsid w:val="0001664B"/>
    <w:rsid w:val="000169BB"/>
    <w:rsid w:val="000169EB"/>
    <w:rsid w:val="00016C2C"/>
    <w:rsid w:val="00016D73"/>
    <w:rsid w:val="000174FE"/>
    <w:rsid w:val="0001787E"/>
    <w:rsid w:val="00017A6D"/>
    <w:rsid w:val="000201D7"/>
    <w:rsid w:val="000206C9"/>
    <w:rsid w:val="00020970"/>
    <w:rsid w:val="00020A19"/>
    <w:rsid w:val="00021133"/>
    <w:rsid w:val="00021635"/>
    <w:rsid w:val="00021790"/>
    <w:rsid w:val="000218F5"/>
    <w:rsid w:val="00021E06"/>
    <w:rsid w:val="0002247A"/>
    <w:rsid w:val="000224A1"/>
    <w:rsid w:val="000224EA"/>
    <w:rsid w:val="0002274B"/>
    <w:rsid w:val="00022C7B"/>
    <w:rsid w:val="00022D9D"/>
    <w:rsid w:val="00023278"/>
    <w:rsid w:val="00023381"/>
    <w:rsid w:val="0002369C"/>
    <w:rsid w:val="000237CF"/>
    <w:rsid w:val="00023C56"/>
    <w:rsid w:val="0002424F"/>
    <w:rsid w:val="00024388"/>
    <w:rsid w:val="0002458E"/>
    <w:rsid w:val="00024B67"/>
    <w:rsid w:val="000252A5"/>
    <w:rsid w:val="000259DF"/>
    <w:rsid w:val="00025A99"/>
    <w:rsid w:val="00025C4A"/>
    <w:rsid w:val="00025D68"/>
    <w:rsid w:val="00025E06"/>
    <w:rsid w:val="00025F2C"/>
    <w:rsid w:val="00026032"/>
    <w:rsid w:val="00026697"/>
    <w:rsid w:val="000267E1"/>
    <w:rsid w:val="00026960"/>
    <w:rsid w:val="00026A2E"/>
    <w:rsid w:val="00026CE1"/>
    <w:rsid w:val="00026E95"/>
    <w:rsid w:val="00026FD6"/>
    <w:rsid w:val="000271D4"/>
    <w:rsid w:val="000273E8"/>
    <w:rsid w:val="00027458"/>
    <w:rsid w:val="00027569"/>
    <w:rsid w:val="000275F0"/>
    <w:rsid w:val="000277F2"/>
    <w:rsid w:val="00027C2A"/>
    <w:rsid w:val="00027EEE"/>
    <w:rsid w:val="00027F4D"/>
    <w:rsid w:val="0003017E"/>
    <w:rsid w:val="000307E0"/>
    <w:rsid w:val="0003084C"/>
    <w:rsid w:val="00030A30"/>
    <w:rsid w:val="00030BDD"/>
    <w:rsid w:val="00030EBE"/>
    <w:rsid w:val="00031553"/>
    <w:rsid w:val="00031567"/>
    <w:rsid w:val="00031C29"/>
    <w:rsid w:val="000328B5"/>
    <w:rsid w:val="000329D1"/>
    <w:rsid w:val="000329F4"/>
    <w:rsid w:val="00032AFF"/>
    <w:rsid w:val="00032B50"/>
    <w:rsid w:val="00032EA4"/>
    <w:rsid w:val="00033326"/>
    <w:rsid w:val="000334E7"/>
    <w:rsid w:val="000334EC"/>
    <w:rsid w:val="00033575"/>
    <w:rsid w:val="00033A2A"/>
    <w:rsid w:val="00033F81"/>
    <w:rsid w:val="00034397"/>
    <w:rsid w:val="00034445"/>
    <w:rsid w:val="00034799"/>
    <w:rsid w:val="00034AE4"/>
    <w:rsid w:val="00034D08"/>
    <w:rsid w:val="00034D97"/>
    <w:rsid w:val="000357CB"/>
    <w:rsid w:val="00035B25"/>
    <w:rsid w:val="000361B6"/>
    <w:rsid w:val="00036370"/>
    <w:rsid w:val="00036675"/>
    <w:rsid w:val="0003684A"/>
    <w:rsid w:val="00036A09"/>
    <w:rsid w:val="000370A1"/>
    <w:rsid w:val="000376A9"/>
    <w:rsid w:val="0003775A"/>
    <w:rsid w:val="00037BA5"/>
    <w:rsid w:val="00037E55"/>
    <w:rsid w:val="00037E73"/>
    <w:rsid w:val="0004064C"/>
    <w:rsid w:val="000409FE"/>
    <w:rsid w:val="00040AF4"/>
    <w:rsid w:val="00040B24"/>
    <w:rsid w:val="00040CEE"/>
    <w:rsid w:val="00040DE5"/>
    <w:rsid w:val="00040EFE"/>
    <w:rsid w:val="00040F59"/>
    <w:rsid w:val="0004134B"/>
    <w:rsid w:val="000416FB"/>
    <w:rsid w:val="00041763"/>
    <w:rsid w:val="000418A7"/>
    <w:rsid w:val="00042049"/>
    <w:rsid w:val="000422B2"/>
    <w:rsid w:val="000426F1"/>
    <w:rsid w:val="00042BDB"/>
    <w:rsid w:val="00042EFB"/>
    <w:rsid w:val="0004328E"/>
    <w:rsid w:val="000437DB"/>
    <w:rsid w:val="00043872"/>
    <w:rsid w:val="000439B8"/>
    <w:rsid w:val="00043D19"/>
    <w:rsid w:val="00043D86"/>
    <w:rsid w:val="00044098"/>
    <w:rsid w:val="00044287"/>
    <w:rsid w:val="00044307"/>
    <w:rsid w:val="00044351"/>
    <w:rsid w:val="000444DE"/>
    <w:rsid w:val="0004452F"/>
    <w:rsid w:val="000445C6"/>
    <w:rsid w:val="00044659"/>
    <w:rsid w:val="000448F9"/>
    <w:rsid w:val="00044915"/>
    <w:rsid w:val="00044A3C"/>
    <w:rsid w:val="000450A1"/>
    <w:rsid w:val="000454F1"/>
    <w:rsid w:val="00045790"/>
    <w:rsid w:val="0004582A"/>
    <w:rsid w:val="000458E5"/>
    <w:rsid w:val="0004591E"/>
    <w:rsid w:val="000459BD"/>
    <w:rsid w:val="00045B5F"/>
    <w:rsid w:val="00045BC1"/>
    <w:rsid w:val="00045C37"/>
    <w:rsid w:val="00045D18"/>
    <w:rsid w:val="00045D28"/>
    <w:rsid w:val="0004637E"/>
    <w:rsid w:val="00046765"/>
    <w:rsid w:val="00046790"/>
    <w:rsid w:val="000467CF"/>
    <w:rsid w:val="000468AD"/>
    <w:rsid w:val="00046B66"/>
    <w:rsid w:val="00046BE6"/>
    <w:rsid w:val="00046D23"/>
    <w:rsid w:val="00046FB0"/>
    <w:rsid w:val="00047083"/>
    <w:rsid w:val="000470DB"/>
    <w:rsid w:val="0004720C"/>
    <w:rsid w:val="000473D7"/>
    <w:rsid w:val="00047531"/>
    <w:rsid w:val="00047558"/>
    <w:rsid w:val="00047579"/>
    <w:rsid w:val="000476F0"/>
    <w:rsid w:val="00047823"/>
    <w:rsid w:val="000478CC"/>
    <w:rsid w:val="000479B9"/>
    <w:rsid w:val="000479EF"/>
    <w:rsid w:val="00047AFB"/>
    <w:rsid w:val="000500A8"/>
    <w:rsid w:val="000502F9"/>
    <w:rsid w:val="0005037A"/>
    <w:rsid w:val="0005096F"/>
    <w:rsid w:val="00050BD0"/>
    <w:rsid w:val="00050C27"/>
    <w:rsid w:val="00050D3A"/>
    <w:rsid w:val="000514FD"/>
    <w:rsid w:val="00051E7F"/>
    <w:rsid w:val="00051F21"/>
    <w:rsid w:val="0005216D"/>
    <w:rsid w:val="00052213"/>
    <w:rsid w:val="00052577"/>
    <w:rsid w:val="000526F7"/>
    <w:rsid w:val="000528D2"/>
    <w:rsid w:val="00052913"/>
    <w:rsid w:val="00052CDF"/>
    <w:rsid w:val="0005318C"/>
    <w:rsid w:val="000533F8"/>
    <w:rsid w:val="0005340B"/>
    <w:rsid w:val="0005357D"/>
    <w:rsid w:val="000535DE"/>
    <w:rsid w:val="00053746"/>
    <w:rsid w:val="000538DD"/>
    <w:rsid w:val="00053B15"/>
    <w:rsid w:val="00053D45"/>
    <w:rsid w:val="000540CE"/>
    <w:rsid w:val="000544E8"/>
    <w:rsid w:val="000547EE"/>
    <w:rsid w:val="00054B70"/>
    <w:rsid w:val="0005520A"/>
    <w:rsid w:val="000552D0"/>
    <w:rsid w:val="00055B4D"/>
    <w:rsid w:val="00055D6F"/>
    <w:rsid w:val="0005680D"/>
    <w:rsid w:val="00056880"/>
    <w:rsid w:val="00056C68"/>
    <w:rsid w:val="00056F99"/>
    <w:rsid w:val="000574FF"/>
    <w:rsid w:val="00057FA4"/>
    <w:rsid w:val="00057FF4"/>
    <w:rsid w:val="0006045D"/>
    <w:rsid w:val="0006082E"/>
    <w:rsid w:val="0006092B"/>
    <w:rsid w:val="00061AD6"/>
    <w:rsid w:val="00061E3D"/>
    <w:rsid w:val="00062205"/>
    <w:rsid w:val="0006253F"/>
    <w:rsid w:val="00062EFB"/>
    <w:rsid w:val="00063323"/>
    <w:rsid w:val="0006364C"/>
    <w:rsid w:val="000639FD"/>
    <w:rsid w:val="00063BB8"/>
    <w:rsid w:val="00063FC0"/>
    <w:rsid w:val="00064062"/>
    <w:rsid w:val="00064101"/>
    <w:rsid w:val="000644D5"/>
    <w:rsid w:val="00064532"/>
    <w:rsid w:val="0006467B"/>
    <w:rsid w:val="000648F1"/>
    <w:rsid w:val="00064A61"/>
    <w:rsid w:val="000650D5"/>
    <w:rsid w:val="000652D1"/>
    <w:rsid w:val="0006584E"/>
    <w:rsid w:val="000658E0"/>
    <w:rsid w:val="000659DD"/>
    <w:rsid w:val="00065DE8"/>
    <w:rsid w:val="00065E21"/>
    <w:rsid w:val="00065F7F"/>
    <w:rsid w:val="00066257"/>
    <w:rsid w:val="0006666D"/>
    <w:rsid w:val="0006678B"/>
    <w:rsid w:val="00066F40"/>
    <w:rsid w:val="000671BD"/>
    <w:rsid w:val="00067446"/>
    <w:rsid w:val="00067579"/>
    <w:rsid w:val="000679FF"/>
    <w:rsid w:val="00067E5F"/>
    <w:rsid w:val="00070193"/>
    <w:rsid w:val="000702C1"/>
    <w:rsid w:val="00070404"/>
    <w:rsid w:val="00070E6F"/>
    <w:rsid w:val="00070EE7"/>
    <w:rsid w:val="00070F08"/>
    <w:rsid w:val="0007138A"/>
    <w:rsid w:val="00071766"/>
    <w:rsid w:val="00071872"/>
    <w:rsid w:val="00072492"/>
    <w:rsid w:val="00072658"/>
    <w:rsid w:val="00072699"/>
    <w:rsid w:val="00072711"/>
    <w:rsid w:val="00072791"/>
    <w:rsid w:val="00072BE4"/>
    <w:rsid w:val="00072C47"/>
    <w:rsid w:val="000737B5"/>
    <w:rsid w:val="00073D1A"/>
    <w:rsid w:val="000741A3"/>
    <w:rsid w:val="000747C1"/>
    <w:rsid w:val="00074D15"/>
    <w:rsid w:val="0007541D"/>
    <w:rsid w:val="00076036"/>
    <w:rsid w:val="000761C5"/>
    <w:rsid w:val="00076DD8"/>
    <w:rsid w:val="00077106"/>
    <w:rsid w:val="000775BF"/>
    <w:rsid w:val="000775C2"/>
    <w:rsid w:val="00077E69"/>
    <w:rsid w:val="00080138"/>
    <w:rsid w:val="000803BC"/>
    <w:rsid w:val="00080456"/>
    <w:rsid w:val="000806A9"/>
    <w:rsid w:val="00080724"/>
    <w:rsid w:val="000810D7"/>
    <w:rsid w:val="00081560"/>
    <w:rsid w:val="00081C69"/>
    <w:rsid w:val="00081CAB"/>
    <w:rsid w:val="0008223A"/>
    <w:rsid w:val="0008252F"/>
    <w:rsid w:val="0008260B"/>
    <w:rsid w:val="00082F19"/>
    <w:rsid w:val="0008347B"/>
    <w:rsid w:val="00083D08"/>
    <w:rsid w:val="00083FC1"/>
    <w:rsid w:val="0008417C"/>
    <w:rsid w:val="000841B1"/>
    <w:rsid w:val="00084445"/>
    <w:rsid w:val="000844AE"/>
    <w:rsid w:val="00084F2B"/>
    <w:rsid w:val="000857A4"/>
    <w:rsid w:val="00085823"/>
    <w:rsid w:val="00085A28"/>
    <w:rsid w:val="00085AEA"/>
    <w:rsid w:val="00085B93"/>
    <w:rsid w:val="00085C27"/>
    <w:rsid w:val="00085DA0"/>
    <w:rsid w:val="00086007"/>
    <w:rsid w:val="0008629A"/>
    <w:rsid w:val="0008646C"/>
    <w:rsid w:val="00086AC5"/>
    <w:rsid w:val="000876A8"/>
    <w:rsid w:val="00087BB9"/>
    <w:rsid w:val="00087EC1"/>
    <w:rsid w:val="00087FA2"/>
    <w:rsid w:val="000903C0"/>
    <w:rsid w:val="00090618"/>
    <w:rsid w:val="000906AC"/>
    <w:rsid w:val="000907FD"/>
    <w:rsid w:val="00090A5A"/>
    <w:rsid w:val="00090AAC"/>
    <w:rsid w:val="000912DD"/>
    <w:rsid w:val="00091466"/>
    <w:rsid w:val="0009183A"/>
    <w:rsid w:val="00091A43"/>
    <w:rsid w:val="00091ABC"/>
    <w:rsid w:val="00091B33"/>
    <w:rsid w:val="0009208A"/>
    <w:rsid w:val="000920E8"/>
    <w:rsid w:val="000923D5"/>
    <w:rsid w:val="00092482"/>
    <w:rsid w:val="000929E1"/>
    <w:rsid w:val="0009337A"/>
    <w:rsid w:val="000935EC"/>
    <w:rsid w:val="000938A9"/>
    <w:rsid w:val="000938C5"/>
    <w:rsid w:val="00093CBF"/>
    <w:rsid w:val="00093EDA"/>
    <w:rsid w:val="0009407E"/>
    <w:rsid w:val="00094653"/>
    <w:rsid w:val="000948C3"/>
    <w:rsid w:val="000949F8"/>
    <w:rsid w:val="00094BF5"/>
    <w:rsid w:val="00094EFD"/>
    <w:rsid w:val="00095053"/>
    <w:rsid w:val="000953F9"/>
    <w:rsid w:val="000955C5"/>
    <w:rsid w:val="00095775"/>
    <w:rsid w:val="00095B88"/>
    <w:rsid w:val="00095D4B"/>
    <w:rsid w:val="00095E91"/>
    <w:rsid w:val="0009663C"/>
    <w:rsid w:val="000968B0"/>
    <w:rsid w:val="00096EA1"/>
    <w:rsid w:val="0009712C"/>
    <w:rsid w:val="00097287"/>
    <w:rsid w:val="0009749A"/>
    <w:rsid w:val="000976AF"/>
    <w:rsid w:val="0009787C"/>
    <w:rsid w:val="00097B69"/>
    <w:rsid w:val="00097B8E"/>
    <w:rsid w:val="00097E47"/>
    <w:rsid w:val="000A0206"/>
    <w:rsid w:val="000A08D5"/>
    <w:rsid w:val="000A11D8"/>
    <w:rsid w:val="000A1372"/>
    <w:rsid w:val="000A15B8"/>
    <w:rsid w:val="000A1ABE"/>
    <w:rsid w:val="000A1DF1"/>
    <w:rsid w:val="000A202E"/>
    <w:rsid w:val="000A27FF"/>
    <w:rsid w:val="000A2FBE"/>
    <w:rsid w:val="000A313B"/>
    <w:rsid w:val="000A32A3"/>
    <w:rsid w:val="000A34D2"/>
    <w:rsid w:val="000A3569"/>
    <w:rsid w:val="000A3D03"/>
    <w:rsid w:val="000A3F88"/>
    <w:rsid w:val="000A4144"/>
    <w:rsid w:val="000A44E3"/>
    <w:rsid w:val="000A4948"/>
    <w:rsid w:val="000A4C46"/>
    <w:rsid w:val="000A4D1F"/>
    <w:rsid w:val="000A4E82"/>
    <w:rsid w:val="000A4F85"/>
    <w:rsid w:val="000A5005"/>
    <w:rsid w:val="000A519C"/>
    <w:rsid w:val="000A5518"/>
    <w:rsid w:val="000A586D"/>
    <w:rsid w:val="000A5A0B"/>
    <w:rsid w:val="000A5ABC"/>
    <w:rsid w:val="000A6008"/>
    <w:rsid w:val="000A6539"/>
    <w:rsid w:val="000A6635"/>
    <w:rsid w:val="000A66FB"/>
    <w:rsid w:val="000A6ABE"/>
    <w:rsid w:val="000A6DF4"/>
    <w:rsid w:val="000A6E2F"/>
    <w:rsid w:val="000A7259"/>
    <w:rsid w:val="000A7657"/>
    <w:rsid w:val="000B029C"/>
    <w:rsid w:val="000B048E"/>
    <w:rsid w:val="000B0626"/>
    <w:rsid w:val="000B09DA"/>
    <w:rsid w:val="000B0AF0"/>
    <w:rsid w:val="000B0E08"/>
    <w:rsid w:val="000B10E7"/>
    <w:rsid w:val="000B1143"/>
    <w:rsid w:val="000B1248"/>
    <w:rsid w:val="000B136A"/>
    <w:rsid w:val="000B17B5"/>
    <w:rsid w:val="000B18F8"/>
    <w:rsid w:val="000B1BFB"/>
    <w:rsid w:val="000B1D4A"/>
    <w:rsid w:val="000B1FC5"/>
    <w:rsid w:val="000B229F"/>
    <w:rsid w:val="000B2721"/>
    <w:rsid w:val="000B284B"/>
    <w:rsid w:val="000B2907"/>
    <w:rsid w:val="000B313B"/>
    <w:rsid w:val="000B3C64"/>
    <w:rsid w:val="000B41F6"/>
    <w:rsid w:val="000B4490"/>
    <w:rsid w:val="000B460E"/>
    <w:rsid w:val="000B49FD"/>
    <w:rsid w:val="000B5594"/>
    <w:rsid w:val="000B5676"/>
    <w:rsid w:val="000B59EC"/>
    <w:rsid w:val="000B60CF"/>
    <w:rsid w:val="000B6646"/>
    <w:rsid w:val="000B6E95"/>
    <w:rsid w:val="000B7A61"/>
    <w:rsid w:val="000B7E39"/>
    <w:rsid w:val="000B7E47"/>
    <w:rsid w:val="000B7F4A"/>
    <w:rsid w:val="000C0215"/>
    <w:rsid w:val="000C0298"/>
    <w:rsid w:val="000C047A"/>
    <w:rsid w:val="000C05DF"/>
    <w:rsid w:val="000C0976"/>
    <w:rsid w:val="000C0C83"/>
    <w:rsid w:val="000C12B9"/>
    <w:rsid w:val="000C12D7"/>
    <w:rsid w:val="000C14B4"/>
    <w:rsid w:val="000C1773"/>
    <w:rsid w:val="000C183C"/>
    <w:rsid w:val="000C1901"/>
    <w:rsid w:val="000C1C87"/>
    <w:rsid w:val="000C25FF"/>
    <w:rsid w:val="000C28B8"/>
    <w:rsid w:val="000C2B06"/>
    <w:rsid w:val="000C2F2A"/>
    <w:rsid w:val="000C317F"/>
    <w:rsid w:val="000C3C99"/>
    <w:rsid w:val="000C40CA"/>
    <w:rsid w:val="000C46C8"/>
    <w:rsid w:val="000C479E"/>
    <w:rsid w:val="000C47A8"/>
    <w:rsid w:val="000C480D"/>
    <w:rsid w:val="000C4852"/>
    <w:rsid w:val="000C4AC3"/>
    <w:rsid w:val="000C4CB0"/>
    <w:rsid w:val="000C4F0E"/>
    <w:rsid w:val="000C5005"/>
    <w:rsid w:val="000C5032"/>
    <w:rsid w:val="000C5332"/>
    <w:rsid w:val="000C573F"/>
    <w:rsid w:val="000C5A11"/>
    <w:rsid w:val="000C5B3D"/>
    <w:rsid w:val="000C5DC6"/>
    <w:rsid w:val="000C6330"/>
    <w:rsid w:val="000C657D"/>
    <w:rsid w:val="000C679C"/>
    <w:rsid w:val="000C6BCC"/>
    <w:rsid w:val="000C6C49"/>
    <w:rsid w:val="000C7339"/>
    <w:rsid w:val="000C7854"/>
    <w:rsid w:val="000C7BAD"/>
    <w:rsid w:val="000D06AD"/>
    <w:rsid w:val="000D13C6"/>
    <w:rsid w:val="000D15A9"/>
    <w:rsid w:val="000D1749"/>
    <w:rsid w:val="000D176F"/>
    <w:rsid w:val="000D1B48"/>
    <w:rsid w:val="000D1DB6"/>
    <w:rsid w:val="000D2202"/>
    <w:rsid w:val="000D2449"/>
    <w:rsid w:val="000D2736"/>
    <w:rsid w:val="000D306B"/>
    <w:rsid w:val="000D3257"/>
    <w:rsid w:val="000D33B2"/>
    <w:rsid w:val="000D3810"/>
    <w:rsid w:val="000D3E9B"/>
    <w:rsid w:val="000D3F3B"/>
    <w:rsid w:val="000D4618"/>
    <w:rsid w:val="000D4EE9"/>
    <w:rsid w:val="000D4EF0"/>
    <w:rsid w:val="000D4F15"/>
    <w:rsid w:val="000D4F17"/>
    <w:rsid w:val="000D4FAB"/>
    <w:rsid w:val="000D4FCB"/>
    <w:rsid w:val="000D52DB"/>
    <w:rsid w:val="000D546E"/>
    <w:rsid w:val="000D54B1"/>
    <w:rsid w:val="000D5625"/>
    <w:rsid w:val="000D5993"/>
    <w:rsid w:val="000D5B0F"/>
    <w:rsid w:val="000D609F"/>
    <w:rsid w:val="000D62D6"/>
    <w:rsid w:val="000D67A9"/>
    <w:rsid w:val="000D6BEF"/>
    <w:rsid w:val="000D6F6C"/>
    <w:rsid w:val="000D7003"/>
    <w:rsid w:val="000D775F"/>
    <w:rsid w:val="000D78B3"/>
    <w:rsid w:val="000D78B7"/>
    <w:rsid w:val="000D78CA"/>
    <w:rsid w:val="000D7AAC"/>
    <w:rsid w:val="000E0006"/>
    <w:rsid w:val="000E08FA"/>
    <w:rsid w:val="000E0939"/>
    <w:rsid w:val="000E093C"/>
    <w:rsid w:val="000E0C1A"/>
    <w:rsid w:val="000E0CFF"/>
    <w:rsid w:val="000E11DE"/>
    <w:rsid w:val="000E1211"/>
    <w:rsid w:val="000E13C2"/>
    <w:rsid w:val="000E1BD2"/>
    <w:rsid w:val="000E202C"/>
    <w:rsid w:val="000E2401"/>
    <w:rsid w:val="000E281C"/>
    <w:rsid w:val="000E2910"/>
    <w:rsid w:val="000E29D5"/>
    <w:rsid w:val="000E2B94"/>
    <w:rsid w:val="000E2D53"/>
    <w:rsid w:val="000E308D"/>
    <w:rsid w:val="000E331C"/>
    <w:rsid w:val="000E3342"/>
    <w:rsid w:val="000E352B"/>
    <w:rsid w:val="000E368C"/>
    <w:rsid w:val="000E3711"/>
    <w:rsid w:val="000E39A1"/>
    <w:rsid w:val="000E3AB2"/>
    <w:rsid w:val="000E3D35"/>
    <w:rsid w:val="000E40A4"/>
    <w:rsid w:val="000E46AC"/>
    <w:rsid w:val="000E4AFC"/>
    <w:rsid w:val="000E4B45"/>
    <w:rsid w:val="000E4CD8"/>
    <w:rsid w:val="000E4E91"/>
    <w:rsid w:val="000E5A36"/>
    <w:rsid w:val="000E5C39"/>
    <w:rsid w:val="000E5DC3"/>
    <w:rsid w:val="000E5ECD"/>
    <w:rsid w:val="000E60F0"/>
    <w:rsid w:val="000E6270"/>
    <w:rsid w:val="000E67B2"/>
    <w:rsid w:val="000E6B77"/>
    <w:rsid w:val="000E7138"/>
    <w:rsid w:val="000E746C"/>
    <w:rsid w:val="000E76BF"/>
    <w:rsid w:val="000E7A3E"/>
    <w:rsid w:val="000E7B7A"/>
    <w:rsid w:val="000E7B85"/>
    <w:rsid w:val="000E7E24"/>
    <w:rsid w:val="000E7FFA"/>
    <w:rsid w:val="000F01E5"/>
    <w:rsid w:val="000F0433"/>
    <w:rsid w:val="000F086C"/>
    <w:rsid w:val="000F0A67"/>
    <w:rsid w:val="000F0D92"/>
    <w:rsid w:val="000F1670"/>
    <w:rsid w:val="000F1914"/>
    <w:rsid w:val="000F1E87"/>
    <w:rsid w:val="000F2058"/>
    <w:rsid w:val="000F222F"/>
    <w:rsid w:val="000F228B"/>
    <w:rsid w:val="000F2BF9"/>
    <w:rsid w:val="000F2C23"/>
    <w:rsid w:val="000F2EC9"/>
    <w:rsid w:val="000F3B5E"/>
    <w:rsid w:val="000F3E02"/>
    <w:rsid w:val="000F49EC"/>
    <w:rsid w:val="000F4A48"/>
    <w:rsid w:val="000F4DE0"/>
    <w:rsid w:val="000F523B"/>
    <w:rsid w:val="000F57AF"/>
    <w:rsid w:val="000F6055"/>
    <w:rsid w:val="000F67B3"/>
    <w:rsid w:val="000F6B87"/>
    <w:rsid w:val="000F6BA2"/>
    <w:rsid w:val="000F70AE"/>
    <w:rsid w:val="000F72C3"/>
    <w:rsid w:val="000F74D3"/>
    <w:rsid w:val="000F7A5A"/>
    <w:rsid w:val="000F7CA2"/>
    <w:rsid w:val="000F7CE8"/>
    <w:rsid w:val="001000E5"/>
    <w:rsid w:val="001008FD"/>
    <w:rsid w:val="00100965"/>
    <w:rsid w:val="00101419"/>
    <w:rsid w:val="00101452"/>
    <w:rsid w:val="00101996"/>
    <w:rsid w:val="00101D50"/>
    <w:rsid w:val="00101E95"/>
    <w:rsid w:val="0010212A"/>
    <w:rsid w:val="00102B3B"/>
    <w:rsid w:val="00102F56"/>
    <w:rsid w:val="001035C4"/>
    <w:rsid w:val="0010376E"/>
    <w:rsid w:val="00103DCA"/>
    <w:rsid w:val="00104600"/>
    <w:rsid w:val="00104AF8"/>
    <w:rsid w:val="00104FBE"/>
    <w:rsid w:val="00105067"/>
    <w:rsid w:val="001052A3"/>
    <w:rsid w:val="001053E2"/>
    <w:rsid w:val="00105611"/>
    <w:rsid w:val="00105954"/>
    <w:rsid w:val="001059DC"/>
    <w:rsid w:val="00105B3E"/>
    <w:rsid w:val="00105D22"/>
    <w:rsid w:val="00105DAD"/>
    <w:rsid w:val="00105DB3"/>
    <w:rsid w:val="00105E35"/>
    <w:rsid w:val="00105F10"/>
    <w:rsid w:val="00106C82"/>
    <w:rsid w:val="00106EBF"/>
    <w:rsid w:val="0010722E"/>
    <w:rsid w:val="00107F3A"/>
    <w:rsid w:val="001102A8"/>
    <w:rsid w:val="0011058C"/>
    <w:rsid w:val="0011073F"/>
    <w:rsid w:val="00110765"/>
    <w:rsid w:val="001109FA"/>
    <w:rsid w:val="00110AD1"/>
    <w:rsid w:val="00111346"/>
    <w:rsid w:val="0011147C"/>
    <w:rsid w:val="001122CA"/>
    <w:rsid w:val="0011255C"/>
    <w:rsid w:val="00112788"/>
    <w:rsid w:val="00112A57"/>
    <w:rsid w:val="00112CDB"/>
    <w:rsid w:val="00112D86"/>
    <w:rsid w:val="00112E66"/>
    <w:rsid w:val="00113096"/>
    <w:rsid w:val="001130F2"/>
    <w:rsid w:val="001132C9"/>
    <w:rsid w:val="001139A1"/>
    <w:rsid w:val="001140CC"/>
    <w:rsid w:val="00114669"/>
    <w:rsid w:val="00114C10"/>
    <w:rsid w:val="00114C37"/>
    <w:rsid w:val="00114FD3"/>
    <w:rsid w:val="0011504D"/>
    <w:rsid w:val="00115195"/>
    <w:rsid w:val="00115275"/>
    <w:rsid w:val="00115E00"/>
    <w:rsid w:val="001163CD"/>
    <w:rsid w:val="00116569"/>
    <w:rsid w:val="001168AD"/>
    <w:rsid w:val="00116C8B"/>
    <w:rsid w:val="001170EA"/>
    <w:rsid w:val="00117487"/>
    <w:rsid w:val="00117B3D"/>
    <w:rsid w:val="00117D7F"/>
    <w:rsid w:val="00117F9A"/>
    <w:rsid w:val="00120064"/>
    <w:rsid w:val="00120566"/>
    <w:rsid w:val="00120BAE"/>
    <w:rsid w:val="00120DA3"/>
    <w:rsid w:val="00120DCE"/>
    <w:rsid w:val="00121409"/>
    <w:rsid w:val="00121457"/>
    <w:rsid w:val="001217E9"/>
    <w:rsid w:val="00121FE0"/>
    <w:rsid w:val="0012211B"/>
    <w:rsid w:val="0012228A"/>
    <w:rsid w:val="00122427"/>
    <w:rsid w:val="00122449"/>
    <w:rsid w:val="00122788"/>
    <w:rsid w:val="0012290A"/>
    <w:rsid w:val="00122ADB"/>
    <w:rsid w:val="00123A31"/>
    <w:rsid w:val="00123B52"/>
    <w:rsid w:val="00123B8C"/>
    <w:rsid w:val="00123EC3"/>
    <w:rsid w:val="00125AD1"/>
    <w:rsid w:val="00125AEC"/>
    <w:rsid w:val="00125EBC"/>
    <w:rsid w:val="0012661B"/>
    <w:rsid w:val="001267A9"/>
    <w:rsid w:val="00126A4F"/>
    <w:rsid w:val="001270FF"/>
    <w:rsid w:val="00127AEF"/>
    <w:rsid w:val="00127C5F"/>
    <w:rsid w:val="00127F64"/>
    <w:rsid w:val="00127F71"/>
    <w:rsid w:val="00130188"/>
    <w:rsid w:val="001301C1"/>
    <w:rsid w:val="001302A9"/>
    <w:rsid w:val="001305B3"/>
    <w:rsid w:val="00130666"/>
    <w:rsid w:val="00130751"/>
    <w:rsid w:val="001308E2"/>
    <w:rsid w:val="001309E4"/>
    <w:rsid w:val="00130D01"/>
    <w:rsid w:val="00130F1C"/>
    <w:rsid w:val="00130F2A"/>
    <w:rsid w:val="00131011"/>
    <w:rsid w:val="001315A7"/>
    <w:rsid w:val="0013161B"/>
    <w:rsid w:val="0013163E"/>
    <w:rsid w:val="00131DA0"/>
    <w:rsid w:val="00131E5B"/>
    <w:rsid w:val="001321FB"/>
    <w:rsid w:val="001323D7"/>
    <w:rsid w:val="00132CC5"/>
    <w:rsid w:val="00133415"/>
    <w:rsid w:val="001335D2"/>
    <w:rsid w:val="00135087"/>
    <w:rsid w:val="00135263"/>
    <w:rsid w:val="0013539E"/>
    <w:rsid w:val="0013547C"/>
    <w:rsid w:val="00135D8D"/>
    <w:rsid w:val="00135FB3"/>
    <w:rsid w:val="0013602C"/>
    <w:rsid w:val="0013609E"/>
    <w:rsid w:val="00136DAF"/>
    <w:rsid w:val="00137077"/>
    <w:rsid w:val="00137087"/>
    <w:rsid w:val="0013723C"/>
    <w:rsid w:val="001372A4"/>
    <w:rsid w:val="001373EB"/>
    <w:rsid w:val="00137900"/>
    <w:rsid w:val="00137B3D"/>
    <w:rsid w:val="00137CB5"/>
    <w:rsid w:val="001405E7"/>
    <w:rsid w:val="00140B20"/>
    <w:rsid w:val="00140C7C"/>
    <w:rsid w:val="00140CDA"/>
    <w:rsid w:val="00140D0E"/>
    <w:rsid w:val="00141146"/>
    <w:rsid w:val="00141230"/>
    <w:rsid w:val="0014123A"/>
    <w:rsid w:val="0014130E"/>
    <w:rsid w:val="00141573"/>
    <w:rsid w:val="00141C0D"/>
    <w:rsid w:val="00141CE1"/>
    <w:rsid w:val="00142CC2"/>
    <w:rsid w:val="001431B3"/>
    <w:rsid w:val="00143335"/>
    <w:rsid w:val="0014357D"/>
    <w:rsid w:val="001436D5"/>
    <w:rsid w:val="00143761"/>
    <w:rsid w:val="00143CF0"/>
    <w:rsid w:val="00143EA2"/>
    <w:rsid w:val="00143FE7"/>
    <w:rsid w:val="00144327"/>
    <w:rsid w:val="001457DC"/>
    <w:rsid w:val="00145B0E"/>
    <w:rsid w:val="00145DF6"/>
    <w:rsid w:val="00145F40"/>
    <w:rsid w:val="00145FBE"/>
    <w:rsid w:val="00146814"/>
    <w:rsid w:val="001469B3"/>
    <w:rsid w:val="00146AA2"/>
    <w:rsid w:val="00146C6C"/>
    <w:rsid w:val="00146ED1"/>
    <w:rsid w:val="00147748"/>
    <w:rsid w:val="00147883"/>
    <w:rsid w:val="00147C7A"/>
    <w:rsid w:val="00147E25"/>
    <w:rsid w:val="00150047"/>
    <w:rsid w:val="00150249"/>
    <w:rsid w:val="001502F7"/>
    <w:rsid w:val="0015043B"/>
    <w:rsid w:val="00150470"/>
    <w:rsid w:val="001504F5"/>
    <w:rsid w:val="00150508"/>
    <w:rsid w:val="00150581"/>
    <w:rsid w:val="00150B84"/>
    <w:rsid w:val="00150D96"/>
    <w:rsid w:val="00150F49"/>
    <w:rsid w:val="00150F75"/>
    <w:rsid w:val="001511A9"/>
    <w:rsid w:val="0015173F"/>
    <w:rsid w:val="00151AC4"/>
    <w:rsid w:val="00151FD0"/>
    <w:rsid w:val="001520E7"/>
    <w:rsid w:val="0015218F"/>
    <w:rsid w:val="00152860"/>
    <w:rsid w:val="0015292A"/>
    <w:rsid w:val="0015379A"/>
    <w:rsid w:val="0015383B"/>
    <w:rsid w:val="00153A93"/>
    <w:rsid w:val="00153CC7"/>
    <w:rsid w:val="00154829"/>
    <w:rsid w:val="0015577A"/>
    <w:rsid w:val="001557DB"/>
    <w:rsid w:val="001566B5"/>
    <w:rsid w:val="0015671C"/>
    <w:rsid w:val="0015685D"/>
    <w:rsid w:val="00156879"/>
    <w:rsid w:val="00156B58"/>
    <w:rsid w:val="00156FEF"/>
    <w:rsid w:val="00157039"/>
    <w:rsid w:val="001574EE"/>
    <w:rsid w:val="00160076"/>
    <w:rsid w:val="0016017E"/>
    <w:rsid w:val="001605AE"/>
    <w:rsid w:val="00160BE3"/>
    <w:rsid w:val="00160EDC"/>
    <w:rsid w:val="00161372"/>
    <w:rsid w:val="001616E4"/>
    <w:rsid w:val="001618CA"/>
    <w:rsid w:val="001618F6"/>
    <w:rsid w:val="00161BEA"/>
    <w:rsid w:val="00161F3C"/>
    <w:rsid w:val="001623A1"/>
    <w:rsid w:val="00162AE8"/>
    <w:rsid w:val="0016315A"/>
    <w:rsid w:val="001632CB"/>
    <w:rsid w:val="00163B67"/>
    <w:rsid w:val="001640F2"/>
    <w:rsid w:val="0016429A"/>
    <w:rsid w:val="00164646"/>
    <w:rsid w:val="00164896"/>
    <w:rsid w:val="001654C8"/>
    <w:rsid w:val="001656E5"/>
    <w:rsid w:val="00165762"/>
    <w:rsid w:val="0016577B"/>
    <w:rsid w:val="00165872"/>
    <w:rsid w:val="00165E0B"/>
    <w:rsid w:val="00166114"/>
    <w:rsid w:val="001661CF"/>
    <w:rsid w:val="00166529"/>
    <w:rsid w:val="00166752"/>
    <w:rsid w:val="00166BAB"/>
    <w:rsid w:val="00166BEE"/>
    <w:rsid w:val="00166E16"/>
    <w:rsid w:val="00166E77"/>
    <w:rsid w:val="0016709E"/>
    <w:rsid w:val="0016716E"/>
    <w:rsid w:val="00167B51"/>
    <w:rsid w:val="00170B8A"/>
    <w:rsid w:val="001710CA"/>
    <w:rsid w:val="0017156A"/>
    <w:rsid w:val="00171858"/>
    <w:rsid w:val="00171A43"/>
    <w:rsid w:val="00171DDC"/>
    <w:rsid w:val="0017211B"/>
    <w:rsid w:val="00172213"/>
    <w:rsid w:val="00172756"/>
    <w:rsid w:val="00172B00"/>
    <w:rsid w:val="001730F6"/>
    <w:rsid w:val="00173176"/>
    <w:rsid w:val="0017328F"/>
    <w:rsid w:val="001735A5"/>
    <w:rsid w:val="0017373F"/>
    <w:rsid w:val="00173D4D"/>
    <w:rsid w:val="00174184"/>
    <w:rsid w:val="00174472"/>
    <w:rsid w:val="00174690"/>
    <w:rsid w:val="00174857"/>
    <w:rsid w:val="0017490A"/>
    <w:rsid w:val="001749B3"/>
    <w:rsid w:val="00174F67"/>
    <w:rsid w:val="00175099"/>
    <w:rsid w:val="00175194"/>
    <w:rsid w:val="001751BF"/>
    <w:rsid w:val="001754E0"/>
    <w:rsid w:val="0017558A"/>
    <w:rsid w:val="0017584C"/>
    <w:rsid w:val="00175941"/>
    <w:rsid w:val="00175CD9"/>
    <w:rsid w:val="00175D7B"/>
    <w:rsid w:val="001763A0"/>
    <w:rsid w:val="0017656D"/>
    <w:rsid w:val="00176573"/>
    <w:rsid w:val="001765C1"/>
    <w:rsid w:val="001766FB"/>
    <w:rsid w:val="001767EB"/>
    <w:rsid w:val="00176A95"/>
    <w:rsid w:val="00176B71"/>
    <w:rsid w:val="00176C90"/>
    <w:rsid w:val="00176F30"/>
    <w:rsid w:val="001773D3"/>
    <w:rsid w:val="00177B5C"/>
    <w:rsid w:val="00177CD7"/>
    <w:rsid w:val="00177E91"/>
    <w:rsid w:val="00180161"/>
    <w:rsid w:val="001801A7"/>
    <w:rsid w:val="001803B7"/>
    <w:rsid w:val="00180952"/>
    <w:rsid w:val="00180E12"/>
    <w:rsid w:val="00181180"/>
    <w:rsid w:val="00181350"/>
    <w:rsid w:val="00181377"/>
    <w:rsid w:val="001818CD"/>
    <w:rsid w:val="001820F1"/>
    <w:rsid w:val="001826DF"/>
    <w:rsid w:val="001827A9"/>
    <w:rsid w:val="00182B09"/>
    <w:rsid w:val="00183433"/>
    <w:rsid w:val="001834D6"/>
    <w:rsid w:val="001834F4"/>
    <w:rsid w:val="001834F9"/>
    <w:rsid w:val="0018353A"/>
    <w:rsid w:val="001839F2"/>
    <w:rsid w:val="00183B4E"/>
    <w:rsid w:val="00183F3A"/>
    <w:rsid w:val="00183F6B"/>
    <w:rsid w:val="00184084"/>
    <w:rsid w:val="0018473D"/>
    <w:rsid w:val="0018475F"/>
    <w:rsid w:val="00184B08"/>
    <w:rsid w:val="00185094"/>
    <w:rsid w:val="0018514F"/>
    <w:rsid w:val="00185BCD"/>
    <w:rsid w:val="00186527"/>
    <w:rsid w:val="00186654"/>
    <w:rsid w:val="00186A15"/>
    <w:rsid w:val="00186DAD"/>
    <w:rsid w:val="0018739A"/>
    <w:rsid w:val="001874F0"/>
    <w:rsid w:val="00187723"/>
    <w:rsid w:val="00187789"/>
    <w:rsid w:val="00187989"/>
    <w:rsid w:val="00187E72"/>
    <w:rsid w:val="001901C1"/>
    <w:rsid w:val="00190297"/>
    <w:rsid w:val="0019098E"/>
    <w:rsid w:val="00191105"/>
    <w:rsid w:val="001915A6"/>
    <w:rsid w:val="00191F7C"/>
    <w:rsid w:val="001923DD"/>
    <w:rsid w:val="0019276F"/>
    <w:rsid w:val="001927D6"/>
    <w:rsid w:val="00192830"/>
    <w:rsid w:val="00192B13"/>
    <w:rsid w:val="0019338F"/>
    <w:rsid w:val="001934DE"/>
    <w:rsid w:val="001940EE"/>
    <w:rsid w:val="00194299"/>
    <w:rsid w:val="00194A4B"/>
    <w:rsid w:val="00194C9D"/>
    <w:rsid w:val="001950CF"/>
    <w:rsid w:val="0019542A"/>
    <w:rsid w:val="00195A82"/>
    <w:rsid w:val="00195A93"/>
    <w:rsid w:val="00195B4C"/>
    <w:rsid w:val="0019683F"/>
    <w:rsid w:val="00196912"/>
    <w:rsid w:val="00196ADC"/>
    <w:rsid w:val="00196D55"/>
    <w:rsid w:val="0019711E"/>
    <w:rsid w:val="0019774D"/>
    <w:rsid w:val="00197860"/>
    <w:rsid w:val="00197F5D"/>
    <w:rsid w:val="001A00C3"/>
    <w:rsid w:val="001A02F8"/>
    <w:rsid w:val="001A0664"/>
    <w:rsid w:val="001A0C07"/>
    <w:rsid w:val="001A0C9A"/>
    <w:rsid w:val="001A1895"/>
    <w:rsid w:val="001A1964"/>
    <w:rsid w:val="001A20D1"/>
    <w:rsid w:val="001A20EA"/>
    <w:rsid w:val="001A21AC"/>
    <w:rsid w:val="001A21FD"/>
    <w:rsid w:val="001A2366"/>
    <w:rsid w:val="001A23A1"/>
    <w:rsid w:val="001A24FA"/>
    <w:rsid w:val="001A267E"/>
    <w:rsid w:val="001A26C1"/>
    <w:rsid w:val="001A29B3"/>
    <w:rsid w:val="001A2A2A"/>
    <w:rsid w:val="001A2C77"/>
    <w:rsid w:val="001A2D36"/>
    <w:rsid w:val="001A326C"/>
    <w:rsid w:val="001A3B47"/>
    <w:rsid w:val="001A3E39"/>
    <w:rsid w:val="001A4064"/>
    <w:rsid w:val="001A49D9"/>
    <w:rsid w:val="001A4D1E"/>
    <w:rsid w:val="001A4DA5"/>
    <w:rsid w:val="001A5211"/>
    <w:rsid w:val="001A5678"/>
    <w:rsid w:val="001A587E"/>
    <w:rsid w:val="001A5CF0"/>
    <w:rsid w:val="001A5D5D"/>
    <w:rsid w:val="001A5ED6"/>
    <w:rsid w:val="001A619B"/>
    <w:rsid w:val="001A6251"/>
    <w:rsid w:val="001A6666"/>
    <w:rsid w:val="001A669E"/>
    <w:rsid w:val="001A68D0"/>
    <w:rsid w:val="001A6D4F"/>
    <w:rsid w:val="001A6E08"/>
    <w:rsid w:val="001A712B"/>
    <w:rsid w:val="001A721F"/>
    <w:rsid w:val="001A7330"/>
    <w:rsid w:val="001A73DB"/>
    <w:rsid w:val="001A757B"/>
    <w:rsid w:val="001A79E6"/>
    <w:rsid w:val="001A7CA3"/>
    <w:rsid w:val="001B028A"/>
    <w:rsid w:val="001B0338"/>
    <w:rsid w:val="001B04E5"/>
    <w:rsid w:val="001B05FF"/>
    <w:rsid w:val="001B0B47"/>
    <w:rsid w:val="001B0E22"/>
    <w:rsid w:val="001B156E"/>
    <w:rsid w:val="001B196C"/>
    <w:rsid w:val="001B1BF7"/>
    <w:rsid w:val="001B1EE1"/>
    <w:rsid w:val="001B1F07"/>
    <w:rsid w:val="001B2707"/>
    <w:rsid w:val="001B282F"/>
    <w:rsid w:val="001B2DB6"/>
    <w:rsid w:val="001B3475"/>
    <w:rsid w:val="001B3799"/>
    <w:rsid w:val="001B4151"/>
    <w:rsid w:val="001B44A6"/>
    <w:rsid w:val="001B468C"/>
    <w:rsid w:val="001B47BC"/>
    <w:rsid w:val="001B4C39"/>
    <w:rsid w:val="001B4C3D"/>
    <w:rsid w:val="001B5177"/>
    <w:rsid w:val="001B52CB"/>
    <w:rsid w:val="001B5702"/>
    <w:rsid w:val="001B5B3A"/>
    <w:rsid w:val="001B5C88"/>
    <w:rsid w:val="001B6420"/>
    <w:rsid w:val="001B65C0"/>
    <w:rsid w:val="001B6BA8"/>
    <w:rsid w:val="001B708F"/>
    <w:rsid w:val="001B7284"/>
    <w:rsid w:val="001B743F"/>
    <w:rsid w:val="001B7B80"/>
    <w:rsid w:val="001C0422"/>
    <w:rsid w:val="001C0462"/>
    <w:rsid w:val="001C0BBD"/>
    <w:rsid w:val="001C14F9"/>
    <w:rsid w:val="001C1639"/>
    <w:rsid w:val="001C16A2"/>
    <w:rsid w:val="001C1DEC"/>
    <w:rsid w:val="001C1E73"/>
    <w:rsid w:val="001C20C5"/>
    <w:rsid w:val="001C211D"/>
    <w:rsid w:val="001C21F5"/>
    <w:rsid w:val="001C231B"/>
    <w:rsid w:val="001C245A"/>
    <w:rsid w:val="001C2D82"/>
    <w:rsid w:val="001C34DF"/>
    <w:rsid w:val="001C3B4A"/>
    <w:rsid w:val="001C3BCC"/>
    <w:rsid w:val="001C3E2E"/>
    <w:rsid w:val="001C4099"/>
    <w:rsid w:val="001C4119"/>
    <w:rsid w:val="001C433F"/>
    <w:rsid w:val="001C44F3"/>
    <w:rsid w:val="001C45AF"/>
    <w:rsid w:val="001C474C"/>
    <w:rsid w:val="001C4B38"/>
    <w:rsid w:val="001C4CE5"/>
    <w:rsid w:val="001C4E33"/>
    <w:rsid w:val="001C5058"/>
    <w:rsid w:val="001C5443"/>
    <w:rsid w:val="001C59E6"/>
    <w:rsid w:val="001C5B97"/>
    <w:rsid w:val="001C5BCA"/>
    <w:rsid w:val="001C5F29"/>
    <w:rsid w:val="001C5F8C"/>
    <w:rsid w:val="001C6181"/>
    <w:rsid w:val="001C65C0"/>
    <w:rsid w:val="001C6963"/>
    <w:rsid w:val="001C6965"/>
    <w:rsid w:val="001C6E73"/>
    <w:rsid w:val="001C6F9E"/>
    <w:rsid w:val="001C70AD"/>
    <w:rsid w:val="001C76B0"/>
    <w:rsid w:val="001C795F"/>
    <w:rsid w:val="001D0431"/>
    <w:rsid w:val="001D08E9"/>
    <w:rsid w:val="001D185B"/>
    <w:rsid w:val="001D18B1"/>
    <w:rsid w:val="001D24E3"/>
    <w:rsid w:val="001D2585"/>
    <w:rsid w:val="001D291B"/>
    <w:rsid w:val="001D2C9D"/>
    <w:rsid w:val="001D2D64"/>
    <w:rsid w:val="001D3182"/>
    <w:rsid w:val="001D3275"/>
    <w:rsid w:val="001D3610"/>
    <w:rsid w:val="001D39BB"/>
    <w:rsid w:val="001D3E1B"/>
    <w:rsid w:val="001D3E28"/>
    <w:rsid w:val="001D4041"/>
    <w:rsid w:val="001D42E5"/>
    <w:rsid w:val="001D4998"/>
    <w:rsid w:val="001D4E28"/>
    <w:rsid w:val="001D4E39"/>
    <w:rsid w:val="001D4FFE"/>
    <w:rsid w:val="001D51B9"/>
    <w:rsid w:val="001D5337"/>
    <w:rsid w:val="001D54BF"/>
    <w:rsid w:val="001D56F6"/>
    <w:rsid w:val="001D5B97"/>
    <w:rsid w:val="001D5DE7"/>
    <w:rsid w:val="001D610A"/>
    <w:rsid w:val="001D61C6"/>
    <w:rsid w:val="001D6C5E"/>
    <w:rsid w:val="001D6F50"/>
    <w:rsid w:val="001D7904"/>
    <w:rsid w:val="001D7A42"/>
    <w:rsid w:val="001D7F12"/>
    <w:rsid w:val="001E025E"/>
    <w:rsid w:val="001E03D0"/>
    <w:rsid w:val="001E062B"/>
    <w:rsid w:val="001E07FB"/>
    <w:rsid w:val="001E0AD9"/>
    <w:rsid w:val="001E19C1"/>
    <w:rsid w:val="001E21E2"/>
    <w:rsid w:val="001E313C"/>
    <w:rsid w:val="001E33E2"/>
    <w:rsid w:val="001E34BF"/>
    <w:rsid w:val="001E3EEE"/>
    <w:rsid w:val="001E4413"/>
    <w:rsid w:val="001E48EA"/>
    <w:rsid w:val="001E4A2C"/>
    <w:rsid w:val="001E5302"/>
    <w:rsid w:val="001E5503"/>
    <w:rsid w:val="001E5545"/>
    <w:rsid w:val="001E5898"/>
    <w:rsid w:val="001E589E"/>
    <w:rsid w:val="001E5967"/>
    <w:rsid w:val="001E5AB7"/>
    <w:rsid w:val="001E5F0C"/>
    <w:rsid w:val="001E6186"/>
    <w:rsid w:val="001E62F5"/>
    <w:rsid w:val="001E6766"/>
    <w:rsid w:val="001E6B0D"/>
    <w:rsid w:val="001E6C73"/>
    <w:rsid w:val="001E6C7A"/>
    <w:rsid w:val="001E6DAD"/>
    <w:rsid w:val="001E6E31"/>
    <w:rsid w:val="001E6E36"/>
    <w:rsid w:val="001E6E59"/>
    <w:rsid w:val="001E6F5C"/>
    <w:rsid w:val="001E6FB0"/>
    <w:rsid w:val="001E72A4"/>
    <w:rsid w:val="001E7B4C"/>
    <w:rsid w:val="001E7C07"/>
    <w:rsid w:val="001E7D0F"/>
    <w:rsid w:val="001E7F51"/>
    <w:rsid w:val="001F0060"/>
    <w:rsid w:val="001F00C7"/>
    <w:rsid w:val="001F0160"/>
    <w:rsid w:val="001F02F5"/>
    <w:rsid w:val="001F08DF"/>
    <w:rsid w:val="001F0AA5"/>
    <w:rsid w:val="001F0B22"/>
    <w:rsid w:val="001F0C23"/>
    <w:rsid w:val="001F0DF1"/>
    <w:rsid w:val="001F1092"/>
    <w:rsid w:val="001F1138"/>
    <w:rsid w:val="001F123A"/>
    <w:rsid w:val="001F127B"/>
    <w:rsid w:val="001F1303"/>
    <w:rsid w:val="001F1563"/>
    <w:rsid w:val="001F1EBC"/>
    <w:rsid w:val="001F21B6"/>
    <w:rsid w:val="001F2307"/>
    <w:rsid w:val="001F24D9"/>
    <w:rsid w:val="001F28D7"/>
    <w:rsid w:val="001F2964"/>
    <w:rsid w:val="001F2A25"/>
    <w:rsid w:val="001F2D00"/>
    <w:rsid w:val="001F2F87"/>
    <w:rsid w:val="001F30EB"/>
    <w:rsid w:val="001F3128"/>
    <w:rsid w:val="001F3363"/>
    <w:rsid w:val="001F3455"/>
    <w:rsid w:val="001F3461"/>
    <w:rsid w:val="001F3634"/>
    <w:rsid w:val="001F379F"/>
    <w:rsid w:val="001F3AB5"/>
    <w:rsid w:val="001F3BEF"/>
    <w:rsid w:val="001F3EF5"/>
    <w:rsid w:val="001F3FE2"/>
    <w:rsid w:val="001F4076"/>
    <w:rsid w:val="001F492F"/>
    <w:rsid w:val="001F4ADC"/>
    <w:rsid w:val="001F5185"/>
    <w:rsid w:val="001F5208"/>
    <w:rsid w:val="001F57AE"/>
    <w:rsid w:val="001F59B6"/>
    <w:rsid w:val="001F5BBE"/>
    <w:rsid w:val="001F5C42"/>
    <w:rsid w:val="001F5D97"/>
    <w:rsid w:val="001F6365"/>
    <w:rsid w:val="001F643A"/>
    <w:rsid w:val="001F66D4"/>
    <w:rsid w:val="001F67C8"/>
    <w:rsid w:val="001F681B"/>
    <w:rsid w:val="001F6B96"/>
    <w:rsid w:val="001F719F"/>
    <w:rsid w:val="001F745C"/>
    <w:rsid w:val="001F77F0"/>
    <w:rsid w:val="001F784E"/>
    <w:rsid w:val="002007D7"/>
    <w:rsid w:val="00200994"/>
    <w:rsid w:val="002009D2"/>
    <w:rsid w:val="00200D10"/>
    <w:rsid w:val="00201483"/>
    <w:rsid w:val="00201AD2"/>
    <w:rsid w:val="00201CF0"/>
    <w:rsid w:val="00201DAC"/>
    <w:rsid w:val="0020246B"/>
    <w:rsid w:val="00202A3E"/>
    <w:rsid w:val="00204953"/>
    <w:rsid w:val="00204D85"/>
    <w:rsid w:val="00204F60"/>
    <w:rsid w:val="002050D0"/>
    <w:rsid w:val="00205853"/>
    <w:rsid w:val="00205C32"/>
    <w:rsid w:val="002060B8"/>
    <w:rsid w:val="00206336"/>
    <w:rsid w:val="00206F93"/>
    <w:rsid w:val="002070CE"/>
    <w:rsid w:val="00207558"/>
    <w:rsid w:val="00207805"/>
    <w:rsid w:val="002078AF"/>
    <w:rsid w:val="00210167"/>
    <w:rsid w:val="0021038F"/>
    <w:rsid w:val="0021048A"/>
    <w:rsid w:val="002106BA"/>
    <w:rsid w:val="0021130C"/>
    <w:rsid w:val="00211412"/>
    <w:rsid w:val="00211719"/>
    <w:rsid w:val="0021189B"/>
    <w:rsid w:val="002119DE"/>
    <w:rsid w:val="00212CC1"/>
    <w:rsid w:val="00213455"/>
    <w:rsid w:val="0021393D"/>
    <w:rsid w:val="00213A75"/>
    <w:rsid w:val="00213C7F"/>
    <w:rsid w:val="002141FC"/>
    <w:rsid w:val="002147B2"/>
    <w:rsid w:val="002147F8"/>
    <w:rsid w:val="00214A85"/>
    <w:rsid w:val="00214A8D"/>
    <w:rsid w:val="00214C96"/>
    <w:rsid w:val="002155AA"/>
    <w:rsid w:val="002159DD"/>
    <w:rsid w:val="00215E19"/>
    <w:rsid w:val="002161DA"/>
    <w:rsid w:val="002161FF"/>
    <w:rsid w:val="00216632"/>
    <w:rsid w:val="00216783"/>
    <w:rsid w:val="00216C2D"/>
    <w:rsid w:val="00216E53"/>
    <w:rsid w:val="002174D1"/>
    <w:rsid w:val="00217C32"/>
    <w:rsid w:val="00217E48"/>
    <w:rsid w:val="00220240"/>
    <w:rsid w:val="00220441"/>
    <w:rsid w:val="002205D5"/>
    <w:rsid w:val="00220605"/>
    <w:rsid w:val="0022098F"/>
    <w:rsid w:val="00220E9A"/>
    <w:rsid w:val="00220F11"/>
    <w:rsid w:val="00221957"/>
    <w:rsid w:val="00221CD6"/>
    <w:rsid w:val="002223C6"/>
    <w:rsid w:val="0022247C"/>
    <w:rsid w:val="00222BA5"/>
    <w:rsid w:val="00222EE6"/>
    <w:rsid w:val="00223055"/>
    <w:rsid w:val="002239AB"/>
    <w:rsid w:val="00223B67"/>
    <w:rsid w:val="00223FAC"/>
    <w:rsid w:val="0022433F"/>
    <w:rsid w:val="002244D6"/>
    <w:rsid w:val="002245AA"/>
    <w:rsid w:val="002253D5"/>
    <w:rsid w:val="0022576E"/>
    <w:rsid w:val="00225C64"/>
    <w:rsid w:val="002260E8"/>
    <w:rsid w:val="002261AE"/>
    <w:rsid w:val="002261D7"/>
    <w:rsid w:val="002264C0"/>
    <w:rsid w:val="00226969"/>
    <w:rsid w:val="002269B0"/>
    <w:rsid w:val="00226C0B"/>
    <w:rsid w:val="002273F4"/>
    <w:rsid w:val="00227B6A"/>
    <w:rsid w:val="0023092D"/>
    <w:rsid w:val="0023095A"/>
    <w:rsid w:val="00230D1D"/>
    <w:rsid w:val="00230F2A"/>
    <w:rsid w:val="00231138"/>
    <w:rsid w:val="00231269"/>
    <w:rsid w:val="00231403"/>
    <w:rsid w:val="00231668"/>
    <w:rsid w:val="002316B2"/>
    <w:rsid w:val="0023174E"/>
    <w:rsid w:val="00231916"/>
    <w:rsid w:val="00231BE2"/>
    <w:rsid w:val="00231E2F"/>
    <w:rsid w:val="002324B9"/>
    <w:rsid w:val="00232823"/>
    <w:rsid w:val="00232B00"/>
    <w:rsid w:val="00232CA5"/>
    <w:rsid w:val="00232D36"/>
    <w:rsid w:val="0023343D"/>
    <w:rsid w:val="00233AB6"/>
    <w:rsid w:val="00233B4A"/>
    <w:rsid w:val="00233C0F"/>
    <w:rsid w:val="00233DFD"/>
    <w:rsid w:val="00233EAB"/>
    <w:rsid w:val="00234021"/>
    <w:rsid w:val="0023407B"/>
    <w:rsid w:val="00234274"/>
    <w:rsid w:val="00234805"/>
    <w:rsid w:val="0023499E"/>
    <w:rsid w:val="00234C9F"/>
    <w:rsid w:val="00234CBC"/>
    <w:rsid w:val="002352A6"/>
    <w:rsid w:val="002353BB"/>
    <w:rsid w:val="002357FC"/>
    <w:rsid w:val="0023596D"/>
    <w:rsid w:val="00235E80"/>
    <w:rsid w:val="002364F8"/>
    <w:rsid w:val="0023655B"/>
    <w:rsid w:val="0023664C"/>
    <w:rsid w:val="002369B7"/>
    <w:rsid w:val="00236EAF"/>
    <w:rsid w:val="002370E0"/>
    <w:rsid w:val="00237221"/>
    <w:rsid w:val="0023730C"/>
    <w:rsid w:val="00237551"/>
    <w:rsid w:val="00237763"/>
    <w:rsid w:val="0023782F"/>
    <w:rsid w:val="00237A72"/>
    <w:rsid w:val="00237B16"/>
    <w:rsid w:val="00237BE0"/>
    <w:rsid w:val="00237C23"/>
    <w:rsid w:val="00237D3B"/>
    <w:rsid w:val="00240138"/>
    <w:rsid w:val="002401A2"/>
    <w:rsid w:val="002404F1"/>
    <w:rsid w:val="00240D4F"/>
    <w:rsid w:val="00240E39"/>
    <w:rsid w:val="00240E76"/>
    <w:rsid w:val="00240E92"/>
    <w:rsid w:val="002410AD"/>
    <w:rsid w:val="002412F0"/>
    <w:rsid w:val="0024165E"/>
    <w:rsid w:val="00241875"/>
    <w:rsid w:val="00241A6A"/>
    <w:rsid w:val="00241D4B"/>
    <w:rsid w:val="0024258B"/>
    <w:rsid w:val="00242827"/>
    <w:rsid w:val="002429C2"/>
    <w:rsid w:val="00242B47"/>
    <w:rsid w:val="00242B54"/>
    <w:rsid w:val="002431F7"/>
    <w:rsid w:val="0024344C"/>
    <w:rsid w:val="00243AAF"/>
    <w:rsid w:val="00243D0D"/>
    <w:rsid w:val="002448BD"/>
    <w:rsid w:val="00244A5A"/>
    <w:rsid w:val="00244C8D"/>
    <w:rsid w:val="00244F48"/>
    <w:rsid w:val="0024504C"/>
    <w:rsid w:val="00245492"/>
    <w:rsid w:val="0024599C"/>
    <w:rsid w:val="00246264"/>
    <w:rsid w:val="00246BBE"/>
    <w:rsid w:val="00250E58"/>
    <w:rsid w:val="00250F87"/>
    <w:rsid w:val="002515F9"/>
    <w:rsid w:val="00251647"/>
    <w:rsid w:val="00251B0E"/>
    <w:rsid w:val="00251CD2"/>
    <w:rsid w:val="00251F12"/>
    <w:rsid w:val="0025212D"/>
    <w:rsid w:val="00252193"/>
    <w:rsid w:val="00252196"/>
    <w:rsid w:val="0025245A"/>
    <w:rsid w:val="00252863"/>
    <w:rsid w:val="00252F30"/>
    <w:rsid w:val="00253149"/>
    <w:rsid w:val="0025336C"/>
    <w:rsid w:val="002533F4"/>
    <w:rsid w:val="002534CD"/>
    <w:rsid w:val="0025410F"/>
    <w:rsid w:val="002543A9"/>
    <w:rsid w:val="002543FF"/>
    <w:rsid w:val="00254498"/>
    <w:rsid w:val="002545DF"/>
    <w:rsid w:val="00254BF6"/>
    <w:rsid w:val="002550FA"/>
    <w:rsid w:val="00255238"/>
    <w:rsid w:val="00255256"/>
    <w:rsid w:val="0025577F"/>
    <w:rsid w:val="00255EDB"/>
    <w:rsid w:val="002560E8"/>
    <w:rsid w:val="00256143"/>
    <w:rsid w:val="002561B7"/>
    <w:rsid w:val="0025648F"/>
    <w:rsid w:val="002565B4"/>
    <w:rsid w:val="00256A3D"/>
    <w:rsid w:val="00256CF9"/>
    <w:rsid w:val="00256F56"/>
    <w:rsid w:val="002570E3"/>
    <w:rsid w:val="0025731C"/>
    <w:rsid w:val="0025733B"/>
    <w:rsid w:val="00257515"/>
    <w:rsid w:val="00257729"/>
    <w:rsid w:val="002577C0"/>
    <w:rsid w:val="00257A35"/>
    <w:rsid w:val="00257E63"/>
    <w:rsid w:val="0026007A"/>
    <w:rsid w:val="00260148"/>
    <w:rsid w:val="0026045D"/>
    <w:rsid w:val="00260644"/>
    <w:rsid w:val="0026152E"/>
    <w:rsid w:val="00261920"/>
    <w:rsid w:val="00261B22"/>
    <w:rsid w:val="00261C5D"/>
    <w:rsid w:val="00261E3B"/>
    <w:rsid w:val="00261E5B"/>
    <w:rsid w:val="00261E6A"/>
    <w:rsid w:val="00261F4D"/>
    <w:rsid w:val="00262670"/>
    <w:rsid w:val="00262949"/>
    <w:rsid w:val="00262CBE"/>
    <w:rsid w:val="00262F17"/>
    <w:rsid w:val="00262FC0"/>
    <w:rsid w:val="00263241"/>
    <w:rsid w:val="002633C4"/>
    <w:rsid w:val="00263557"/>
    <w:rsid w:val="0026363A"/>
    <w:rsid w:val="00263A97"/>
    <w:rsid w:val="00263FCB"/>
    <w:rsid w:val="00263FD0"/>
    <w:rsid w:val="00264064"/>
    <w:rsid w:val="00264413"/>
    <w:rsid w:val="00264734"/>
    <w:rsid w:val="0026488B"/>
    <w:rsid w:val="00264AB4"/>
    <w:rsid w:val="00264B91"/>
    <w:rsid w:val="00264D6B"/>
    <w:rsid w:val="002654D1"/>
    <w:rsid w:val="002655BE"/>
    <w:rsid w:val="00265678"/>
    <w:rsid w:val="0026598D"/>
    <w:rsid w:val="00265F2C"/>
    <w:rsid w:val="00266025"/>
    <w:rsid w:val="0026614A"/>
    <w:rsid w:val="0026642F"/>
    <w:rsid w:val="00266488"/>
    <w:rsid w:val="002667A5"/>
    <w:rsid w:val="00266A17"/>
    <w:rsid w:val="002671CB"/>
    <w:rsid w:val="002673B2"/>
    <w:rsid w:val="002673E6"/>
    <w:rsid w:val="00267603"/>
    <w:rsid w:val="00267649"/>
    <w:rsid w:val="00267F65"/>
    <w:rsid w:val="00270114"/>
    <w:rsid w:val="002703A0"/>
    <w:rsid w:val="00270608"/>
    <w:rsid w:val="00270A94"/>
    <w:rsid w:val="00270B18"/>
    <w:rsid w:val="00270CDB"/>
    <w:rsid w:val="00271C48"/>
    <w:rsid w:val="00271E20"/>
    <w:rsid w:val="00272164"/>
    <w:rsid w:val="002723C3"/>
    <w:rsid w:val="002726C8"/>
    <w:rsid w:val="00272C8C"/>
    <w:rsid w:val="00273413"/>
    <w:rsid w:val="00273838"/>
    <w:rsid w:val="00273B9B"/>
    <w:rsid w:val="00273D47"/>
    <w:rsid w:val="00274224"/>
    <w:rsid w:val="002742A6"/>
    <w:rsid w:val="002744E9"/>
    <w:rsid w:val="00274D38"/>
    <w:rsid w:val="00274DC1"/>
    <w:rsid w:val="00274EEC"/>
    <w:rsid w:val="002751C9"/>
    <w:rsid w:val="002751EC"/>
    <w:rsid w:val="00275468"/>
    <w:rsid w:val="00275BD1"/>
    <w:rsid w:val="00275DCE"/>
    <w:rsid w:val="00276204"/>
    <w:rsid w:val="00276879"/>
    <w:rsid w:val="00276E3C"/>
    <w:rsid w:val="002772AD"/>
    <w:rsid w:val="002774FE"/>
    <w:rsid w:val="00277908"/>
    <w:rsid w:val="00277CD3"/>
    <w:rsid w:val="00277D4D"/>
    <w:rsid w:val="00277D6D"/>
    <w:rsid w:val="00280222"/>
    <w:rsid w:val="002804BE"/>
    <w:rsid w:val="002811FD"/>
    <w:rsid w:val="002819A0"/>
    <w:rsid w:val="00281CCC"/>
    <w:rsid w:val="00281FCF"/>
    <w:rsid w:val="0028236D"/>
    <w:rsid w:val="0028238E"/>
    <w:rsid w:val="0028248B"/>
    <w:rsid w:val="00282776"/>
    <w:rsid w:val="00282A1E"/>
    <w:rsid w:val="00282A36"/>
    <w:rsid w:val="00282EE1"/>
    <w:rsid w:val="00282F64"/>
    <w:rsid w:val="0028347E"/>
    <w:rsid w:val="00283960"/>
    <w:rsid w:val="00283E45"/>
    <w:rsid w:val="0028409B"/>
    <w:rsid w:val="00284168"/>
    <w:rsid w:val="00284186"/>
    <w:rsid w:val="002841D2"/>
    <w:rsid w:val="002842E3"/>
    <w:rsid w:val="00284784"/>
    <w:rsid w:val="002848CD"/>
    <w:rsid w:val="0028509C"/>
    <w:rsid w:val="00285521"/>
    <w:rsid w:val="0028574F"/>
    <w:rsid w:val="002859FB"/>
    <w:rsid w:val="00285B35"/>
    <w:rsid w:val="00285F88"/>
    <w:rsid w:val="00285FBE"/>
    <w:rsid w:val="0028648A"/>
    <w:rsid w:val="002864FB"/>
    <w:rsid w:val="00286B74"/>
    <w:rsid w:val="00286D04"/>
    <w:rsid w:val="00286F4A"/>
    <w:rsid w:val="0028744A"/>
    <w:rsid w:val="002878BE"/>
    <w:rsid w:val="00287971"/>
    <w:rsid w:val="00290427"/>
    <w:rsid w:val="002908DB"/>
    <w:rsid w:val="00290988"/>
    <w:rsid w:val="00290B3B"/>
    <w:rsid w:val="00290CF0"/>
    <w:rsid w:val="00291660"/>
    <w:rsid w:val="00292556"/>
    <w:rsid w:val="00292795"/>
    <w:rsid w:val="0029376A"/>
    <w:rsid w:val="00293BC3"/>
    <w:rsid w:val="00293C1A"/>
    <w:rsid w:val="00293D19"/>
    <w:rsid w:val="00294429"/>
    <w:rsid w:val="002946CB"/>
    <w:rsid w:val="00294721"/>
    <w:rsid w:val="00294914"/>
    <w:rsid w:val="0029580E"/>
    <w:rsid w:val="002961FB"/>
    <w:rsid w:val="00296799"/>
    <w:rsid w:val="00296B38"/>
    <w:rsid w:val="00297071"/>
    <w:rsid w:val="002971B7"/>
    <w:rsid w:val="0029726E"/>
    <w:rsid w:val="0029780D"/>
    <w:rsid w:val="00297C36"/>
    <w:rsid w:val="002A0479"/>
    <w:rsid w:val="002A065F"/>
    <w:rsid w:val="002A0748"/>
    <w:rsid w:val="002A0D7F"/>
    <w:rsid w:val="002A0E83"/>
    <w:rsid w:val="002A1329"/>
    <w:rsid w:val="002A1505"/>
    <w:rsid w:val="002A1897"/>
    <w:rsid w:val="002A1C08"/>
    <w:rsid w:val="002A1C51"/>
    <w:rsid w:val="002A1D27"/>
    <w:rsid w:val="002A29D8"/>
    <w:rsid w:val="002A2A4C"/>
    <w:rsid w:val="002A2D32"/>
    <w:rsid w:val="002A2D37"/>
    <w:rsid w:val="002A31BA"/>
    <w:rsid w:val="002A3389"/>
    <w:rsid w:val="002A34C9"/>
    <w:rsid w:val="002A3754"/>
    <w:rsid w:val="002A3824"/>
    <w:rsid w:val="002A39E8"/>
    <w:rsid w:val="002A3E58"/>
    <w:rsid w:val="002A3F92"/>
    <w:rsid w:val="002A40FC"/>
    <w:rsid w:val="002A4906"/>
    <w:rsid w:val="002A4B70"/>
    <w:rsid w:val="002A4DD1"/>
    <w:rsid w:val="002A4FCF"/>
    <w:rsid w:val="002A5009"/>
    <w:rsid w:val="002A51F9"/>
    <w:rsid w:val="002A5259"/>
    <w:rsid w:val="002A5456"/>
    <w:rsid w:val="002A6246"/>
    <w:rsid w:val="002A6927"/>
    <w:rsid w:val="002A6970"/>
    <w:rsid w:val="002A6AA3"/>
    <w:rsid w:val="002A6BE0"/>
    <w:rsid w:val="002A6DC2"/>
    <w:rsid w:val="002A6ECD"/>
    <w:rsid w:val="002A7182"/>
    <w:rsid w:val="002A7C19"/>
    <w:rsid w:val="002A7E9A"/>
    <w:rsid w:val="002A7EE5"/>
    <w:rsid w:val="002B061C"/>
    <w:rsid w:val="002B087A"/>
    <w:rsid w:val="002B0AF2"/>
    <w:rsid w:val="002B0D8C"/>
    <w:rsid w:val="002B0E9E"/>
    <w:rsid w:val="002B10DC"/>
    <w:rsid w:val="002B132E"/>
    <w:rsid w:val="002B158F"/>
    <w:rsid w:val="002B15B3"/>
    <w:rsid w:val="002B19D7"/>
    <w:rsid w:val="002B1B23"/>
    <w:rsid w:val="002B1E6E"/>
    <w:rsid w:val="002B2A26"/>
    <w:rsid w:val="002B2C2B"/>
    <w:rsid w:val="002B2DF5"/>
    <w:rsid w:val="002B2F8C"/>
    <w:rsid w:val="002B371E"/>
    <w:rsid w:val="002B3955"/>
    <w:rsid w:val="002B4063"/>
    <w:rsid w:val="002B4365"/>
    <w:rsid w:val="002B44D3"/>
    <w:rsid w:val="002B46B5"/>
    <w:rsid w:val="002B4725"/>
    <w:rsid w:val="002B4A03"/>
    <w:rsid w:val="002B4CD6"/>
    <w:rsid w:val="002B4E9E"/>
    <w:rsid w:val="002B555B"/>
    <w:rsid w:val="002B5659"/>
    <w:rsid w:val="002B5C87"/>
    <w:rsid w:val="002B5F58"/>
    <w:rsid w:val="002B60BD"/>
    <w:rsid w:val="002B6105"/>
    <w:rsid w:val="002B6266"/>
    <w:rsid w:val="002B6802"/>
    <w:rsid w:val="002B6A1F"/>
    <w:rsid w:val="002B6AE5"/>
    <w:rsid w:val="002B6E23"/>
    <w:rsid w:val="002B7137"/>
    <w:rsid w:val="002B757F"/>
    <w:rsid w:val="002B7753"/>
    <w:rsid w:val="002B7AD3"/>
    <w:rsid w:val="002B7EAF"/>
    <w:rsid w:val="002C07C1"/>
    <w:rsid w:val="002C0BFC"/>
    <w:rsid w:val="002C0F0E"/>
    <w:rsid w:val="002C1308"/>
    <w:rsid w:val="002C1392"/>
    <w:rsid w:val="002C1454"/>
    <w:rsid w:val="002C1712"/>
    <w:rsid w:val="002C1C3E"/>
    <w:rsid w:val="002C217F"/>
    <w:rsid w:val="002C2CE2"/>
    <w:rsid w:val="002C33F8"/>
    <w:rsid w:val="002C3471"/>
    <w:rsid w:val="002C37A2"/>
    <w:rsid w:val="002C3C33"/>
    <w:rsid w:val="002C485C"/>
    <w:rsid w:val="002C4C33"/>
    <w:rsid w:val="002C4D73"/>
    <w:rsid w:val="002C4EEF"/>
    <w:rsid w:val="002C509E"/>
    <w:rsid w:val="002C5377"/>
    <w:rsid w:val="002C5488"/>
    <w:rsid w:val="002C58FF"/>
    <w:rsid w:val="002C5970"/>
    <w:rsid w:val="002C5982"/>
    <w:rsid w:val="002C5C3C"/>
    <w:rsid w:val="002C5FD0"/>
    <w:rsid w:val="002C639B"/>
    <w:rsid w:val="002C7262"/>
    <w:rsid w:val="002C74A6"/>
    <w:rsid w:val="002C76EB"/>
    <w:rsid w:val="002C7933"/>
    <w:rsid w:val="002C7A03"/>
    <w:rsid w:val="002C7D85"/>
    <w:rsid w:val="002D01A1"/>
    <w:rsid w:val="002D02FC"/>
    <w:rsid w:val="002D0A9E"/>
    <w:rsid w:val="002D0D1A"/>
    <w:rsid w:val="002D114C"/>
    <w:rsid w:val="002D11EF"/>
    <w:rsid w:val="002D1530"/>
    <w:rsid w:val="002D163D"/>
    <w:rsid w:val="002D1B71"/>
    <w:rsid w:val="002D1CA8"/>
    <w:rsid w:val="002D1ED4"/>
    <w:rsid w:val="002D2161"/>
    <w:rsid w:val="002D2D17"/>
    <w:rsid w:val="002D2D95"/>
    <w:rsid w:val="002D34D6"/>
    <w:rsid w:val="002D375C"/>
    <w:rsid w:val="002D3A9C"/>
    <w:rsid w:val="002D438E"/>
    <w:rsid w:val="002D4B09"/>
    <w:rsid w:val="002D4CB8"/>
    <w:rsid w:val="002D52D4"/>
    <w:rsid w:val="002D5412"/>
    <w:rsid w:val="002D5551"/>
    <w:rsid w:val="002D58FC"/>
    <w:rsid w:val="002D5AC6"/>
    <w:rsid w:val="002D5B4A"/>
    <w:rsid w:val="002D5D7A"/>
    <w:rsid w:val="002D64F0"/>
    <w:rsid w:val="002D6EEF"/>
    <w:rsid w:val="002D7031"/>
    <w:rsid w:val="002D70C4"/>
    <w:rsid w:val="002D72C7"/>
    <w:rsid w:val="002D78D0"/>
    <w:rsid w:val="002D7AF2"/>
    <w:rsid w:val="002D7D29"/>
    <w:rsid w:val="002E0230"/>
    <w:rsid w:val="002E05B1"/>
    <w:rsid w:val="002E0C7B"/>
    <w:rsid w:val="002E125E"/>
    <w:rsid w:val="002E12F6"/>
    <w:rsid w:val="002E13ED"/>
    <w:rsid w:val="002E1454"/>
    <w:rsid w:val="002E15AD"/>
    <w:rsid w:val="002E15F3"/>
    <w:rsid w:val="002E195A"/>
    <w:rsid w:val="002E1B53"/>
    <w:rsid w:val="002E1BC8"/>
    <w:rsid w:val="002E1CE2"/>
    <w:rsid w:val="002E29C9"/>
    <w:rsid w:val="002E2AEA"/>
    <w:rsid w:val="002E2F5D"/>
    <w:rsid w:val="002E3039"/>
    <w:rsid w:val="002E3734"/>
    <w:rsid w:val="002E38D6"/>
    <w:rsid w:val="002E3903"/>
    <w:rsid w:val="002E3941"/>
    <w:rsid w:val="002E3C70"/>
    <w:rsid w:val="002E4030"/>
    <w:rsid w:val="002E4551"/>
    <w:rsid w:val="002E4753"/>
    <w:rsid w:val="002E49AC"/>
    <w:rsid w:val="002E4CAE"/>
    <w:rsid w:val="002E4D29"/>
    <w:rsid w:val="002E4D70"/>
    <w:rsid w:val="002E515D"/>
    <w:rsid w:val="002E57BA"/>
    <w:rsid w:val="002E5F63"/>
    <w:rsid w:val="002E607B"/>
    <w:rsid w:val="002E61AF"/>
    <w:rsid w:val="002E6253"/>
    <w:rsid w:val="002E6554"/>
    <w:rsid w:val="002E6725"/>
    <w:rsid w:val="002E6A48"/>
    <w:rsid w:val="002E6BCB"/>
    <w:rsid w:val="002E7B7D"/>
    <w:rsid w:val="002E7FCC"/>
    <w:rsid w:val="002F0162"/>
    <w:rsid w:val="002F025E"/>
    <w:rsid w:val="002F0327"/>
    <w:rsid w:val="002F0885"/>
    <w:rsid w:val="002F0BD6"/>
    <w:rsid w:val="002F0E34"/>
    <w:rsid w:val="002F11A6"/>
    <w:rsid w:val="002F134C"/>
    <w:rsid w:val="002F13EE"/>
    <w:rsid w:val="002F147B"/>
    <w:rsid w:val="002F1935"/>
    <w:rsid w:val="002F1A90"/>
    <w:rsid w:val="002F1E1C"/>
    <w:rsid w:val="002F22FD"/>
    <w:rsid w:val="002F2B3B"/>
    <w:rsid w:val="002F3E89"/>
    <w:rsid w:val="002F411F"/>
    <w:rsid w:val="002F4D0B"/>
    <w:rsid w:val="002F518F"/>
    <w:rsid w:val="002F5219"/>
    <w:rsid w:val="002F5926"/>
    <w:rsid w:val="002F5DD2"/>
    <w:rsid w:val="002F5DEF"/>
    <w:rsid w:val="002F5F7A"/>
    <w:rsid w:val="002F6237"/>
    <w:rsid w:val="002F63FD"/>
    <w:rsid w:val="002F6659"/>
    <w:rsid w:val="002F7122"/>
    <w:rsid w:val="002F71D4"/>
    <w:rsid w:val="002F7789"/>
    <w:rsid w:val="002F78C4"/>
    <w:rsid w:val="002F7942"/>
    <w:rsid w:val="002F7B0C"/>
    <w:rsid w:val="002F7C2D"/>
    <w:rsid w:val="002F7D5C"/>
    <w:rsid w:val="00300279"/>
    <w:rsid w:val="00300338"/>
    <w:rsid w:val="00300421"/>
    <w:rsid w:val="00300424"/>
    <w:rsid w:val="003006EE"/>
    <w:rsid w:val="00300E72"/>
    <w:rsid w:val="00301034"/>
    <w:rsid w:val="003010A5"/>
    <w:rsid w:val="003011BE"/>
    <w:rsid w:val="003012D9"/>
    <w:rsid w:val="00301868"/>
    <w:rsid w:val="00301939"/>
    <w:rsid w:val="00301ADB"/>
    <w:rsid w:val="003023F5"/>
    <w:rsid w:val="003032CF"/>
    <w:rsid w:val="003032FE"/>
    <w:rsid w:val="00303B7A"/>
    <w:rsid w:val="00303D23"/>
    <w:rsid w:val="00303D51"/>
    <w:rsid w:val="00303FAA"/>
    <w:rsid w:val="00304002"/>
    <w:rsid w:val="00304404"/>
    <w:rsid w:val="00304C63"/>
    <w:rsid w:val="00305341"/>
    <w:rsid w:val="00305564"/>
    <w:rsid w:val="00305626"/>
    <w:rsid w:val="0030568B"/>
    <w:rsid w:val="00305756"/>
    <w:rsid w:val="00305A1F"/>
    <w:rsid w:val="00306015"/>
    <w:rsid w:val="003060D8"/>
    <w:rsid w:val="003066CF"/>
    <w:rsid w:val="00306D82"/>
    <w:rsid w:val="00306EA4"/>
    <w:rsid w:val="00307541"/>
    <w:rsid w:val="00307784"/>
    <w:rsid w:val="00307810"/>
    <w:rsid w:val="00310309"/>
    <w:rsid w:val="00310783"/>
    <w:rsid w:val="003108B2"/>
    <w:rsid w:val="003108B4"/>
    <w:rsid w:val="003126B8"/>
    <w:rsid w:val="00312878"/>
    <w:rsid w:val="003128DE"/>
    <w:rsid w:val="00312B8B"/>
    <w:rsid w:val="00312C23"/>
    <w:rsid w:val="003130FB"/>
    <w:rsid w:val="003132F2"/>
    <w:rsid w:val="00313391"/>
    <w:rsid w:val="00313432"/>
    <w:rsid w:val="00313811"/>
    <w:rsid w:val="00313CEA"/>
    <w:rsid w:val="00313D44"/>
    <w:rsid w:val="00314059"/>
    <w:rsid w:val="003142F3"/>
    <w:rsid w:val="0031461A"/>
    <w:rsid w:val="003149A9"/>
    <w:rsid w:val="00314DC9"/>
    <w:rsid w:val="00314FE2"/>
    <w:rsid w:val="003153DB"/>
    <w:rsid w:val="0031541D"/>
    <w:rsid w:val="0031598C"/>
    <w:rsid w:val="00315F00"/>
    <w:rsid w:val="00316203"/>
    <w:rsid w:val="003167AE"/>
    <w:rsid w:val="00316BBD"/>
    <w:rsid w:val="00316D06"/>
    <w:rsid w:val="00317325"/>
    <w:rsid w:val="0031747A"/>
    <w:rsid w:val="003176F8"/>
    <w:rsid w:val="003178D6"/>
    <w:rsid w:val="0032020A"/>
    <w:rsid w:val="003207C5"/>
    <w:rsid w:val="00320857"/>
    <w:rsid w:val="00320858"/>
    <w:rsid w:val="00320E2B"/>
    <w:rsid w:val="003217BA"/>
    <w:rsid w:val="0032184E"/>
    <w:rsid w:val="00321B6B"/>
    <w:rsid w:val="00321B8D"/>
    <w:rsid w:val="00321C2F"/>
    <w:rsid w:val="003227E5"/>
    <w:rsid w:val="003228C3"/>
    <w:rsid w:val="00322DC9"/>
    <w:rsid w:val="00322DDB"/>
    <w:rsid w:val="00323558"/>
    <w:rsid w:val="003236A8"/>
    <w:rsid w:val="00323D41"/>
    <w:rsid w:val="00323F25"/>
    <w:rsid w:val="00324182"/>
    <w:rsid w:val="00324714"/>
    <w:rsid w:val="00324791"/>
    <w:rsid w:val="00324AB9"/>
    <w:rsid w:val="0032573B"/>
    <w:rsid w:val="00325A2A"/>
    <w:rsid w:val="00326375"/>
    <w:rsid w:val="00326476"/>
    <w:rsid w:val="003267C6"/>
    <w:rsid w:val="00326A2A"/>
    <w:rsid w:val="00326A7F"/>
    <w:rsid w:val="00326B47"/>
    <w:rsid w:val="00326DD0"/>
    <w:rsid w:val="00326DFE"/>
    <w:rsid w:val="00326E76"/>
    <w:rsid w:val="00326F8C"/>
    <w:rsid w:val="00327441"/>
    <w:rsid w:val="00327E49"/>
    <w:rsid w:val="003301C3"/>
    <w:rsid w:val="003301FA"/>
    <w:rsid w:val="003304DC"/>
    <w:rsid w:val="0033065C"/>
    <w:rsid w:val="00330B6F"/>
    <w:rsid w:val="00330D71"/>
    <w:rsid w:val="00331193"/>
    <w:rsid w:val="00331F67"/>
    <w:rsid w:val="00332331"/>
    <w:rsid w:val="00332605"/>
    <w:rsid w:val="003329EB"/>
    <w:rsid w:val="00332C21"/>
    <w:rsid w:val="00332D16"/>
    <w:rsid w:val="00333159"/>
    <w:rsid w:val="0033378A"/>
    <w:rsid w:val="00333B64"/>
    <w:rsid w:val="00333DC9"/>
    <w:rsid w:val="00333EA1"/>
    <w:rsid w:val="00334715"/>
    <w:rsid w:val="003349D2"/>
    <w:rsid w:val="00334B33"/>
    <w:rsid w:val="0033599B"/>
    <w:rsid w:val="00335A53"/>
    <w:rsid w:val="00335CDA"/>
    <w:rsid w:val="003366F7"/>
    <w:rsid w:val="0033729D"/>
    <w:rsid w:val="0033751D"/>
    <w:rsid w:val="00337D41"/>
    <w:rsid w:val="0034001B"/>
    <w:rsid w:val="0034029E"/>
    <w:rsid w:val="00340E4F"/>
    <w:rsid w:val="00340E9E"/>
    <w:rsid w:val="00341781"/>
    <w:rsid w:val="00341847"/>
    <w:rsid w:val="003420D6"/>
    <w:rsid w:val="003422CA"/>
    <w:rsid w:val="00342356"/>
    <w:rsid w:val="0034256A"/>
    <w:rsid w:val="00342BF5"/>
    <w:rsid w:val="00342C39"/>
    <w:rsid w:val="00342D01"/>
    <w:rsid w:val="00343917"/>
    <w:rsid w:val="00343CC2"/>
    <w:rsid w:val="00343F17"/>
    <w:rsid w:val="00343F86"/>
    <w:rsid w:val="00344137"/>
    <w:rsid w:val="003444BE"/>
    <w:rsid w:val="00344763"/>
    <w:rsid w:val="0034528C"/>
    <w:rsid w:val="00345638"/>
    <w:rsid w:val="00345794"/>
    <w:rsid w:val="00345C7B"/>
    <w:rsid w:val="003461D3"/>
    <w:rsid w:val="003468E3"/>
    <w:rsid w:val="00346926"/>
    <w:rsid w:val="0034723D"/>
    <w:rsid w:val="00347A9C"/>
    <w:rsid w:val="00347D34"/>
    <w:rsid w:val="00347EC3"/>
    <w:rsid w:val="00347F02"/>
    <w:rsid w:val="00347FF3"/>
    <w:rsid w:val="003507C7"/>
    <w:rsid w:val="00350CED"/>
    <w:rsid w:val="00350E9F"/>
    <w:rsid w:val="00350EF3"/>
    <w:rsid w:val="00351391"/>
    <w:rsid w:val="00351841"/>
    <w:rsid w:val="00351BB1"/>
    <w:rsid w:val="00352005"/>
    <w:rsid w:val="00352226"/>
    <w:rsid w:val="0035295A"/>
    <w:rsid w:val="003536C9"/>
    <w:rsid w:val="003537F9"/>
    <w:rsid w:val="0035449C"/>
    <w:rsid w:val="003548B6"/>
    <w:rsid w:val="00354D84"/>
    <w:rsid w:val="00354E26"/>
    <w:rsid w:val="00355289"/>
    <w:rsid w:val="003553A9"/>
    <w:rsid w:val="00355680"/>
    <w:rsid w:val="00355B93"/>
    <w:rsid w:val="003562DE"/>
    <w:rsid w:val="00356406"/>
    <w:rsid w:val="003566BB"/>
    <w:rsid w:val="00356746"/>
    <w:rsid w:val="00356DA5"/>
    <w:rsid w:val="00356E2A"/>
    <w:rsid w:val="003573BC"/>
    <w:rsid w:val="00357D37"/>
    <w:rsid w:val="0036020E"/>
    <w:rsid w:val="003603A3"/>
    <w:rsid w:val="003606AD"/>
    <w:rsid w:val="00360719"/>
    <w:rsid w:val="00360728"/>
    <w:rsid w:val="00360ADA"/>
    <w:rsid w:val="00360B10"/>
    <w:rsid w:val="00360C24"/>
    <w:rsid w:val="00360CB0"/>
    <w:rsid w:val="00360EC3"/>
    <w:rsid w:val="0036172C"/>
    <w:rsid w:val="003617B0"/>
    <w:rsid w:val="00361BEC"/>
    <w:rsid w:val="00361FF4"/>
    <w:rsid w:val="00362307"/>
    <w:rsid w:val="0036233F"/>
    <w:rsid w:val="0036268C"/>
    <w:rsid w:val="00362F78"/>
    <w:rsid w:val="00363179"/>
    <w:rsid w:val="00363418"/>
    <w:rsid w:val="00363798"/>
    <w:rsid w:val="00363A4F"/>
    <w:rsid w:val="00363F3E"/>
    <w:rsid w:val="00363FFA"/>
    <w:rsid w:val="0036477E"/>
    <w:rsid w:val="00365084"/>
    <w:rsid w:val="003651C4"/>
    <w:rsid w:val="0036526E"/>
    <w:rsid w:val="00365461"/>
    <w:rsid w:val="0036585B"/>
    <w:rsid w:val="00365D8B"/>
    <w:rsid w:val="00366F08"/>
    <w:rsid w:val="003670E2"/>
    <w:rsid w:val="003673CE"/>
    <w:rsid w:val="0036784C"/>
    <w:rsid w:val="00367A58"/>
    <w:rsid w:val="00367C62"/>
    <w:rsid w:val="003707BD"/>
    <w:rsid w:val="00370C7B"/>
    <w:rsid w:val="00370EC1"/>
    <w:rsid w:val="00370F0C"/>
    <w:rsid w:val="0037157B"/>
    <w:rsid w:val="00371A88"/>
    <w:rsid w:val="00371BE5"/>
    <w:rsid w:val="003720C8"/>
    <w:rsid w:val="003720DE"/>
    <w:rsid w:val="00372180"/>
    <w:rsid w:val="00372219"/>
    <w:rsid w:val="0037252F"/>
    <w:rsid w:val="00372540"/>
    <w:rsid w:val="0037259D"/>
    <w:rsid w:val="003733D4"/>
    <w:rsid w:val="003737C5"/>
    <w:rsid w:val="00373DB8"/>
    <w:rsid w:val="00374015"/>
    <w:rsid w:val="0037408D"/>
    <w:rsid w:val="003749C4"/>
    <w:rsid w:val="00374C58"/>
    <w:rsid w:val="00374E0B"/>
    <w:rsid w:val="00374E87"/>
    <w:rsid w:val="003755D9"/>
    <w:rsid w:val="003758D0"/>
    <w:rsid w:val="00375A52"/>
    <w:rsid w:val="00375B70"/>
    <w:rsid w:val="003764FC"/>
    <w:rsid w:val="0037661C"/>
    <w:rsid w:val="00376B71"/>
    <w:rsid w:val="003777C7"/>
    <w:rsid w:val="0037785F"/>
    <w:rsid w:val="00377862"/>
    <w:rsid w:val="003819A7"/>
    <w:rsid w:val="00381A4B"/>
    <w:rsid w:val="00382271"/>
    <w:rsid w:val="00383242"/>
    <w:rsid w:val="00383856"/>
    <w:rsid w:val="00383CF5"/>
    <w:rsid w:val="00383D43"/>
    <w:rsid w:val="00383F85"/>
    <w:rsid w:val="00384061"/>
    <w:rsid w:val="003840A9"/>
    <w:rsid w:val="003840E9"/>
    <w:rsid w:val="0038448F"/>
    <w:rsid w:val="00384635"/>
    <w:rsid w:val="003849F7"/>
    <w:rsid w:val="00384B32"/>
    <w:rsid w:val="00384C69"/>
    <w:rsid w:val="00384E98"/>
    <w:rsid w:val="0038528E"/>
    <w:rsid w:val="00385375"/>
    <w:rsid w:val="00385493"/>
    <w:rsid w:val="00385D9A"/>
    <w:rsid w:val="00386322"/>
    <w:rsid w:val="00386A46"/>
    <w:rsid w:val="00386E9B"/>
    <w:rsid w:val="00387310"/>
    <w:rsid w:val="00387466"/>
    <w:rsid w:val="00387511"/>
    <w:rsid w:val="0038761C"/>
    <w:rsid w:val="00387CA9"/>
    <w:rsid w:val="00387DA8"/>
    <w:rsid w:val="00390075"/>
    <w:rsid w:val="003900B2"/>
    <w:rsid w:val="003903D0"/>
    <w:rsid w:val="00390417"/>
    <w:rsid w:val="003904BF"/>
    <w:rsid w:val="00390744"/>
    <w:rsid w:val="00390BD3"/>
    <w:rsid w:val="00390C7D"/>
    <w:rsid w:val="00391494"/>
    <w:rsid w:val="00391872"/>
    <w:rsid w:val="003919CA"/>
    <w:rsid w:val="00391EAA"/>
    <w:rsid w:val="00391F5E"/>
    <w:rsid w:val="003924B1"/>
    <w:rsid w:val="00392512"/>
    <w:rsid w:val="00392BBF"/>
    <w:rsid w:val="0039326D"/>
    <w:rsid w:val="003932A9"/>
    <w:rsid w:val="00393466"/>
    <w:rsid w:val="003938F8"/>
    <w:rsid w:val="003939FA"/>
    <w:rsid w:val="00393B2C"/>
    <w:rsid w:val="00393B47"/>
    <w:rsid w:val="00393DC0"/>
    <w:rsid w:val="0039462D"/>
    <w:rsid w:val="00394789"/>
    <w:rsid w:val="00394B7E"/>
    <w:rsid w:val="00394E6D"/>
    <w:rsid w:val="00395322"/>
    <w:rsid w:val="00395665"/>
    <w:rsid w:val="00395976"/>
    <w:rsid w:val="00395C3B"/>
    <w:rsid w:val="00395E08"/>
    <w:rsid w:val="00395F6C"/>
    <w:rsid w:val="00396000"/>
    <w:rsid w:val="00396006"/>
    <w:rsid w:val="00396080"/>
    <w:rsid w:val="0039613E"/>
    <w:rsid w:val="00396291"/>
    <w:rsid w:val="00396758"/>
    <w:rsid w:val="0039682F"/>
    <w:rsid w:val="00396CC5"/>
    <w:rsid w:val="00396D14"/>
    <w:rsid w:val="00396FF1"/>
    <w:rsid w:val="003972D9"/>
    <w:rsid w:val="00397588"/>
    <w:rsid w:val="0039772B"/>
    <w:rsid w:val="00397A85"/>
    <w:rsid w:val="00397F16"/>
    <w:rsid w:val="003A01F3"/>
    <w:rsid w:val="003A0BA1"/>
    <w:rsid w:val="003A0BD3"/>
    <w:rsid w:val="003A0C01"/>
    <w:rsid w:val="003A100A"/>
    <w:rsid w:val="003A104D"/>
    <w:rsid w:val="003A127A"/>
    <w:rsid w:val="003A1CC3"/>
    <w:rsid w:val="003A211A"/>
    <w:rsid w:val="003A25F3"/>
    <w:rsid w:val="003A2894"/>
    <w:rsid w:val="003A28D3"/>
    <w:rsid w:val="003A290B"/>
    <w:rsid w:val="003A2A57"/>
    <w:rsid w:val="003A2AAD"/>
    <w:rsid w:val="003A2AD6"/>
    <w:rsid w:val="003A2AF0"/>
    <w:rsid w:val="003A3036"/>
    <w:rsid w:val="003A3195"/>
    <w:rsid w:val="003A338E"/>
    <w:rsid w:val="003A3475"/>
    <w:rsid w:val="003A34D8"/>
    <w:rsid w:val="003A3CA4"/>
    <w:rsid w:val="003A3F4B"/>
    <w:rsid w:val="003A4277"/>
    <w:rsid w:val="003A45A4"/>
    <w:rsid w:val="003A4A73"/>
    <w:rsid w:val="003A4B60"/>
    <w:rsid w:val="003A4BB4"/>
    <w:rsid w:val="003A5315"/>
    <w:rsid w:val="003A539D"/>
    <w:rsid w:val="003A546A"/>
    <w:rsid w:val="003A54AA"/>
    <w:rsid w:val="003A55C0"/>
    <w:rsid w:val="003A5701"/>
    <w:rsid w:val="003A58D7"/>
    <w:rsid w:val="003A590C"/>
    <w:rsid w:val="003A5C53"/>
    <w:rsid w:val="003A5F44"/>
    <w:rsid w:val="003A610D"/>
    <w:rsid w:val="003A62D0"/>
    <w:rsid w:val="003A646E"/>
    <w:rsid w:val="003A695B"/>
    <w:rsid w:val="003A6C73"/>
    <w:rsid w:val="003A73CF"/>
    <w:rsid w:val="003A7A21"/>
    <w:rsid w:val="003A7C09"/>
    <w:rsid w:val="003A7E27"/>
    <w:rsid w:val="003B0069"/>
    <w:rsid w:val="003B0400"/>
    <w:rsid w:val="003B04A9"/>
    <w:rsid w:val="003B0702"/>
    <w:rsid w:val="003B08ED"/>
    <w:rsid w:val="003B0ACD"/>
    <w:rsid w:val="003B0EBC"/>
    <w:rsid w:val="003B1493"/>
    <w:rsid w:val="003B1544"/>
    <w:rsid w:val="003B16A5"/>
    <w:rsid w:val="003B1A27"/>
    <w:rsid w:val="003B1FCB"/>
    <w:rsid w:val="003B2293"/>
    <w:rsid w:val="003B24BD"/>
    <w:rsid w:val="003B2CA0"/>
    <w:rsid w:val="003B2ED0"/>
    <w:rsid w:val="003B346A"/>
    <w:rsid w:val="003B353F"/>
    <w:rsid w:val="003B3D6E"/>
    <w:rsid w:val="003B3DBD"/>
    <w:rsid w:val="003B436D"/>
    <w:rsid w:val="003B4B51"/>
    <w:rsid w:val="003B4DB4"/>
    <w:rsid w:val="003B509E"/>
    <w:rsid w:val="003B51A3"/>
    <w:rsid w:val="003B52B7"/>
    <w:rsid w:val="003B56F0"/>
    <w:rsid w:val="003B5841"/>
    <w:rsid w:val="003B5C89"/>
    <w:rsid w:val="003B5DF0"/>
    <w:rsid w:val="003B5ED3"/>
    <w:rsid w:val="003B60FA"/>
    <w:rsid w:val="003B61C1"/>
    <w:rsid w:val="003B6E7E"/>
    <w:rsid w:val="003B6EDA"/>
    <w:rsid w:val="003B7114"/>
    <w:rsid w:val="003B718B"/>
    <w:rsid w:val="003B7621"/>
    <w:rsid w:val="003B7649"/>
    <w:rsid w:val="003B7A2B"/>
    <w:rsid w:val="003B7D96"/>
    <w:rsid w:val="003B7F00"/>
    <w:rsid w:val="003B7FF2"/>
    <w:rsid w:val="003C0805"/>
    <w:rsid w:val="003C0B22"/>
    <w:rsid w:val="003C1A9A"/>
    <w:rsid w:val="003C2CA0"/>
    <w:rsid w:val="003C2DE3"/>
    <w:rsid w:val="003C2E43"/>
    <w:rsid w:val="003C303C"/>
    <w:rsid w:val="003C30DB"/>
    <w:rsid w:val="003C31B6"/>
    <w:rsid w:val="003C3598"/>
    <w:rsid w:val="003C3A44"/>
    <w:rsid w:val="003C3D16"/>
    <w:rsid w:val="003C3D91"/>
    <w:rsid w:val="003C4022"/>
    <w:rsid w:val="003C4622"/>
    <w:rsid w:val="003C4656"/>
    <w:rsid w:val="003C4B1C"/>
    <w:rsid w:val="003C4CF1"/>
    <w:rsid w:val="003C571F"/>
    <w:rsid w:val="003C57CF"/>
    <w:rsid w:val="003C592C"/>
    <w:rsid w:val="003C59AE"/>
    <w:rsid w:val="003C5B21"/>
    <w:rsid w:val="003C5CDC"/>
    <w:rsid w:val="003C5DE9"/>
    <w:rsid w:val="003C5F38"/>
    <w:rsid w:val="003C6219"/>
    <w:rsid w:val="003C6910"/>
    <w:rsid w:val="003C6BA3"/>
    <w:rsid w:val="003C6CE8"/>
    <w:rsid w:val="003C6D4B"/>
    <w:rsid w:val="003C6F99"/>
    <w:rsid w:val="003C7268"/>
    <w:rsid w:val="003C75A5"/>
    <w:rsid w:val="003C79A3"/>
    <w:rsid w:val="003C79D8"/>
    <w:rsid w:val="003C7D5A"/>
    <w:rsid w:val="003D074D"/>
    <w:rsid w:val="003D0E20"/>
    <w:rsid w:val="003D11FB"/>
    <w:rsid w:val="003D1863"/>
    <w:rsid w:val="003D1E7A"/>
    <w:rsid w:val="003D21D5"/>
    <w:rsid w:val="003D2235"/>
    <w:rsid w:val="003D2493"/>
    <w:rsid w:val="003D2588"/>
    <w:rsid w:val="003D318E"/>
    <w:rsid w:val="003D471A"/>
    <w:rsid w:val="003D502D"/>
    <w:rsid w:val="003D5103"/>
    <w:rsid w:val="003D56C8"/>
    <w:rsid w:val="003D57E0"/>
    <w:rsid w:val="003D5A2C"/>
    <w:rsid w:val="003D5C34"/>
    <w:rsid w:val="003D5DA3"/>
    <w:rsid w:val="003D5DC3"/>
    <w:rsid w:val="003D5DF4"/>
    <w:rsid w:val="003D6054"/>
    <w:rsid w:val="003D63BD"/>
    <w:rsid w:val="003D63F2"/>
    <w:rsid w:val="003D645F"/>
    <w:rsid w:val="003D64AE"/>
    <w:rsid w:val="003D6683"/>
    <w:rsid w:val="003D705F"/>
    <w:rsid w:val="003D737D"/>
    <w:rsid w:val="003D740C"/>
    <w:rsid w:val="003D7413"/>
    <w:rsid w:val="003D7B92"/>
    <w:rsid w:val="003D7C9A"/>
    <w:rsid w:val="003D7E92"/>
    <w:rsid w:val="003D7F40"/>
    <w:rsid w:val="003E008F"/>
    <w:rsid w:val="003E06DD"/>
    <w:rsid w:val="003E0D11"/>
    <w:rsid w:val="003E0DC9"/>
    <w:rsid w:val="003E0FB8"/>
    <w:rsid w:val="003E1277"/>
    <w:rsid w:val="003E12E4"/>
    <w:rsid w:val="003E1309"/>
    <w:rsid w:val="003E15AE"/>
    <w:rsid w:val="003E1909"/>
    <w:rsid w:val="003E1E8B"/>
    <w:rsid w:val="003E2083"/>
    <w:rsid w:val="003E2591"/>
    <w:rsid w:val="003E2935"/>
    <w:rsid w:val="003E2E52"/>
    <w:rsid w:val="003E2FEF"/>
    <w:rsid w:val="003E36E0"/>
    <w:rsid w:val="003E3E44"/>
    <w:rsid w:val="003E4419"/>
    <w:rsid w:val="003E460E"/>
    <w:rsid w:val="003E4DA4"/>
    <w:rsid w:val="003E5215"/>
    <w:rsid w:val="003E5245"/>
    <w:rsid w:val="003E5325"/>
    <w:rsid w:val="003E5491"/>
    <w:rsid w:val="003E5540"/>
    <w:rsid w:val="003E5978"/>
    <w:rsid w:val="003E5AAE"/>
    <w:rsid w:val="003E61F6"/>
    <w:rsid w:val="003E637B"/>
    <w:rsid w:val="003E63D3"/>
    <w:rsid w:val="003E6497"/>
    <w:rsid w:val="003E7179"/>
    <w:rsid w:val="003E729D"/>
    <w:rsid w:val="003E73B2"/>
    <w:rsid w:val="003E74BA"/>
    <w:rsid w:val="003E7867"/>
    <w:rsid w:val="003E7C0C"/>
    <w:rsid w:val="003E7C83"/>
    <w:rsid w:val="003E7D5E"/>
    <w:rsid w:val="003E7ED8"/>
    <w:rsid w:val="003F01C0"/>
    <w:rsid w:val="003F0237"/>
    <w:rsid w:val="003F04F0"/>
    <w:rsid w:val="003F0910"/>
    <w:rsid w:val="003F1172"/>
    <w:rsid w:val="003F11DC"/>
    <w:rsid w:val="003F127E"/>
    <w:rsid w:val="003F13C9"/>
    <w:rsid w:val="003F1506"/>
    <w:rsid w:val="003F1B36"/>
    <w:rsid w:val="003F1C5A"/>
    <w:rsid w:val="003F1D5A"/>
    <w:rsid w:val="003F1E95"/>
    <w:rsid w:val="003F1F4B"/>
    <w:rsid w:val="003F1FB8"/>
    <w:rsid w:val="003F2145"/>
    <w:rsid w:val="003F22B5"/>
    <w:rsid w:val="003F22DF"/>
    <w:rsid w:val="003F2711"/>
    <w:rsid w:val="003F2A23"/>
    <w:rsid w:val="003F2FC4"/>
    <w:rsid w:val="003F3065"/>
    <w:rsid w:val="003F37B9"/>
    <w:rsid w:val="003F3E7F"/>
    <w:rsid w:val="003F40D2"/>
    <w:rsid w:val="003F4374"/>
    <w:rsid w:val="003F43AB"/>
    <w:rsid w:val="003F4646"/>
    <w:rsid w:val="003F4688"/>
    <w:rsid w:val="003F52F0"/>
    <w:rsid w:val="003F59DB"/>
    <w:rsid w:val="003F670A"/>
    <w:rsid w:val="003F67D0"/>
    <w:rsid w:val="003F68E9"/>
    <w:rsid w:val="003F6BB0"/>
    <w:rsid w:val="003F6EF4"/>
    <w:rsid w:val="003F70F1"/>
    <w:rsid w:val="003F70F9"/>
    <w:rsid w:val="003F7118"/>
    <w:rsid w:val="003F7249"/>
    <w:rsid w:val="003F728D"/>
    <w:rsid w:val="003F7599"/>
    <w:rsid w:val="003F7B58"/>
    <w:rsid w:val="004000C8"/>
    <w:rsid w:val="004003A8"/>
    <w:rsid w:val="004006B3"/>
    <w:rsid w:val="00400D8A"/>
    <w:rsid w:val="00400E16"/>
    <w:rsid w:val="00400EB7"/>
    <w:rsid w:val="00401BAF"/>
    <w:rsid w:val="0040268E"/>
    <w:rsid w:val="0040271E"/>
    <w:rsid w:val="0040274A"/>
    <w:rsid w:val="004028E5"/>
    <w:rsid w:val="004029CC"/>
    <w:rsid w:val="00402C32"/>
    <w:rsid w:val="00403135"/>
    <w:rsid w:val="00403163"/>
    <w:rsid w:val="00403178"/>
    <w:rsid w:val="0040369B"/>
    <w:rsid w:val="004038D8"/>
    <w:rsid w:val="004041E8"/>
    <w:rsid w:val="0040421B"/>
    <w:rsid w:val="00404290"/>
    <w:rsid w:val="00404896"/>
    <w:rsid w:val="004048CA"/>
    <w:rsid w:val="004048D1"/>
    <w:rsid w:val="00404FE5"/>
    <w:rsid w:val="00405607"/>
    <w:rsid w:val="0040561C"/>
    <w:rsid w:val="00405635"/>
    <w:rsid w:val="0040598D"/>
    <w:rsid w:val="00405993"/>
    <w:rsid w:val="004059D0"/>
    <w:rsid w:val="00405BEC"/>
    <w:rsid w:val="00405D27"/>
    <w:rsid w:val="00405FE3"/>
    <w:rsid w:val="0040672D"/>
    <w:rsid w:val="00406C15"/>
    <w:rsid w:val="00406ECF"/>
    <w:rsid w:val="00406F19"/>
    <w:rsid w:val="00406F7E"/>
    <w:rsid w:val="004071F2"/>
    <w:rsid w:val="00407301"/>
    <w:rsid w:val="00407909"/>
    <w:rsid w:val="00407BC1"/>
    <w:rsid w:val="00407DC4"/>
    <w:rsid w:val="00407F5F"/>
    <w:rsid w:val="00410085"/>
    <w:rsid w:val="004100E8"/>
    <w:rsid w:val="0041015D"/>
    <w:rsid w:val="00410381"/>
    <w:rsid w:val="00410596"/>
    <w:rsid w:val="00410801"/>
    <w:rsid w:val="004109F3"/>
    <w:rsid w:val="00411261"/>
    <w:rsid w:val="004112AA"/>
    <w:rsid w:val="004117EF"/>
    <w:rsid w:val="004117FB"/>
    <w:rsid w:val="00411801"/>
    <w:rsid w:val="00411906"/>
    <w:rsid w:val="004119D3"/>
    <w:rsid w:val="00411A23"/>
    <w:rsid w:val="00411D16"/>
    <w:rsid w:val="004121E3"/>
    <w:rsid w:val="0041230C"/>
    <w:rsid w:val="0041271B"/>
    <w:rsid w:val="0041287D"/>
    <w:rsid w:val="00412CC0"/>
    <w:rsid w:val="00412EEA"/>
    <w:rsid w:val="00413506"/>
    <w:rsid w:val="00413847"/>
    <w:rsid w:val="0041394D"/>
    <w:rsid w:val="0041417B"/>
    <w:rsid w:val="00414B91"/>
    <w:rsid w:val="00414D8B"/>
    <w:rsid w:val="004150A6"/>
    <w:rsid w:val="004152BF"/>
    <w:rsid w:val="0041536D"/>
    <w:rsid w:val="0041580A"/>
    <w:rsid w:val="00415EA3"/>
    <w:rsid w:val="00416355"/>
    <w:rsid w:val="004167FB"/>
    <w:rsid w:val="00416A1E"/>
    <w:rsid w:val="00417229"/>
    <w:rsid w:val="0041725F"/>
    <w:rsid w:val="00417879"/>
    <w:rsid w:val="004200DA"/>
    <w:rsid w:val="00420137"/>
    <w:rsid w:val="004202D4"/>
    <w:rsid w:val="00420EF1"/>
    <w:rsid w:val="00420FA0"/>
    <w:rsid w:val="004219BB"/>
    <w:rsid w:val="00421BBF"/>
    <w:rsid w:val="00422194"/>
    <w:rsid w:val="00422B3E"/>
    <w:rsid w:val="00422B52"/>
    <w:rsid w:val="00422BC1"/>
    <w:rsid w:val="00422F86"/>
    <w:rsid w:val="00422FC3"/>
    <w:rsid w:val="0042387B"/>
    <w:rsid w:val="00423A20"/>
    <w:rsid w:val="00423BA8"/>
    <w:rsid w:val="00423DD5"/>
    <w:rsid w:val="00423FDA"/>
    <w:rsid w:val="0042426B"/>
    <w:rsid w:val="0042438F"/>
    <w:rsid w:val="00424BB0"/>
    <w:rsid w:val="00424F0A"/>
    <w:rsid w:val="004250A3"/>
    <w:rsid w:val="00425C72"/>
    <w:rsid w:val="00425D30"/>
    <w:rsid w:val="00426284"/>
    <w:rsid w:val="00426388"/>
    <w:rsid w:val="0042671C"/>
    <w:rsid w:val="0042683E"/>
    <w:rsid w:val="00426863"/>
    <w:rsid w:val="00426A8C"/>
    <w:rsid w:val="00426B77"/>
    <w:rsid w:val="00426C1E"/>
    <w:rsid w:val="00426E2E"/>
    <w:rsid w:val="00426EF9"/>
    <w:rsid w:val="0042738B"/>
    <w:rsid w:val="004274CA"/>
    <w:rsid w:val="0042779C"/>
    <w:rsid w:val="00427D6E"/>
    <w:rsid w:val="00430012"/>
    <w:rsid w:val="00430562"/>
    <w:rsid w:val="00430769"/>
    <w:rsid w:val="00430BA6"/>
    <w:rsid w:val="00430C18"/>
    <w:rsid w:val="0043135F"/>
    <w:rsid w:val="004313A9"/>
    <w:rsid w:val="0043161A"/>
    <w:rsid w:val="0043164B"/>
    <w:rsid w:val="0043194F"/>
    <w:rsid w:val="0043201F"/>
    <w:rsid w:val="004321B8"/>
    <w:rsid w:val="0043257D"/>
    <w:rsid w:val="004327D2"/>
    <w:rsid w:val="00432D31"/>
    <w:rsid w:val="00432EB9"/>
    <w:rsid w:val="004330B9"/>
    <w:rsid w:val="004336BA"/>
    <w:rsid w:val="0043381E"/>
    <w:rsid w:val="00433E64"/>
    <w:rsid w:val="00433F96"/>
    <w:rsid w:val="004341E1"/>
    <w:rsid w:val="004341F4"/>
    <w:rsid w:val="00434A9E"/>
    <w:rsid w:val="00434FF2"/>
    <w:rsid w:val="0043528B"/>
    <w:rsid w:val="0043540E"/>
    <w:rsid w:val="004359B6"/>
    <w:rsid w:val="00435F70"/>
    <w:rsid w:val="00435F79"/>
    <w:rsid w:val="00435FB2"/>
    <w:rsid w:val="00436089"/>
    <w:rsid w:val="00436277"/>
    <w:rsid w:val="0043632A"/>
    <w:rsid w:val="004365B3"/>
    <w:rsid w:val="0043666F"/>
    <w:rsid w:val="004368D5"/>
    <w:rsid w:val="004369B2"/>
    <w:rsid w:val="00436ABD"/>
    <w:rsid w:val="00436ABF"/>
    <w:rsid w:val="00436B75"/>
    <w:rsid w:val="00436F0D"/>
    <w:rsid w:val="00437841"/>
    <w:rsid w:val="004379E8"/>
    <w:rsid w:val="00437B1B"/>
    <w:rsid w:val="00437C9A"/>
    <w:rsid w:val="00437D50"/>
    <w:rsid w:val="00440472"/>
    <w:rsid w:val="00440779"/>
    <w:rsid w:val="00440AA7"/>
    <w:rsid w:val="00440C7E"/>
    <w:rsid w:val="00440DEA"/>
    <w:rsid w:val="004411CA"/>
    <w:rsid w:val="00441231"/>
    <w:rsid w:val="00441322"/>
    <w:rsid w:val="00441419"/>
    <w:rsid w:val="004414C1"/>
    <w:rsid w:val="004419C5"/>
    <w:rsid w:val="00441BA0"/>
    <w:rsid w:val="00442202"/>
    <w:rsid w:val="00442335"/>
    <w:rsid w:val="0044236D"/>
    <w:rsid w:val="0044257C"/>
    <w:rsid w:val="004429D1"/>
    <w:rsid w:val="004430AA"/>
    <w:rsid w:val="004437CC"/>
    <w:rsid w:val="00443866"/>
    <w:rsid w:val="004439E2"/>
    <w:rsid w:val="00443C97"/>
    <w:rsid w:val="00443CCA"/>
    <w:rsid w:val="0044411F"/>
    <w:rsid w:val="00444B7A"/>
    <w:rsid w:val="00444C48"/>
    <w:rsid w:val="00444C64"/>
    <w:rsid w:val="00444CA1"/>
    <w:rsid w:val="00444D2B"/>
    <w:rsid w:val="00444D36"/>
    <w:rsid w:val="004450EC"/>
    <w:rsid w:val="0044541A"/>
    <w:rsid w:val="00445489"/>
    <w:rsid w:val="004456CB"/>
    <w:rsid w:val="00445BC7"/>
    <w:rsid w:val="00446017"/>
    <w:rsid w:val="004461D9"/>
    <w:rsid w:val="00446324"/>
    <w:rsid w:val="00446BCC"/>
    <w:rsid w:val="00447043"/>
    <w:rsid w:val="0044709B"/>
    <w:rsid w:val="004472FF"/>
    <w:rsid w:val="00447659"/>
    <w:rsid w:val="00447A57"/>
    <w:rsid w:val="00447F7A"/>
    <w:rsid w:val="004504C5"/>
    <w:rsid w:val="00450529"/>
    <w:rsid w:val="00450582"/>
    <w:rsid w:val="00450A83"/>
    <w:rsid w:val="00450E04"/>
    <w:rsid w:val="00450EAC"/>
    <w:rsid w:val="00450F32"/>
    <w:rsid w:val="00451661"/>
    <w:rsid w:val="0045169F"/>
    <w:rsid w:val="00451BDF"/>
    <w:rsid w:val="00451D92"/>
    <w:rsid w:val="00452057"/>
    <w:rsid w:val="00452621"/>
    <w:rsid w:val="00452672"/>
    <w:rsid w:val="00452BC9"/>
    <w:rsid w:val="00452C5D"/>
    <w:rsid w:val="004532C9"/>
    <w:rsid w:val="00453ADB"/>
    <w:rsid w:val="00453D8F"/>
    <w:rsid w:val="00453EBC"/>
    <w:rsid w:val="0045438C"/>
    <w:rsid w:val="00454423"/>
    <w:rsid w:val="0045485D"/>
    <w:rsid w:val="00454969"/>
    <w:rsid w:val="00454CFA"/>
    <w:rsid w:val="00454D87"/>
    <w:rsid w:val="00455144"/>
    <w:rsid w:val="00455273"/>
    <w:rsid w:val="004553FA"/>
    <w:rsid w:val="0045548F"/>
    <w:rsid w:val="00455A1C"/>
    <w:rsid w:val="00455B18"/>
    <w:rsid w:val="00455C9F"/>
    <w:rsid w:val="00456513"/>
    <w:rsid w:val="004567F6"/>
    <w:rsid w:val="0045685C"/>
    <w:rsid w:val="00457139"/>
    <w:rsid w:val="004571FA"/>
    <w:rsid w:val="004577C3"/>
    <w:rsid w:val="00457B93"/>
    <w:rsid w:val="00457BE0"/>
    <w:rsid w:val="00457D9E"/>
    <w:rsid w:val="00457F8B"/>
    <w:rsid w:val="00457F9B"/>
    <w:rsid w:val="00460217"/>
    <w:rsid w:val="0046048F"/>
    <w:rsid w:val="00460680"/>
    <w:rsid w:val="0046111B"/>
    <w:rsid w:val="0046124B"/>
    <w:rsid w:val="0046127A"/>
    <w:rsid w:val="004614DC"/>
    <w:rsid w:val="0046157A"/>
    <w:rsid w:val="00461732"/>
    <w:rsid w:val="00462015"/>
    <w:rsid w:val="0046220A"/>
    <w:rsid w:val="00462524"/>
    <w:rsid w:val="00462834"/>
    <w:rsid w:val="00463069"/>
    <w:rsid w:val="004632D3"/>
    <w:rsid w:val="00463308"/>
    <w:rsid w:val="00463B88"/>
    <w:rsid w:val="00464939"/>
    <w:rsid w:val="00464C5D"/>
    <w:rsid w:val="00464FFA"/>
    <w:rsid w:val="00465219"/>
    <w:rsid w:val="00465483"/>
    <w:rsid w:val="00465B09"/>
    <w:rsid w:val="00465C57"/>
    <w:rsid w:val="004660F1"/>
    <w:rsid w:val="0046638F"/>
    <w:rsid w:val="004664AA"/>
    <w:rsid w:val="00466599"/>
    <w:rsid w:val="00466DD7"/>
    <w:rsid w:val="004671CD"/>
    <w:rsid w:val="004674AE"/>
    <w:rsid w:val="00467544"/>
    <w:rsid w:val="0046786F"/>
    <w:rsid w:val="00467AEC"/>
    <w:rsid w:val="00467E2C"/>
    <w:rsid w:val="004704BE"/>
    <w:rsid w:val="00472BC5"/>
    <w:rsid w:val="00472BEA"/>
    <w:rsid w:val="00472C9B"/>
    <w:rsid w:val="00472D8F"/>
    <w:rsid w:val="0047317F"/>
    <w:rsid w:val="0047339F"/>
    <w:rsid w:val="004737B8"/>
    <w:rsid w:val="0047403E"/>
    <w:rsid w:val="00474473"/>
    <w:rsid w:val="004744DF"/>
    <w:rsid w:val="0047474D"/>
    <w:rsid w:val="00474A00"/>
    <w:rsid w:val="004750E7"/>
    <w:rsid w:val="00475477"/>
    <w:rsid w:val="00475C53"/>
    <w:rsid w:val="00475C88"/>
    <w:rsid w:val="00475D73"/>
    <w:rsid w:val="00475E70"/>
    <w:rsid w:val="0047611D"/>
    <w:rsid w:val="004763C3"/>
    <w:rsid w:val="00476766"/>
    <w:rsid w:val="00476F10"/>
    <w:rsid w:val="0047709F"/>
    <w:rsid w:val="004775B6"/>
    <w:rsid w:val="0047761A"/>
    <w:rsid w:val="004776B6"/>
    <w:rsid w:val="00477BE0"/>
    <w:rsid w:val="00477BEF"/>
    <w:rsid w:val="00477DB1"/>
    <w:rsid w:val="00480277"/>
    <w:rsid w:val="00480320"/>
    <w:rsid w:val="0048057A"/>
    <w:rsid w:val="0048066D"/>
    <w:rsid w:val="0048098A"/>
    <w:rsid w:val="00480C40"/>
    <w:rsid w:val="00480F6B"/>
    <w:rsid w:val="0048156A"/>
    <w:rsid w:val="004816C4"/>
    <w:rsid w:val="00481785"/>
    <w:rsid w:val="0048179E"/>
    <w:rsid w:val="00481813"/>
    <w:rsid w:val="00481A63"/>
    <w:rsid w:val="00481B9C"/>
    <w:rsid w:val="0048212A"/>
    <w:rsid w:val="00482EDF"/>
    <w:rsid w:val="00482F35"/>
    <w:rsid w:val="0048332C"/>
    <w:rsid w:val="004835C9"/>
    <w:rsid w:val="0048360B"/>
    <w:rsid w:val="0048376F"/>
    <w:rsid w:val="00483AB2"/>
    <w:rsid w:val="004843CB"/>
    <w:rsid w:val="004848A9"/>
    <w:rsid w:val="00484D92"/>
    <w:rsid w:val="00485168"/>
    <w:rsid w:val="0048541A"/>
    <w:rsid w:val="00485597"/>
    <w:rsid w:val="0048581F"/>
    <w:rsid w:val="00485AAA"/>
    <w:rsid w:val="00485CA8"/>
    <w:rsid w:val="00485F13"/>
    <w:rsid w:val="0048666A"/>
    <w:rsid w:val="00486744"/>
    <w:rsid w:val="004867EF"/>
    <w:rsid w:val="00486844"/>
    <w:rsid w:val="0048688C"/>
    <w:rsid w:val="004873D2"/>
    <w:rsid w:val="004874FF"/>
    <w:rsid w:val="0048757B"/>
    <w:rsid w:val="00487805"/>
    <w:rsid w:val="00487951"/>
    <w:rsid w:val="004900FD"/>
    <w:rsid w:val="004902A3"/>
    <w:rsid w:val="0049030C"/>
    <w:rsid w:val="0049036D"/>
    <w:rsid w:val="004906BC"/>
    <w:rsid w:val="0049084A"/>
    <w:rsid w:val="0049098F"/>
    <w:rsid w:val="00490ECA"/>
    <w:rsid w:val="00490FB1"/>
    <w:rsid w:val="00491EBC"/>
    <w:rsid w:val="004920FE"/>
    <w:rsid w:val="004921CC"/>
    <w:rsid w:val="004927A3"/>
    <w:rsid w:val="00492A8A"/>
    <w:rsid w:val="00492B08"/>
    <w:rsid w:val="00492D66"/>
    <w:rsid w:val="004930C5"/>
    <w:rsid w:val="0049348B"/>
    <w:rsid w:val="004934EF"/>
    <w:rsid w:val="0049378B"/>
    <w:rsid w:val="004937C1"/>
    <w:rsid w:val="004939F3"/>
    <w:rsid w:val="00493ADD"/>
    <w:rsid w:val="00493B01"/>
    <w:rsid w:val="00493BAB"/>
    <w:rsid w:val="00493C2A"/>
    <w:rsid w:val="00493CFA"/>
    <w:rsid w:val="00493F79"/>
    <w:rsid w:val="00494485"/>
    <w:rsid w:val="00494602"/>
    <w:rsid w:val="0049462C"/>
    <w:rsid w:val="00494B0E"/>
    <w:rsid w:val="00494E23"/>
    <w:rsid w:val="0049507D"/>
    <w:rsid w:val="0049508A"/>
    <w:rsid w:val="004959AD"/>
    <w:rsid w:val="00496086"/>
    <w:rsid w:val="00496172"/>
    <w:rsid w:val="004969AD"/>
    <w:rsid w:val="00496C05"/>
    <w:rsid w:val="00496E6D"/>
    <w:rsid w:val="00497186"/>
    <w:rsid w:val="004973F2"/>
    <w:rsid w:val="00497475"/>
    <w:rsid w:val="004975F9"/>
    <w:rsid w:val="00497979"/>
    <w:rsid w:val="00497C04"/>
    <w:rsid w:val="00497C67"/>
    <w:rsid w:val="00497D48"/>
    <w:rsid w:val="004A0524"/>
    <w:rsid w:val="004A0733"/>
    <w:rsid w:val="004A077D"/>
    <w:rsid w:val="004A07A1"/>
    <w:rsid w:val="004A0D37"/>
    <w:rsid w:val="004A0EBA"/>
    <w:rsid w:val="004A0FC4"/>
    <w:rsid w:val="004A12D4"/>
    <w:rsid w:val="004A14D5"/>
    <w:rsid w:val="004A164E"/>
    <w:rsid w:val="004A1664"/>
    <w:rsid w:val="004A1B79"/>
    <w:rsid w:val="004A1DF6"/>
    <w:rsid w:val="004A2376"/>
    <w:rsid w:val="004A2654"/>
    <w:rsid w:val="004A272F"/>
    <w:rsid w:val="004A274C"/>
    <w:rsid w:val="004A285E"/>
    <w:rsid w:val="004A3321"/>
    <w:rsid w:val="004A3B34"/>
    <w:rsid w:val="004A3D13"/>
    <w:rsid w:val="004A435A"/>
    <w:rsid w:val="004A4586"/>
    <w:rsid w:val="004A4935"/>
    <w:rsid w:val="004A4FCD"/>
    <w:rsid w:val="004A54C0"/>
    <w:rsid w:val="004A578C"/>
    <w:rsid w:val="004A5A8F"/>
    <w:rsid w:val="004A5ADD"/>
    <w:rsid w:val="004A5E54"/>
    <w:rsid w:val="004A622C"/>
    <w:rsid w:val="004A625D"/>
    <w:rsid w:val="004A6448"/>
    <w:rsid w:val="004A66C3"/>
    <w:rsid w:val="004A6B29"/>
    <w:rsid w:val="004A6C9A"/>
    <w:rsid w:val="004A7293"/>
    <w:rsid w:val="004A7BE5"/>
    <w:rsid w:val="004A7D3C"/>
    <w:rsid w:val="004B01D3"/>
    <w:rsid w:val="004B0EE5"/>
    <w:rsid w:val="004B142A"/>
    <w:rsid w:val="004B157C"/>
    <w:rsid w:val="004B15AA"/>
    <w:rsid w:val="004B1882"/>
    <w:rsid w:val="004B224E"/>
    <w:rsid w:val="004B283C"/>
    <w:rsid w:val="004B288A"/>
    <w:rsid w:val="004B2B39"/>
    <w:rsid w:val="004B2C25"/>
    <w:rsid w:val="004B2C73"/>
    <w:rsid w:val="004B3124"/>
    <w:rsid w:val="004B324E"/>
    <w:rsid w:val="004B32F7"/>
    <w:rsid w:val="004B3383"/>
    <w:rsid w:val="004B33CA"/>
    <w:rsid w:val="004B3643"/>
    <w:rsid w:val="004B43A2"/>
    <w:rsid w:val="004B4460"/>
    <w:rsid w:val="004B47D9"/>
    <w:rsid w:val="004B4DD4"/>
    <w:rsid w:val="004B57BC"/>
    <w:rsid w:val="004B59D3"/>
    <w:rsid w:val="004B5DA2"/>
    <w:rsid w:val="004B5E27"/>
    <w:rsid w:val="004B5FBB"/>
    <w:rsid w:val="004B6035"/>
    <w:rsid w:val="004B630B"/>
    <w:rsid w:val="004B651F"/>
    <w:rsid w:val="004B66E9"/>
    <w:rsid w:val="004B6722"/>
    <w:rsid w:val="004B6C22"/>
    <w:rsid w:val="004B6E3C"/>
    <w:rsid w:val="004B709B"/>
    <w:rsid w:val="004B71AB"/>
    <w:rsid w:val="004B7363"/>
    <w:rsid w:val="004B7553"/>
    <w:rsid w:val="004B757A"/>
    <w:rsid w:val="004B7BD8"/>
    <w:rsid w:val="004B7E53"/>
    <w:rsid w:val="004C040D"/>
    <w:rsid w:val="004C04A6"/>
    <w:rsid w:val="004C0964"/>
    <w:rsid w:val="004C09A0"/>
    <w:rsid w:val="004C107B"/>
    <w:rsid w:val="004C1162"/>
    <w:rsid w:val="004C1795"/>
    <w:rsid w:val="004C1C97"/>
    <w:rsid w:val="004C1D05"/>
    <w:rsid w:val="004C1D2A"/>
    <w:rsid w:val="004C1E6E"/>
    <w:rsid w:val="004C2253"/>
    <w:rsid w:val="004C2381"/>
    <w:rsid w:val="004C2772"/>
    <w:rsid w:val="004C2993"/>
    <w:rsid w:val="004C2AB0"/>
    <w:rsid w:val="004C2C04"/>
    <w:rsid w:val="004C2F22"/>
    <w:rsid w:val="004C33A8"/>
    <w:rsid w:val="004C33D2"/>
    <w:rsid w:val="004C33DC"/>
    <w:rsid w:val="004C34C3"/>
    <w:rsid w:val="004C3EE7"/>
    <w:rsid w:val="004C4287"/>
    <w:rsid w:val="004C4561"/>
    <w:rsid w:val="004C4D9B"/>
    <w:rsid w:val="004C4E57"/>
    <w:rsid w:val="004C5051"/>
    <w:rsid w:val="004C51AF"/>
    <w:rsid w:val="004C5292"/>
    <w:rsid w:val="004C52B2"/>
    <w:rsid w:val="004C5BEC"/>
    <w:rsid w:val="004C5C3A"/>
    <w:rsid w:val="004C5C3E"/>
    <w:rsid w:val="004C65D4"/>
    <w:rsid w:val="004C6E0F"/>
    <w:rsid w:val="004C6ED0"/>
    <w:rsid w:val="004C6F6A"/>
    <w:rsid w:val="004C7321"/>
    <w:rsid w:val="004D041F"/>
    <w:rsid w:val="004D07C4"/>
    <w:rsid w:val="004D0A79"/>
    <w:rsid w:val="004D0E7F"/>
    <w:rsid w:val="004D0F3F"/>
    <w:rsid w:val="004D207D"/>
    <w:rsid w:val="004D2597"/>
    <w:rsid w:val="004D28F5"/>
    <w:rsid w:val="004D2A49"/>
    <w:rsid w:val="004D2B45"/>
    <w:rsid w:val="004D2BC2"/>
    <w:rsid w:val="004D2D94"/>
    <w:rsid w:val="004D3058"/>
    <w:rsid w:val="004D3180"/>
    <w:rsid w:val="004D339A"/>
    <w:rsid w:val="004D34F2"/>
    <w:rsid w:val="004D3503"/>
    <w:rsid w:val="004D378F"/>
    <w:rsid w:val="004D3CEC"/>
    <w:rsid w:val="004D3F5D"/>
    <w:rsid w:val="004D42B4"/>
    <w:rsid w:val="004D47FB"/>
    <w:rsid w:val="004D4D10"/>
    <w:rsid w:val="004D4D83"/>
    <w:rsid w:val="004D5129"/>
    <w:rsid w:val="004D5336"/>
    <w:rsid w:val="004D5577"/>
    <w:rsid w:val="004D6593"/>
    <w:rsid w:val="004D670C"/>
    <w:rsid w:val="004D67F5"/>
    <w:rsid w:val="004D6B35"/>
    <w:rsid w:val="004D6C5A"/>
    <w:rsid w:val="004D7BE9"/>
    <w:rsid w:val="004D7C9F"/>
    <w:rsid w:val="004D7FD7"/>
    <w:rsid w:val="004E0876"/>
    <w:rsid w:val="004E0D08"/>
    <w:rsid w:val="004E0E0B"/>
    <w:rsid w:val="004E0F5A"/>
    <w:rsid w:val="004E10B4"/>
    <w:rsid w:val="004E12A4"/>
    <w:rsid w:val="004E15FF"/>
    <w:rsid w:val="004E17FA"/>
    <w:rsid w:val="004E1B50"/>
    <w:rsid w:val="004E1B63"/>
    <w:rsid w:val="004E2083"/>
    <w:rsid w:val="004E2545"/>
    <w:rsid w:val="004E25A6"/>
    <w:rsid w:val="004E2A62"/>
    <w:rsid w:val="004E2B38"/>
    <w:rsid w:val="004E2B6B"/>
    <w:rsid w:val="004E2D0E"/>
    <w:rsid w:val="004E31DE"/>
    <w:rsid w:val="004E34A0"/>
    <w:rsid w:val="004E3530"/>
    <w:rsid w:val="004E3AD3"/>
    <w:rsid w:val="004E3BF2"/>
    <w:rsid w:val="004E48CC"/>
    <w:rsid w:val="004E4CCC"/>
    <w:rsid w:val="004E4F2E"/>
    <w:rsid w:val="004E52A1"/>
    <w:rsid w:val="004E53A1"/>
    <w:rsid w:val="004E56F2"/>
    <w:rsid w:val="004E5711"/>
    <w:rsid w:val="004E5737"/>
    <w:rsid w:val="004E5780"/>
    <w:rsid w:val="004E643F"/>
    <w:rsid w:val="004E6591"/>
    <w:rsid w:val="004E6745"/>
    <w:rsid w:val="004E69CE"/>
    <w:rsid w:val="004E6C76"/>
    <w:rsid w:val="004E6D66"/>
    <w:rsid w:val="004E6D71"/>
    <w:rsid w:val="004E702C"/>
    <w:rsid w:val="004E708C"/>
    <w:rsid w:val="004E7537"/>
    <w:rsid w:val="004E75FC"/>
    <w:rsid w:val="004E76E6"/>
    <w:rsid w:val="004E770D"/>
    <w:rsid w:val="004E7B50"/>
    <w:rsid w:val="004E7FAB"/>
    <w:rsid w:val="004F094B"/>
    <w:rsid w:val="004F0B7E"/>
    <w:rsid w:val="004F1194"/>
    <w:rsid w:val="004F11CB"/>
    <w:rsid w:val="004F11F7"/>
    <w:rsid w:val="004F122C"/>
    <w:rsid w:val="004F1364"/>
    <w:rsid w:val="004F13BE"/>
    <w:rsid w:val="004F1680"/>
    <w:rsid w:val="004F1AE8"/>
    <w:rsid w:val="004F1F6B"/>
    <w:rsid w:val="004F1FD0"/>
    <w:rsid w:val="004F21C4"/>
    <w:rsid w:val="004F24B3"/>
    <w:rsid w:val="004F2698"/>
    <w:rsid w:val="004F2C50"/>
    <w:rsid w:val="004F320D"/>
    <w:rsid w:val="004F3515"/>
    <w:rsid w:val="004F35B9"/>
    <w:rsid w:val="004F3603"/>
    <w:rsid w:val="004F3797"/>
    <w:rsid w:val="004F37D0"/>
    <w:rsid w:val="004F3F96"/>
    <w:rsid w:val="004F4665"/>
    <w:rsid w:val="004F4B23"/>
    <w:rsid w:val="004F4E4F"/>
    <w:rsid w:val="004F5256"/>
    <w:rsid w:val="004F54E6"/>
    <w:rsid w:val="004F5E1D"/>
    <w:rsid w:val="004F64E3"/>
    <w:rsid w:val="004F68B4"/>
    <w:rsid w:val="004F7024"/>
    <w:rsid w:val="004F763E"/>
    <w:rsid w:val="004F7CBC"/>
    <w:rsid w:val="004F7F2C"/>
    <w:rsid w:val="00500531"/>
    <w:rsid w:val="005005D7"/>
    <w:rsid w:val="0050120B"/>
    <w:rsid w:val="005017F0"/>
    <w:rsid w:val="00501A24"/>
    <w:rsid w:val="00501B54"/>
    <w:rsid w:val="0050202E"/>
    <w:rsid w:val="0050298B"/>
    <w:rsid w:val="00502BF0"/>
    <w:rsid w:val="00502F19"/>
    <w:rsid w:val="005034CC"/>
    <w:rsid w:val="00503556"/>
    <w:rsid w:val="00503A32"/>
    <w:rsid w:val="00503CB3"/>
    <w:rsid w:val="00503F26"/>
    <w:rsid w:val="00504165"/>
    <w:rsid w:val="00504549"/>
    <w:rsid w:val="005046BB"/>
    <w:rsid w:val="00504F67"/>
    <w:rsid w:val="00505A64"/>
    <w:rsid w:val="00505A9C"/>
    <w:rsid w:val="00505B5C"/>
    <w:rsid w:val="00506A22"/>
    <w:rsid w:val="00506BD8"/>
    <w:rsid w:val="00506C34"/>
    <w:rsid w:val="00506DE9"/>
    <w:rsid w:val="00506E07"/>
    <w:rsid w:val="00507574"/>
    <w:rsid w:val="00507650"/>
    <w:rsid w:val="005076FC"/>
    <w:rsid w:val="00507992"/>
    <w:rsid w:val="00507DEB"/>
    <w:rsid w:val="00507E0E"/>
    <w:rsid w:val="00507ED9"/>
    <w:rsid w:val="005104F9"/>
    <w:rsid w:val="00510897"/>
    <w:rsid w:val="00510E00"/>
    <w:rsid w:val="00510E27"/>
    <w:rsid w:val="0051123A"/>
    <w:rsid w:val="00511AE8"/>
    <w:rsid w:val="00511E0C"/>
    <w:rsid w:val="0051212D"/>
    <w:rsid w:val="005121E7"/>
    <w:rsid w:val="0051250A"/>
    <w:rsid w:val="0051268E"/>
    <w:rsid w:val="005128D3"/>
    <w:rsid w:val="005129B7"/>
    <w:rsid w:val="005129F9"/>
    <w:rsid w:val="00512A9B"/>
    <w:rsid w:val="0051321B"/>
    <w:rsid w:val="005134AE"/>
    <w:rsid w:val="005136A9"/>
    <w:rsid w:val="00514129"/>
    <w:rsid w:val="0051414A"/>
    <w:rsid w:val="005146A3"/>
    <w:rsid w:val="0051487C"/>
    <w:rsid w:val="0051499F"/>
    <w:rsid w:val="00514C4F"/>
    <w:rsid w:val="0051501E"/>
    <w:rsid w:val="00515086"/>
    <w:rsid w:val="00515529"/>
    <w:rsid w:val="00515744"/>
    <w:rsid w:val="005159F7"/>
    <w:rsid w:val="005160E6"/>
    <w:rsid w:val="0051613B"/>
    <w:rsid w:val="005166DD"/>
    <w:rsid w:val="00517105"/>
    <w:rsid w:val="005171B1"/>
    <w:rsid w:val="0052005C"/>
    <w:rsid w:val="00520314"/>
    <w:rsid w:val="005203FA"/>
    <w:rsid w:val="00520EC8"/>
    <w:rsid w:val="00520EF9"/>
    <w:rsid w:val="00521196"/>
    <w:rsid w:val="005215A1"/>
    <w:rsid w:val="00521A81"/>
    <w:rsid w:val="00521D1E"/>
    <w:rsid w:val="005223CE"/>
    <w:rsid w:val="0052254C"/>
    <w:rsid w:val="00522ACB"/>
    <w:rsid w:val="005232C3"/>
    <w:rsid w:val="0052336F"/>
    <w:rsid w:val="0052369D"/>
    <w:rsid w:val="00523CDA"/>
    <w:rsid w:val="00523D8A"/>
    <w:rsid w:val="00523DE9"/>
    <w:rsid w:val="00523E19"/>
    <w:rsid w:val="00523E7F"/>
    <w:rsid w:val="0052423C"/>
    <w:rsid w:val="005249E3"/>
    <w:rsid w:val="00525004"/>
    <w:rsid w:val="005254BB"/>
    <w:rsid w:val="00525784"/>
    <w:rsid w:val="00525814"/>
    <w:rsid w:val="005260B2"/>
    <w:rsid w:val="005261F1"/>
    <w:rsid w:val="005264C4"/>
    <w:rsid w:val="00526670"/>
    <w:rsid w:val="00526963"/>
    <w:rsid w:val="00526C98"/>
    <w:rsid w:val="00526DDF"/>
    <w:rsid w:val="00527285"/>
    <w:rsid w:val="005274E7"/>
    <w:rsid w:val="00527658"/>
    <w:rsid w:val="005279A1"/>
    <w:rsid w:val="005279EC"/>
    <w:rsid w:val="00527A0A"/>
    <w:rsid w:val="00527C12"/>
    <w:rsid w:val="00527DD2"/>
    <w:rsid w:val="00527EF4"/>
    <w:rsid w:val="0053100A"/>
    <w:rsid w:val="0053135E"/>
    <w:rsid w:val="0053164F"/>
    <w:rsid w:val="00531853"/>
    <w:rsid w:val="00532BA7"/>
    <w:rsid w:val="00532D9D"/>
    <w:rsid w:val="00532E76"/>
    <w:rsid w:val="005338D2"/>
    <w:rsid w:val="00533D08"/>
    <w:rsid w:val="005340C5"/>
    <w:rsid w:val="005342E0"/>
    <w:rsid w:val="005345B7"/>
    <w:rsid w:val="00534BC1"/>
    <w:rsid w:val="00535000"/>
    <w:rsid w:val="005350E5"/>
    <w:rsid w:val="005351A8"/>
    <w:rsid w:val="0053539C"/>
    <w:rsid w:val="0053555F"/>
    <w:rsid w:val="0053562F"/>
    <w:rsid w:val="00535BD0"/>
    <w:rsid w:val="005360D5"/>
    <w:rsid w:val="0053634D"/>
    <w:rsid w:val="005365A1"/>
    <w:rsid w:val="00536832"/>
    <w:rsid w:val="00536B0A"/>
    <w:rsid w:val="00536C84"/>
    <w:rsid w:val="00537034"/>
    <w:rsid w:val="005371CB"/>
    <w:rsid w:val="005372CE"/>
    <w:rsid w:val="0053741D"/>
    <w:rsid w:val="00540F9B"/>
    <w:rsid w:val="005417F1"/>
    <w:rsid w:val="00541F3F"/>
    <w:rsid w:val="00542087"/>
    <w:rsid w:val="00542088"/>
    <w:rsid w:val="005422E5"/>
    <w:rsid w:val="00542308"/>
    <w:rsid w:val="00543E1E"/>
    <w:rsid w:val="00543EFB"/>
    <w:rsid w:val="00544129"/>
    <w:rsid w:val="005442DB"/>
    <w:rsid w:val="005443B8"/>
    <w:rsid w:val="00544952"/>
    <w:rsid w:val="0054523F"/>
    <w:rsid w:val="0054566B"/>
    <w:rsid w:val="005458E2"/>
    <w:rsid w:val="00545C65"/>
    <w:rsid w:val="005465CA"/>
    <w:rsid w:val="0054696B"/>
    <w:rsid w:val="00546B4D"/>
    <w:rsid w:val="00546D7B"/>
    <w:rsid w:val="0054748F"/>
    <w:rsid w:val="0054773E"/>
    <w:rsid w:val="005478DD"/>
    <w:rsid w:val="005478E2"/>
    <w:rsid w:val="00547C83"/>
    <w:rsid w:val="00547D90"/>
    <w:rsid w:val="00547DB7"/>
    <w:rsid w:val="005502B1"/>
    <w:rsid w:val="005508B7"/>
    <w:rsid w:val="00550AAF"/>
    <w:rsid w:val="00550BBC"/>
    <w:rsid w:val="00550EC7"/>
    <w:rsid w:val="00551955"/>
    <w:rsid w:val="00551A4D"/>
    <w:rsid w:val="00551DB0"/>
    <w:rsid w:val="00551F04"/>
    <w:rsid w:val="00551FDB"/>
    <w:rsid w:val="00552366"/>
    <w:rsid w:val="0055242C"/>
    <w:rsid w:val="005524FA"/>
    <w:rsid w:val="005525BC"/>
    <w:rsid w:val="00552695"/>
    <w:rsid w:val="00552925"/>
    <w:rsid w:val="00552CE4"/>
    <w:rsid w:val="00552E48"/>
    <w:rsid w:val="00553031"/>
    <w:rsid w:val="005533EA"/>
    <w:rsid w:val="005533F6"/>
    <w:rsid w:val="00553487"/>
    <w:rsid w:val="0055362E"/>
    <w:rsid w:val="00553891"/>
    <w:rsid w:val="00553ACE"/>
    <w:rsid w:val="00553BD3"/>
    <w:rsid w:val="00553D28"/>
    <w:rsid w:val="00553EFA"/>
    <w:rsid w:val="0055411C"/>
    <w:rsid w:val="00554B10"/>
    <w:rsid w:val="00555018"/>
    <w:rsid w:val="00555203"/>
    <w:rsid w:val="005552E4"/>
    <w:rsid w:val="0055548A"/>
    <w:rsid w:val="00555711"/>
    <w:rsid w:val="0055571F"/>
    <w:rsid w:val="00555E41"/>
    <w:rsid w:val="005563BC"/>
    <w:rsid w:val="005572D4"/>
    <w:rsid w:val="00557618"/>
    <w:rsid w:val="0055761C"/>
    <w:rsid w:val="00557910"/>
    <w:rsid w:val="00557D88"/>
    <w:rsid w:val="0056012C"/>
    <w:rsid w:val="00560870"/>
    <w:rsid w:val="005609D1"/>
    <w:rsid w:val="00560AAC"/>
    <w:rsid w:val="00560C51"/>
    <w:rsid w:val="00560F7D"/>
    <w:rsid w:val="00561379"/>
    <w:rsid w:val="00561859"/>
    <w:rsid w:val="0056185C"/>
    <w:rsid w:val="00561B72"/>
    <w:rsid w:val="00561C53"/>
    <w:rsid w:val="00561EE6"/>
    <w:rsid w:val="00561EFA"/>
    <w:rsid w:val="00561FBE"/>
    <w:rsid w:val="00562126"/>
    <w:rsid w:val="005623FF"/>
    <w:rsid w:val="005625B5"/>
    <w:rsid w:val="0056264C"/>
    <w:rsid w:val="00562E38"/>
    <w:rsid w:val="00563013"/>
    <w:rsid w:val="00563220"/>
    <w:rsid w:val="005632EE"/>
    <w:rsid w:val="0056424F"/>
    <w:rsid w:val="00564476"/>
    <w:rsid w:val="0056455B"/>
    <w:rsid w:val="0056463B"/>
    <w:rsid w:val="005650C3"/>
    <w:rsid w:val="005654BB"/>
    <w:rsid w:val="00565E4E"/>
    <w:rsid w:val="00565E73"/>
    <w:rsid w:val="00565F45"/>
    <w:rsid w:val="00565F99"/>
    <w:rsid w:val="0056605E"/>
    <w:rsid w:val="005669FA"/>
    <w:rsid w:val="0056732A"/>
    <w:rsid w:val="0056753A"/>
    <w:rsid w:val="005675BD"/>
    <w:rsid w:val="00567AF8"/>
    <w:rsid w:val="00567D14"/>
    <w:rsid w:val="00567F98"/>
    <w:rsid w:val="005702CB"/>
    <w:rsid w:val="00570357"/>
    <w:rsid w:val="00570823"/>
    <w:rsid w:val="00570C50"/>
    <w:rsid w:val="005713D6"/>
    <w:rsid w:val="0057145C"/>
    <w:rsid w:val="00571DBF"/>
    <w:rsid w:val="00571FB0"/>
    <w:rsid w:val="00572555"/>
    <w:rsid w:val="00572756"/>
    <w:rsid w:val="00572840"/>
    <w:rsid w:val="00572A6D"/>
    <w:rsid w:val="00572BF7"/>
    <w:rsid w:val="00572DA4"/>
    <w:rsid w:val="00572DBA"/>
    <w:rsid w:val="0057309E"/>
    <w:rsid w:val="00573BAD"/>
    <w:rsid w:val="00573ECB"/>
    <w:rsid w:val="00573FFE"/>
    <w:rsid w:val="0057400F"/>
    <w:rsid w:val="005741F0"/>
    <w:rsid w:val="0057466B"/>
    <w:rsid w:val="005748BC"/>
    <w:rsid w:val="00574AD7"/>
    <w:rsid w:val="00574C9A"/>
    <w:rsid w:val="005753E1"/>
    <w:rsid w:val="00576050"/>
    <w:rsid w:val="005762A2"/>
    <w:rsid w:val="00576570"/>
    <w:rsid w:val="0057684F"/>
    <w:rsid w:val="00576E7D"/>
    <w:rsid w:val="00576FDA"/>
    <w:rsid w:val="00577108"/>
    <w:rsid w:val="00577445"/>
    <w:rsid w:val="0057767B"/>
    <w:rsid w:val="00577A6D"/>
    <w:rsid w:val="0058005F"/>
    <w:rsid w:val="0058084E"/>
    <w:rsid w:val="00580B9E"/>
    <w:rsid w:val="00580BBA"/>
    <w:rsid w:val="00580F43"/>
    <w:rsid w:val="00580FD6"/>
    <w:rsid w:val="00581483"/>
    <w:rsid w:val="005814C3"/>
    <w:rsid w:val="00581A50"/>
    <w:rsid w:val="0058205F"/>
    <w:rsid w:val="00582B34"/>
    <w:rsid w:val="00582C9E"/>
    <w:rsid w:val="00582D97"/>
    <w:rsid w:val="00583161"/>
    <w:rsid w:val="00583240"/>
    <w:rsid w:val="00583247"/>
    <w:rsid w:val="005836AA"/>
    <w:rsid w:val="0058382E"/>
    <w:rsid w:val="005838D8"/>
    <w:rsid w:val="00583D5A"/>
    <w:rsid w:val="00583E17"/>
    <w:rsid w:val="00583F9D"/>
    <w:rsid w:val="005840D3"/>
    <w:rsid w:val="005844A6"/>
    <w:rsid w:val="005844DF"/>
    <w:rsid w:val="00584586"/>
    <w:rsid w:val="00584652"/>
    <w:rsid w:val="00584734"/>
    <w:rsid w:val="00584798"/>
    <w:rsid w:val="0058499B"/>
    <w:rsid w:val="00584FF3"/>
    <w:rsid w:val="005856D8"/>
    <w:rsid w:val="005859C4"/>
    <w:rsid w:val="00585F80"/>
    <w:rsid w:val="00586323"/>
    <w:rsid w:val="005863D8"/>
    <w:rsid w:val="00586F9C"/>
    <w:rsid w:val="00587485"/>
    <w:rsid w:val="005874D2"/>
    <w:rsid w:val="0058760E"/>
    <w:rsid w:val="00587A55"/>
    <w:rsid w:val="00590187"/>
    <w:rsid w:val="00590358"/>
    <w:rsid w:val="005905FE"/>
    <w:rsid w:val="00590DB6"/>
    <w:rsid w:val="005910FB"/>
    <w:rsid w:val="00591686"/>
    <w:rsid w:val="00591AA5"/>
    <w:rsid w:val="00591DDA"/>
    <w:rsid w:val="00591E10"/>
    <w:rsid w:val="005923AE"/>
    <w:rsid w:val="00592728"/>
    <w:rsid w:val="00592973"/>
    <w:rsid w:val="005929DA"/>
    <w:rsid w:val="00593105"/>
    <w:rsid w:val="00593447"/>
    <w:rsid w:val="00593CE2"/>
    <w:rsid w:val="00593DA6"/>
    <w:rsid w:val="00593F4A"/>
    <w:rsid w:val="005947EE"/>
    <w:rsid w:val="00594EB8"/>
    <w:rsid w:val="005952E1"/>
    <w:rsid w:val="00595379"/>
    <w:rsid w:val="0059573C"/>
    <w:rsid w:val="0059580C"/>
    <w:rsid w:val="00595F1A"/>
    <w:rsid w:val="00595FAD"/>
    <w:rsid w:val="00596146"/>
    <w:rsid w:val="0059615C"/>
    <w:rsid w:val="00596771"/>
    <w:rsid w:val="0059678C"/>
    <w:rsid w:val="005967CE"/>
    <w:rsid w:val="005971FB"/>
    <w:rsid w:val="005972D6"/>
    <w:rsid w:val="00597791"/>
    <w:rsid w:val="0059796D"/>
    <w:rsid w:val="00597FAC"/>
    <w:rsid w:val="00597FD1"/>
    <w:rsid w:val="005A019B"/>
    <w:rsid w:val="005A0AF1"/>
    <w:rsid w:val="005A0F6C"/>
    <w:rsid w:val="005A10A9"/>
    <w:rsid w:val="005A11A8"/>
    <w:rsid w:val="005A1372"/>
    <w:rsid w:val="005A188F"/>
    <w:rsid w:val="005A18F6"/>
    <w:rsid w:val="005A1978"/>
    <w:rsid w:val="005A20BE"/>
    <w:rsid w:val="005A2910"/>
    <w:rsid w:val="005A2B56"/>
    <w:rsid w:val="005A2F94"/>
    <w:rsid w:val="005A301A"/>
    <w:rsid w:val="005A31C0"/>
    <w:rsid w:val="005A342B"/>
    <w:rsid w:val="005A359F"/>
    <w:rsid w:val="005A361F"/>
    <w:rsid w:val="005A3661"/>
    <w:rsid w:val="005A377D"/>
    <w:rsid w:val="005A39AF"/>
    <w:rsid w:val="005A3B81"/>
    <w:rsid w:val="005A3E37"/>
    <w:rsid w:val="005A4317"/>
    <w:rsid w:val="005A4373"/>
    <w:rsid w:val="005A4931"/>
    <w:rsid w:val="005A4F64"/>
    <w:rsid w:val="005A5110"/>
    <w:rsid w:val="005A5222"/>
    <w:rsid w:val="005A547D"/>
    <w:rsid w:val="005A54E0"/>
    <w:rsid w:val="005A5501"/>
    <w:rsid w:val="005A582C"/>
    <w:rsid w:val="005A5950"/>
    <w:rsid w:val="005A5C3C"/>
    <w:rsid w:val="005A5F1D"/>
    <w:rsid w:val="005A6BD5"/>
    <w:rsid w:val="005A71B1"/>
    <w:rsid w:val="005A7945"/>
    <w:rsid w:val="005A7B5D"/>
    <w:rsid w:val="005A7BF9"/>
    <w:rsid w:val="005B18B6"/>
    <w:rsid w:val="005B1AD7"/>
    <w:rsid w:val="005B1C8F"/>
    <w:rsid w:val="005B1E28"/>
    <w:rsid w:val="005B2322"/>
    <w:rsid w:val="005B2BF4"/>
    <w:rsid w:val="005B2C16"/>
    <w:rsid w:val="005B2DA3"/>
    <w:rsid w:val="005B3AE1"/>
    <w:rsid w:val="005B3F16"/>
    <w:rsid w:val="005B468F"/>
    <w:rsid w:val="005B46EA"/>
    <w:rsid w:val="005B4ACA"/>
    <w:rsid w:val="005B4FD8"/>
    <w:rsid w:val="005B53C0"/>
    <w:rsid w:val="005B561C"/>
    <w:rsid w:val="005B595B"/>
    <w:rsid w:val="005B5D5F"/>
    <w:rsid w:val="005B5F85"/>
    <w:rsid w:val="005B6450"/>
    <w:rsid w:val="005B65B9"/>
    <w:rsid w:val="005B6998"/>
    <w:rsid w:val="005B6C5E"/>
    <w:rsid w:val="005B6C6E"/>
    <w:rsid w:val="005B6C96"/>
    <w:rsid w:val="005B708D"/>
    <w:rsid w:val="005B7694"/>
    <w:rsid w:val="005B77F1"/>
    <w:rsid w:val="005C0564"/>
    <w:rsid w:val="005C0861"/>
    <w:rsid w:val="005C0DA1"/>
    <w:rsid w:val="005C1091"/>
    <w:rsid w:val="005C125F"/>
    <w:rsid w:val="005C1756"/>
    <w:rsid w:val="005C1906"/>
    <w:rsid w:val="005C1AE6"/>
    <w:rsid w:val="005C1B70"/>
    <w:rsid w:val="005C1C68"/>
    <w:rsid w:val="005C1FBE"/>
    <w:rsid w:val="005C2096"/>
    <w:rsid w:val="005C2321"/>
    <w:rsid w:val="005C2737"/>
    <w:rsid w:val="005C27D5"/>
    <w:rsid w:val="005C2A0B"/>
    <w:rsid w:val="005C2CE7"/>
    <w:rsid w:val="005C36E2"/>
    <w:rsid w:val="005C3D2D"/>
    <w:rsid w:val="005C3E27"/>
    <w:rsid w:val="005C40E9"/>
    <w:rsid w:val="005C4157"/>
    <w:rsid w:val="005C4637"/>
    <w:rsid w:val="005C4956"/>
    <w:rsid w:val="005C4A5D"/>
    <w:rsid w:val="005C4A99"/>
    <w:rsid w:val="005C4E2A"/>
    <w:rsid w:val="005C54B6"/>
    <w:rsid w:val="005C57E3"/>
    <w:rsid w:val="005C5A2A"/>
    <w:rsid w:val="005C6496"/>
    <w:rsid w:val="005C65C6"/>
    <w:rsid w:val="005C6754"/>
    <w:rsid w:val="005C68A4"/>
    <w:rsid w:val="005C69EA"/>
    <w:rsid w:val="005C6A5E"/>
    <w:rsid w:val="005C6E83"/>
    <w:rsid w:val="005C76CA"/>
    <w:rsid w:val="005D04B7"/>
    <w:rsid w:val="005D0C16"/>
    <w:rsid w:val="005D0DC2"/>
    <w:rsid w:val="005D0EF1"/>
    <w:rsid w:val="005D0F06"/>
    <w:rsid w:val="005D1754"/>
    <w:rsid w:val="005D1B6C"/>
    <w:rsid w:val="005D1C20"/>
    <w:rsid w:val="005D2510"/>
    <w:rsid w:val="005D25AF"/>
    <w:rsid w:val="005D26B6"/>
    <w:rsid w:val="005D2BBB"/>
    <w:rsid w:val="005D347C"/>
    <w:rsid w:val="005D39F1"/>
    <w:rsid w:val="005D3B2C"/>
    <w:rsid w:val="005D3B36"/>
    <w:rsid w:val="005D3C6C"/>
    <w:rsid w:val="005D3D7B"/>
    <w:rsid w:val="005D401B"/>
    <w:rsid w:val="005D416F"/>
    <w:rsid w:val="005D4488"/>
    <w:rsid w:val="005D45B9"/>
    <w:rsid w:val="005D48D3"/>
    <w:rsid w:val="005D4F6B"/>
    <w:rsid w:val="005D54D1"/>
    <w:rsid w:val="005D5550"/>
    <w:rsid w:val="005D5840"/>
    <w:rsid w:val="005D58F2"/>
    <w:rsid w:val="005D59BA"/>
    <w:rsid w:val="005D5D07"/>
    <w:rsid w:val="005D5F65"/>
    <w:rsid w:val="005D6354"/>
    <w:rsid w:val="005D694D"/>
    <w:rsid w:val="005D6BAD"/>
    <w:rsid w:val="005D6F32"/>
    <w:rsid w:val="005D7078"/>
    <w:rsid w:val="005D71D2"/>
    <w:rsid w:val="005D72F1"/>
    <w:rsid w:val="005D75B6"/>
    <w:rsid w:val="005D75D6"/>
    <w:rsid w:val="005D779C"/>
    <w:rsid w:val="005D782A"/>
    <w:rsid w:val="005D7863"/>
    <w:rsid w:val="005D7979"/>
    <w:rsid w:val="005D7BC9"/>
    <w:rsid w:val="005D7E5E"/>
    <w:rsid w:val="005D7ED1"/>
    <w:rsid w:val="005D7FDB"/>
    <w:rsid w:val="005E00F3"/>
    <w:rsid w:val="005E020C"/>
    <w:rsid w:val="005E0543"/>
    <w:rsid w:val="005E0A61"/>
    <w:rsid w:val="005E0ABA"/>
    <w:rsid w:val="005E0C73"/>
    <w:rsid w:val="005E0D06"/>
    <w:rsid w:val="005E0DB4"/>
    <w:rsid w:val="005E0EA9"/>
    <w:rsid w:val="005E0FE7"/>
    <w:rsid w:val="005E1504"/>
    <w:rsid w:val="005E16FB"/>
    <w:rsid w:val="005E2668"/>
    <w:rsid w:val="005E2872"/>
    <w:rsid w:val="005E287E"/>
    <w:rsid w:val="005E28AA"/>
    <w:rsid w:val="005E2920"/>
    <w:rsid w:val="005E2AAC"/>
    <w:rsid w:val="005E2AB9"/>
    <w:rsid w:val="005E2D3B"/>
    <w:rsid w:val="005E2FF1"/>
    <w:rsid w:val="005E3291"/>
    <w:rsid w:val="005E342D"/>
    <w:rsid w:val="005E351C"/>
    <w:rsid w:val="005E355E"/>
    <w:rsid w:val="005E3DB8"/>
    <w:rsid w:val="005E423C"/>
    <w:rsid w:val="005E42FF"/>
    <w:rsid w:val="005E46B7"/>
    <w:rsid w:val="005E4A59"/>
    <w:rsid w:val="005E50F6"/>
    <w:rsid w:val="005E5981"/>
    <w:rsid w:val="005E5DD3"/>
    <w:rsid w:val="005E638C"/>
    <w:rsid w:val="005E653C"/>
    <w:rsid w:val="005E65F9"/>
    <w:rsid w:val="005E6680"/>
    <w:rsid w:val="005E674B"/>
    <w:rsid w:val="005E681F"/>
    <w:rsid w:val="005E688B"/>
    <w:rsid w:val="005E6925"/>
    <w:rsid w:val="005E6D23"/>
    <w:rsid w:val="005E6D60"/>
    <w:rsid w:val="005E702D"/>
    <w:rsid w:val="005E735D"/>
    <w:rsid w:val="005E765D"/>
    <w:rsid w:val="005E7A21"/>
    <w:rsid w:val="005E7AF5"/>
    <w:rsid w:val="005E7DB0"/>
    <w:rsid w:val="005E7E2E"/>
    <w:rsid w:val="005F0ADE"/>
    <w:rsid w:val="005F0C0F"/>
    <w:rsid w:val="005F0C45"/>
    <w:rsid w:val="005F13B7"/>
    <w:rsid w:val="005F17D6"/>
    <w:rsid w:val="005F18FF"/>
    <w:rsid w:val="005F1A77"/>
    <w:rsid w:val="005F1D06"/>
    <w:rsid w:val="005F203C"/>
    <w:rsid w:val="005F221A"/>
    <w:rsid w:val="005F25AF"/>
    <w:rsid w:val="005F25BA"/>
    <w:rsid w:val="005F26F2"/>
    <w:rsid w:val="005F298C"/>
    <w:rsid w:val="005F2DED"/>
    <w:rsid w:val="005F2EE0"/>
    <w:rsid w:val="005F32F8"/>
    <w:rsid w:val="005F341E"/>
    <w:rsid w:val="005F3D4E"/>
    <w:rsid w:val="005F41CF"/>
    <w:rsid w:val="005F4294"/>
    <w:rsid w:val="005F4A27"/>
    <w:rsid w:val="005F5121"/>
    <w:rsid w:val="005F5343"/>
    <w:rsid w:val="005F5357"/>
    <w:rsid w:val="005F5E64"/>
    <w:rsid w:val="005F60C9"/>
    <w:rsid w:val="005F62D2"/>
    <w:rsid w:val="005F6460"/>
    <w:rsid w:val="005F6568"/>
    <w:rsid w:val="005F690F"/>
    <w:rsid w:val="005F6B3C"/>
    <w:rsid w:val="005F6F8B"/>
    <w:rsid w:val="005F7365"/>
    <w:rsid w:val="005F771D"/>
    <w:rsid w:val="005F78B0"/>
    <w:rsid w:val="005F796F"/>
    <w:rsid w:val="005F7D23"/>
    <w:rsid w:val="005F7E62"/>
    <w:rsid w:val="005F7EC4"/>
    <w:rsid w:val="005F7FCD"/>
    <w:rsid w:val="00600081"/>
    <w:rsid w:val="00600662"/>
    <w:rsid w:val="006009AE"/>
    <w:rsid w:val="00600B90"/>
    <w:rsid w:val="00600D53"/>
    <w:rsid w:val="00600F1D"/>
    <w:rsid w:val="00601014"/>
    <w:rsid w:val="0060136A"/>
    <w:rsid w:val="00601674"/>
    <w:rsid w:val="00601B6F"/>
    <w:rsid w:val="00601F9A"/>
    <w:rsid w:val="006020CF"/>
    <w:rsid w:val="0060220D"/>
    <w:rsid w:val="006027B4"/>
    <w:rsid w:val="00603340"/>
    <w:rsid w:val="006036CF"/>
    <w:rsid w:val="0060372B"/>
    <w:rsid w:val="006040CE"/>
    <w:rsid w:val="006043DD"/>
    <w:rsid w:val="00604541"/>
    <w:rsid w:val="0060490E"/>
    <w:rsid w:val="00604F9E"/>
    <w:rsid w:val="00604FF6"/>
    <w:rsid w:val="006057D8"/>
    <w:rsid w:val="00605E0A"/>
    <w:rsid w:val="00606374"/>
    <w:rsid w:val="00606B7B"/>
    <w:rsid w:val="00606EA1"/>
    <w:rsid w:val="00606F96"/>
    <w:rsid w:val="00607032"/>
    <w:rsid w:val="006070E5"/>
    <w:rsid w:val="00607141"/>
    <w:rsid w:val="00607933"/>
    <w:rsid w:val="00607E4D"/>
    <w:rsid w:val="00610536"/>
    <w:rsid w:val="00610791"/>
    <w:rsid w:val="00610E76"/>
    <w:rsid w:val="00610F4E"/>
    <w:rsid w:val="00611185"/>
    <w:rsid w:val="006115D6"/>
    <w:rsid w:val="00611926"/>
    <w:rsid w:val="00611A7D"/>
    <w:rsid w:val="00611B84"/>
    <w:rsid w:val="00611C54"/>
    <w:rsid w:val="0061237B"/>
    <w:rsid w:val="00612B5F"/>
    <w:rsid w:val="00613190"/>
    <w:rsid w:val="006133D5"/>
    <w:rsid w:val="006133EB"/>
    <w:rsid w:val="0061380B"/>
    <w:rsid w:val="00613E1D"/>
    <w:rsid w:val="00613EFE"/>
    <w:rsid w:val="00614254"/>
    <w:rsid w:val="006142F9"/>
    <w:rsid w:val="00614490"/>
    <w:rsid w:val="00614916"/>
    <w:rsid w:val="0061491A"/>
    <w:rsid w:val="00614D33"/>
    <w:rsid w:val="00614EB6"/>
    <w:rsid w:val="00615687"/>
    <w:rsid w:val="00615962"/>
    <w:rsid w:val="00615C8A"/>
    <w:rsid w:val="00615CB0"/>
    <w:rsid w:val="00616A27"/>
    <w:rsid w:val="00616BA7"/>
    <w:rsid w:val="00617961"/>
    <w:rsid w:val="00617AD0"/>
    <w:rsid w:val="00617AE7"/>
    <w:rsid w:val="00617CD1"/>
    <w:rsid w:val="00617D6F"/>
    <w:rsid w:val="00617E2A"/>
    <w:rsid w:val="00620176"/>
    <w:rsid w:val="0062027A"/>
    <w:rsid w:val="00620A16"/>
    <w:rsid w:val="00620AD8"/>
    <w:rsid w:val="00620E6A"/>
    <w:rsid w:val="006213B7"/>
    <w:rsid w:val="0062163A"/>
    <w:rsid w:val="006216BF"/>
    <w:rsid w:val="00621AF8"/>
    <w:rsid w:val="00622443"/>
    <w:rsid w:val="006225DE"/>
    <w:rsid w:val="0062281E"/>
    <w:rsid w:val="00622975"/>
    <w:rsid w:val="00622C96"/>
    <w:rsid w:val="00622EA3"/>
    <w:rsid w:val="00623229"/>
    <w:rsid w:val="006235FB"/>
    <w:rsid w:val="00623946"/>
    <w:rsid w:val="00623B26"/>
    <w:rsid w:val="00623EB1"/>
    <w:rsid w:val="00624257"/>
    <w:rsid w:val="00624677"/>
    <w:rsid w:val="0062501B"/>
    <w:rsid w:val="00625282"/>
    <w:rsid w:val="006252D1"/>
    <w:rsid w:val="006253F1"/>
    <w:rsid w:val="006258E5"/>
    <w:rsid w:val="00625972"/>
    <w:rsid w:val="0062610A"/>
    <w:rsid w:val="00626199"/>
    <w:rsid w:val="006262F8"/>
    <w:rsid w:val="00626321"/>
    <w:rsid w:val="006263AF"/>
    <w:rsid w:val="00626704"/>
    <w:rsid w:val="00626794"/>
    <w:rsid w:val="00626BCD"/>
    <w:rsid w:val="00627087"/>
    <w:rsid w:val="006271B7"/>
    <w:rsid w:val="00627916"/>
    <w:rsid w:val="00627A24"/>
    <w:rsid w:val="00627D4B"/>
    <w:rsid w:val="00627E8A"/>
    <w:rsid w:val="00630784"/>
    <w:rsid w:val="00630A76"/>
    <w:rsid w:val="00630E27"/>
    <w:rsid w:val="0063141F"/>
    <w:rsid w:val="0063174C"/>
    <w:rsid w:val="006323A2"/>
    <w:rsid w:val="00632932"/>
    <w:rsid w:val="00632C59"/>
    <w:rsid w:val="00632CDA"/>
    <w:rsid w:val="00633263"/>
    <w:rsid w:val="006340D4"/>
    <w:rsid w:val="00634271"/>
    <w:rsid w:val="00634445"/>
    <w:rsid w:val="006346CC"/>
    <w:rsid w:val="006349CC"/>
    <w:rsid w:val="00634E42"/>
    <w:rsid w:val="00634F62"/>
    <w:rsid w:val="00635A3D"/>
    <w:rsid w:val="00635B0A"/>
    <w:rsid w:val="00635D39"/>
    <w:rsid w:val="006360D0"/>
    <w:rsid w:val="0063633F"/>
    <w:rsid w:val="006367CF"/>
    <w:rsid w:val="00636B4B"/>
    <w:rsid w:val="0063724E"/>
    <w:rsid w:val="006378F9"/>
    <w:rsid w:val="00637B1F"/>
    <w:rsid w:val="00637D86"/>
    <w:rsid w:val="0064017D"/>
    <w:rsid w:val="006405E2"/>
    <w:rsid w:val="00640AD3"/>
    <w:rsid w:val="00640B79"/>
    <w:rsid w:val="00640D90"/>
    <w:rsid w:val="006411FF"/>
    <w:rsid w:val="0064152A"/>
    <w:rsid w:val="0064173E"/>
    <w:rsid w:val="00641833"/>
    <w:rsid w:val="00641C21"/>
    <w:rsid w:val="00641F28"/>
    <w:rsid w:val="006427C2"/>
    <w:rsid w:val="0064289A"/>
    <w:rsid w:val="006429EF"/>
    <w:rsid w:val="00642B21"/>
    <w:rsid w:val="0064312D"/>
    <w:rsid w:val="0064347D"/>
    <w:rsid w:val="0064376F"/>
    <w:rsid w:val="00643839"/>
    <w:rsid w:val="00643895"/>
    <w:rsid w:val="00643FFF"/>
    <w:rsid w:val="006444D5"/>
    <w:rsid w:val="0064473B"/>
    <w:rsid w:val="00644A1D"/>
    <w:rsid w:val="00644EC1"/>
    <w:rsid w:val="006457CE"/>
    <w:rsid w:val="00645944"/>
    <w:rsid w:val="00645F61"/>
    <w:rsid w:val="006460A9"/>
    <w:rsid w:val="00646422"/>
    <w:rsid w:val="00646B50"/>
    <w:rsid w:val="00646CB1"/>
    <w:rsid w:val="006470DC"/>
    <w:rsid w:val="00647D75"/>
    <w:rsid w:val="006501D1"/>
    <w:rsid w:val="006503D8"/>
    <w:rsid w:val="00650A71"/>
    <w:rsid w:val="006511D7"/>
    <w:rsid w:val="0065130C"/>
    <w:rsid w:val="00651504"/>
    <w:rsid w:val="0065157A"/>
    <w:rsid w:val="00651DF6"/>
    <w:rsid w:val="0065233D"/>
    <w:rsid w:val="0065256E"/>
    <w:rsid w:val="00652726"/>
    <w:rsid w:val="00652808"/>
    <w:rsid w:val="00652E16"/>
    <w:rsid w:val="00653280"/>
    <w:rsid w:val="006532C0"/>
    <w:rsid w:val="0065331F"/>
    <w:rsid w:val="006538D5"/>
    <w:rsid w:val="00653D3F"/>
    <w:rsid w:val="00653D93"/>
    <w:rsid w:val="00654039"/>
    <w:rsid w:val="006540A4"/>
    <w:rsid w:val="00654B6C"/>
    <w:rsid w:val="00654E0A"/>
    <w:rsid w:val="006550DF"/>
    <w:rsid w:val="0065526F"/>
    <w:rsid w:val="00655644"/>
    <w:rsid w:val="00655682"/>
    <w:rsid w:val="006556E6"/>
    <w:rsid w:val="006558D3"/>
    <w:rsid w:val="0065605C"/>
    <w:rsid w:val="00656632"/>
    <w:rsid w:val="00656A2A"/>
    <w:rsid w:val="00656AE3"/>
    <w:rsid w:val="00656B8A"/>
    <w:rsid w:val="00656BB5"/>
    <w:rsid w:val="00657000"/>
    <w:rsid w:val="0065722E"/>
    <w:rsid w:val="0065729B"/>
    <w:rsid w:val="006573FF"/>
    <w:rsid w:val="00657597"/>
    <w:rsid w:val="00657947"/>
    <w:rsid w:val="00657AE7"/>
    <w:rsid w:val="00657F4D"/>
    <w:rsid w:val="00660141"/>
    <w:rsid w:val="006603A8"/>
    <w:rsid w:val="00660503"/>
    <w:rsid w:val="00660538"/>
    <w:rsid w:val="00660998"/>
    <w:rsid w:val="00660AC7"/>
    <w:rsid w:val="00661850"/>
    <w:rsid w:val="006618A5"/>
    <w:rsid w:val="00661934"/>
    <w:rsid w:val="00662410"/>
    <w:rsid w:val="00662618"/>
    <w:rsid w:val="00662A42"/>
    <w:rsid w:val="00662E6E"/>
    <w:rsid w:val="0066324A"/>
    <w:rsid w:val="00663375"/>
    <w:rsid w:val="00663403"/>
    <w:rsid w:val="0066348C"/>
    <w:rsid w:val="0066391C"/>
    <w:rsid w:val="00663BC6"/>
    <w:rsid w:val="00663E5A"/>
    <w:rsid w:val="00663E64"/>
    <w:rsid w:val="00663F3B"/>
    <w:rsid w:val="006643D7"/>
    <w:rsid w:val="00664798"/>
    <w:rsid w:val="00664C6F"/>
    <w:rsid w:val="00664F0E"/>
    <w:rsid w:val="00664F8F"/>
    <w:rsid w:val="006650F0"/>
    <w:rsid w:val="00665228"/>
    <w:rsid w:val="006652F2"/>
    <w:rsid w:val="006659CA"/>
    <w:rsid w:val="00665D01"/>
    <w:rsid w:val="00665E7B"/>
    <w:rsid w:val="006662E0"/>
    <w:rsid w:val="00666618"/>
    <w:rsid w:val="00666753"/>
    <w:rsid w:val="006669E8"/>
    <w:rsid w:val="006670A3"/>
    <w:rsid w:val="006670E6"/>
    <w:rsid w:val="00667189"/>
    <w:rsid w:val="00667218"/>
    <w:rsid w:val="006673AB"/>
    <w:rsid w:val="006678B9"/>
    <w:rsid w:val="00667DE8"/>
    <w:rsid w:val="00667DF4"/>
    <w:rsid w:val="00670500"/>
    <w:rsid w:val="006709AE"/>
    <w:rsid w:val="00670B77"/>
    <w:rsid w:val="00670CE7"/>
    <w:rsid w:val="006715D8"/>
    <w:rsid w:val="0067162D"/>
    <w:rsid w:val="00671A5C"/>
    <w:rsid w:val="00671E93"/>
    <w:rsid w:val="006725E0"/>
    <w:rsid w:val="006729C2"/>
    <w:rsid w:val="00672A64"/>
    <w:rsid w:val="006730A3"/>
    <w:rsid w:val="006733F6"/>
    <w:rsid w:val="00674076"/>
    <w:rsid w:val="00674215"/>
    <w:rsid w:val="00674424"/>
    <w:rsid w:val="006748AA"/>
    <w:rsid w:val="00674C45"/>
    <w:rsid w:val="00674CB7"/>
    <w:rsid w:val="00674CE5"/>
    <w:rsid w:val="00675386"/>
    <w:rsid w:val="006756B8"/>
    <w:rsid w:val="00675ACF"/>
    <w:rsid w:val="00675F2D"/>
    <w:rsid w:val="006762CD"/>
    <w:rsid w:val="00676392"/>
    <w:rsid w:val="00676521"/>
    <w:rsid w:val="00676A88"/>
    <w:rsid w:val="00676B6B"/>
    <w:rsid w:val="00676C22"/>
    <w:rsid w:val="00676C8A"/>
    <w:rsid w:val="00676D45"/>
    <w:rsid w:val="00677096"/>
    <w:rsid w:val="0067721A"/>
    <w:rsid w:val="00677A58"/>
    <w:rsid w:val="00677C92"/>
    <w:rsid w:val="0068009F"/>
    <w:rsid w:val="00680C87"/>
    <w:rsid w:val="006811BC"/>
    <w:rsid w:val="0068133C"/>
    <w:rsid w:val="0068140F"/>
    <w:rsid w:val="006814F7"/>
    <w:rsid w:val="006815EE"/>
    <w:rsid w:val="00681A0F"/>
    <w:rsid w:val="0068203C"/>
    <w:rsid w:val="00682138"/>
    <w:rsid w:val="0068228F"/>
    <w:rsid w:val="00682B10"/>
    <w:rsid w:val="00683431"/>
    <w:rsid w:val="0068347B"/>
    <w:rsid w:val="0068369B"/>
    <w:rsid w:val="00683938"/>
    <w:rsid w:val="00683BD9"/>
    <w:rsid w:val="00683E5E"/>
    <w:rsid w:val="00683FBC"/>
    <w:rsid w:val="00684A68"/>
    <w:rsid w:val="00684B1F"/>
    <w:rsid w:val="00684D9C"/>
    <w:rsid w:val="00684FB7"/>
    <w:rsid w:val="006850C6"/>
    <w:rsid w:val="00685161"/>
    <w:rsid w:val="006853EB"/>
    <w:rsid w:val="00685B7D"/>
    <w:rsid w:val="00685FA7"/>
    <w:rsid w:val="00686200"/>
    <w:rsid w:val="00686548"/>
    <w:rsid w:val="00686701"/>
    <w:rsid w:val="0068689A"/>
    <w:rsid w:val="00686A2A"/>
    <w:rsid w:val="00686B4C"/>
    <w:rsid w:val="00686FE3"/>
    <w:rsid w:val="006870B3"/>
    <w:rsid w:val="00687123"/>
    <w:rsid w:val="00687489"/>
    <w:rsid w:val="00687665"/>
    <w:rsid w:val="00687E44"/>
    <w:rsid w:val="00687F76"/>
    <w:rsid w:val="006900B0"/>
    <w:rsid w:val="0069049A"/>
    <w:rsid w:val="00690861"/>
    <w:rsid w:val="006911E9"/>
    <w:rsid w:val="00691490"/>
    <w:rsid w:val="00691493"/>
    <w:rsid w:val="00691B7B"/>
    <w:rsid w:val="0069201C"/>
    <w:rsid w:val="006924F2"/>
    <w:rsid w:val="0069251A"/>
    <w:rsid w:val="00692567"/>
    <w:rsid w:val="0069274C"/>
    <w:rsid w:val="0069284E"/>
    <w:rsid w:val="00692BDF"/>
    <w:rsid w:val="00692DF6"/>
    <w:rsid w:val="00692F5C"/>
    <w:rsid w:val="006936A6"/>
    <w:rsid w:val="0069383A"/>
    <w:rsid w:val="00693850"/>
    <w:rsid w:val="00693888"/>
    <w:rsid w:val="0069398B"/>
    <w:rsid w:val="00693AF2"/>
    <w:rsid w:val="00693C5A"/>
    <w:rsid w:val="00693C77"/>
    <w:rsid w:val="00693EDD"/>
    <w:rsid w:val="00694141"/>
    <w:rsid w:val="00694C46"/>
    <w:rsid w:val="00694FF9"/>
    <w:rsid w:val="006953F1"/>
    <w:rsid w:val="006953F3"/>
    <w:rsid w:val="0069540C"/>
    <w:rsid w:val="00696112"/>
    <w:rsid w:val="00696177"/>
    <w:rsid w:val="00696314"/>
    <w:rsid w:val="00696417"/>
    <w:rsid w:val="006966B7"/>
    <w:rsid w:val="006974A8"/>
    <w:rsid w:val="006977C2"/>
    <w:rsid w:val="0069781C"/>
    <w:rsid w:val="006978CF"/>
    <w:rsid w:val="00697F5A"/>
    <w:rsid w:val="006A00E2"/>
    <w:rsid w:val="006A0116"/>
    <w:rsid w:val="006A0168"/>
    <w:rsid w:val="006A07E7"/>
    <w:rsid w:val="006A0852"/>
    <w:rsid w:val="006A08FE"/>
    <w:rsid w:val="006A0B68"/>
    <w:rsid w:val="006A1285"/>
    <w:rsid w:val="006A1DC1"/>
    <w:rsid w:val="006A2326"/>
    <w:rsid w:val="006A25B1"/>
    <w:rsid w:val="006A28BC"/>
    <w:rsid w:val="006A2961"/>
    <w:rsid w:val="006A3255"/>
    <w:rsid w:val="006A33A6"/>
    <w:rsid w:val="006A3927"/>
    <w:rsid w:val="006A3FDD"/>
    <w:rsid w:val="006A4051"/>
    <w:rsid w:val="006A4207"/>
    <w:rsid w:val="006A4288"/>
    <w:rsid w:val="006A437B"/>
    <w:rsid w:val="006A4828"/>
    <w:rsid w:val="006A4AA0"/>
    <w:rsid w:val="006A4AF2"/>
    <w:rsid w:val="006A5323"/>
    <w:rsid w:val="006A5A12"/>
    <w:rsid w:val="006A5BC0"/>
    <w:rsid w:val="006A5BD6"/>
    <w:rsid w:val="006A5BD9"/>
    <w:rsid w:val="006A5BF2"/>
    <w:rsid w:val="006A5D5F"/>
    <w:rsid w:val="006A6301"/>
    <w:rsid w:val="006A661B"/>
    <w:rsid w:val="006A6893"/>
    <w:rsid w:val="006A68B4"/>
    <w:rsid w:val="006A6925"/>
    <w:rsid w:val="006A6AB9"/>
    <w:rsid w:val="006A6CC6"/>
    <w:rsid w:val="006A72C8"/>
    <w:rsid w:val="006A73B9"/>
    <w:rsid w:val="006A778B"/>
    <w:rsid w:val="006A7BB6"/>
    <w:rsid w:val="006B0483"/>
    <w:rsid w:val="006B0589"/>
    <w:rsid w:val="006B09B4"/>
    <w:rsid w:val="006B0B87"/>
    <w:rsid w:val="006B0C8C"/>
    <w:rsid w:val="006B0D60"/>
    <w:rsid w:val="006B0F9D"/>
    <w:rsid w:val="006B153C"/>
    <w:rsid w:val="006B1904"/>
    <w:rsid w:val="006B27C9"/>
    <w:rsid w:val="006B2BBB"/>
    <w:rsid w:val="006B3050"/>
    <w:rsid w:val="006B3503"/>
    <w:rsid w:val="006B3943"/>
    <w:rsid w:val="006B397A"/>
    <w:rsid w:val="006B3AD3"/>
    <w:rsid w:val="006B40A8"/>
    <w:rsid w:val="006B4405"/>
    <w:rsid w:val="006B4455"/>
    <w:rsid w:val="006B4677"/>
    <w:rsid w:val="006B4808"/>
    <w:rsid w:val="006B494C"/>
    <w:rsid w:val="006B52F5"/>
    <w:rsid w:val="006B5C99"/>
    <w:rsid w:val="006B5E1F"/>
    <w:rsid w:val="006B5F5E"/>
    <w:rsid w:val="006B5F81"/>
    <w:rsid w:val="006B6083"/>
    <w:rsid w:val="006B6127"/>
    <w:rsid w:val="006B622F"/>
    <w:rsid w:val="006B6480"/>
    <w:rsid w:val="006B66E4"/>
    <w:rsid w:val="006B6C9B"/>
    <w:rsid w:val="006B6F6E"/>
    <w:rsid w:val="006B702A"/>
    <w:rsid w:val="006B7144"/>
    <w:rsid w:val="006B742E"/>
    <w:rsid w:val="006B79CC"/>
    <w:rsid w:val="006B7DC0"/>
    <w:rsid w:val="006C011F"/>
    <w:rsid w:val="006C0556"/>
    <w:rsid w:val="006C05A7"/>
    <w:rsid w:val="006C0A37"/>
    <w:rsid w:val="006C0AD2"/>
    <w:rsid w:val="006C0F43"/>
    <w:rsid w:val="006C140F"/>
    <w:rsid w:val="006C1455"/>
    <w:rsid w:val="006C1E2F"/>
    <w:rsid w:val="006C1E5A"/>
    <w:rsid w:val="006C21A2"/>
    <w:rsid w:val="006C2241"/>
    <w:rsid w:val="006C2606"/>
    <w:rsid w:val="006C2E22"/>
    <w:rsid w:val="006C30D7"/>
    <w:rsid w:val="006C35B1"/>
    <w:rsid w:val="006C35CE"/>
    <w:rsid w:val="006C3D67"/>
    <w:rsid w:val="006C4160"/>
    <w:rsid w:val="006C426B"/>
    <w:rsid w:val="006C48FE"/>
    <w:rsid w:val="006C4A01"/>
    <w:rsid w:val="006C4C48"/>
    <w:rsid w:val="006C51C2"/>
    <w:rsid w:val="006C534E"/>
    <w:rsid w:val="006C56A8"/>
    <w:rsid w:val="006C5733"/>
    <w:rsid w:val="006C581F"/>
    <w:rsid w:val="006C5858"/>
    <w:rsid w:val="006C5AAF"/>
    <w:rsid w:val="006C5EF5"/>
    <w:rsid w:val="006C6E8B"/>
    <w:rsid w:val="006C6F70"/>
    <w:rsid w:val="006C71C1"/>
    <w:rsid w:val="006C727E"/>
    <w:rsid w:val="006C7570"/>
    <w:rsid w:val="006D0082"/>
    <w:rsid w:val="006D06FF"/>
    <w:rsid w:val="006D0BB0"/>
    <w:rsid w:val="006D1103"/>
    <w:rsid w:val="006D116C"/>
    <w:rsid w:val="006D1466"/>
    <w:rsid w:val="006D15A8"/>
    <w:rsid w:val="006D197C"/>
    <w:rsid w:val="006D1BBA"/>
    <w:rsid w:val="006D20D5"/>
    <w:rsid w:val="006D2E31"/>
    <w:rsid w:val="006D2FE2"/>
    <w:rsid w:val="006D32F7"/>
    <w:rsid w:val="006D331B"/>
    <w:rsid w:val="006D3D69"/>
    <w:rsid w:val="006D42FA"/>
    <w:rsid w:val="006D498C"/>
    <w:rsid w:val="006D4A90"/>
    <w:rsid w:val="006D50B4"/>
    <w:rsid w:val="006D51A8"/>
    <w:rsid w:val="006D52C7"/>
    <w:rsid w:val="006D54D3"/>
    <w:rsid w:val="006D559D"/>
    <w:rsid w:val="006D55DC"/>
    <w:rsid w:val="006D5E74"/>
    <w:rsid w:val="006D6340"/>
    <w:rsid w:val="006D6ADE"/>
    <w:rsid w:val="006D7267"/>
    <w:rsid w:val="006D731F"/>
    <w:rsid w:val="006D741B"/>
    <w:rsid w:val="006D7913"/>
    <w:rsid w:val="006D7B56"/>
    <w:rsid w:val="006E03BC"/>
    <w:rsid w:val="006E08B8"/>
    <w:rsid w:val="006E0A15"/>
    <w:rsid w:val="006E0BC6"/>
    <w:rsid w:val="006E0C21"/>
    <w:rsid w:val="006E0E12"/>
    <w:rsid w:val="006E0E41"/>
    <w:rsid w:val="006E0E9D"/>
    <w:rsid w:val="006E18C3"/>
    <w:rsid w:val="006E1CBC"/>
    <w:rsid w:val="006E1E96"/>
    <w:rsid w:val="006E29DE"/>
    <w:rsid w:val="006E2BEB"/>
    <w:rsid w:val="006E2C1E"/>
    <w:rsid w:val="006E2E28"/>
    <w:rsid w:val="006E3222"/>
    <w:rsid w:val="006E3585"/>
    <w:rsid w:val="006E3D43"/>
    <w:rsid w:val="006E445A"/>
    <w:rsid w:val="006E469D"/>
    <w:rsid w:val="006E4741"/>
    <w:rsid w:val="006E4998"/>
    <w:rsid w:val="006E4E37"/>
    <w:rsid w:val="006E4E98"/>
    <w:rsid w:val="006E4F7D"/>
    <w:rsid w:val="006E4FA8"/>
    <w:rsid w:val="006E5552"/>
    <w:rsid w:val="006E5886"/>
    <w:rsid w:val="006E5FCD"/>
    <w:rsid w:val="006E6006"/>
    <w:rsid w:val="006E611C"/>
    <w:rsid w:val="006E61BF"/>
    <w:rsid w:val="006E657D"/>
    <w:rsid w:val="006E6787"/>
    <w:rsid w:val="006E684A"/>
    <w:rsid w:val="006E6DE2"/>
    <w:rsid w:val="006E70E5"/>
    <w:rsid w:val="006E736C"/>
    <w:rsid w:val="006E7F66"/>
    <w:rsid w:val="006F0069"/>
    <w:rsid w:val="006F0156"/>
    <w:rsid w:val="006F01D9"/>
    <w:rsid w:val="006F0287"/>
    <w:rsid w:val="006F0549"/>
    <w:rsid w:val="006F0C6D"/>
    <w:rsid w:val="006F15EF"/>
    <w:rsid w:val="006F1FB0"/>
    <w:rsid w:val="006F2186"/>
    <w:rsid w:val="006F21E5"/>
    <w:rsid w:val="006F2350"/>
    <w:rsid w:val="006F295A"/>
    <w:rsid w:val="006F2ECE"/>
    <w:rsid w:val="006F3467"/>
    <w:rsid w:val="006F3B70"/>
    <w:rsid w:val="006F3D7E"/>
    <w:rsid w:val="006F3F0F"/>
    <w:rsid w:val="006F44C6"/>
    <w:rsid w:val="006F48D3"/>
    <w:rsid w:val="006F4A9D"/>
    <w:rsid w:val="006F4CE4"/>
    <w:rsid w:val="006F54E5"/>
    <w:rsid w:val="006F5BBA"/>
    <w:rsid w:val="006F5E9B"/>
    <w:rsid w:val="006F65BF"/>
    <w:rsid w:val="006F6A32"/>
    <w:rsid w:val="006F7FAC"/>
    <w:rsid w:val="00700623"/>
    <w:rsid w:val="00700717"/>
    <w:rsid w:val="007008A2"/>
    <w:rsid w:val="007008CA"/>
    <w:rsid w:val="007013C3"/>
    <w:rsid w:val="0070152D"/>
    <w:rsid w:val="00701640"/>
    <w:rsid w:val="0070167E"/>
    <w:rsid w:val="007016DC"/>
    <w:rsid w:val="00701C4F"/>
    <w:rsid w:val="00701DAF"/>
    <w:rsid w:val="00701F4D"/>
    <w:rsid w:val="00702022"/>
    <w:rsid w:val="0070203B"/>
    <w:rsid w:val="007023A7"/>
    <w:rsid w:val="00702520"/>
    <w:rsid w:val="00702A5B"/>
    <w:rsid w:val="00702CCA"/>
    <w:rsid w:val="00702F3D"/>
    <w:rsid w:val="0070302C"/>
    <w:rsid w:val="007030ED"/>
    <w:rsid w:val="007035EC"/>
    <w:rsid w:val="0070370A"/>
    <w:rsid w:val="0070374E"/>
    <w:rsid w:val="00703A22"/>
    <w:rsid w:val="00703B48"/>
    <w:rsid w:val="00703EFC"/>
    <w:rsid w:val="007040B5"/>
    <w:rsid w:val="007042DB"/>
    <w:rsid w:val="007042FB"/>
    <w:rsid w:val="0070438A"/>
    <w:rsid w:val="007047E8"/>
    <w:rsid w:val="00704CA3"/>
    <w:rsid w:val="00705200"/>
    <w:rsid w:val="00705299"/>
    <w:rsid w:val="0070542D"/>
    <w:rsid w:val="0070543D"/>
    <w:rsid w:val="00705733"/>
    <w:rsid w:val="007058C9"/>
    <w:rsid w:val="00705A9F"/>
    <w:rsid w:val="00705BE8"/>
    <w:rsid w:val="007061C6"/>
    <w:rsid w:val="00706734"/>
    <w:rsid w:val="00706B3F"/>
    <w:rsid w:val="00706C50"/>
    <w:rsid w:val="00706CFC"/>
    <w:rsid w:val="00707513"/>
    <w:rsid w:val="007076F5"/>
    <w:rsid w:val="00707874"/>
    <w:rsid w:val="00707A5D"/>
    <w:rsid w:val="00707F8C"/>
    <w:rsid w:val="007100FA"/>
    <w:rsid w:val="007101DB"/>
    <w:rsid w:val="007103F0"/>
    <w:rsid w:val="007105A8"/>
    <w:rsid w:val="00710982"/>
    <w:rsid w:val="00710C94"/>
    <w:rsid w:val="00711783"/>
    <w:rsid w:val="00711E82"/>
    <w:rsid w:val="00711F5D"/>
    <w:rsid w:val="00712040"/>
    <w:rsid w:val="007121EE"/>
    <w:rsid w:val="00712339"/>
    <w:rsid w:val="007125AD"/>
    <w:rsid w:val="0071265F"/>
    <w:rsid w:val="00712B18"/>
    <w:rsid w:val="00712CBB"/>
    <w:rsid w:val="00712D3B"/>
    <w:rsid w:val="00713110"/>
    <w:rsid w:val="007132DD"/>
    <w:rsid w:val="00713B7F"/>
    <w:rsid w:val="00713CAD"/>
    <w:rsid w:val="00713D60"/>
    <w:rsid w:val="007141ED"/>
    <w:rsid w:val="00714208"/>
    <w:rsid w:val="00714214"/>
    <w:rsid w:val="00714807"/>
    <w:rsid w:val="0071494B"/>
    <w:rsid w:val="00714A6F"/>
    <w:rsid w:val="00714B33"/>
    <w:rsid w:val="00714B7D"/>
    <w:rsid w:val="00714C68"/>
    <w:rsid w:val="00714E1A"/>
    <w:rsid w:val="00715133"/>
    <w:rsid w:val="0071517D"/>
    <w:rsid w:val="0071542E"/>
    <w:rsid w:val="00715D08"/>
    <w:rsid w:val="0071601F"/>
    <w:rsid w:val="0071625C"/>
    <w:rsid w:val="007164F4"/>
    <w:rsid w:val="007169CE"/>
    <w:rsid w:val="00716E63"/>
    <w:rsid w:val="00717057"/>
    <w:rsid w:val="007174F0"/>
    <w:rsid w:val="007178A6"/>
    <w:rsid w:val="00717A16"/>
    <w:rsid w:val="00717CAB"/>
    <w:rsid w:val="007200A3"/>
    <w:rsid w:val="0072039E"/>
    <w:rsid w:val="0072182D"/>
    <w:rsid w:val="00721C97"/>
    <w:rsid w:val="00721D4C"/>
    <w:rsid w:val="00721E7B"/>
    <w:rsid w:val="007222DC"/>
    <w:rsid w:val="007225AC"/>
    <w:rsid w:val="007226EB"/>
    <w:rsid w:val="007227A5"/>
    <w:rsid w:val="00722A60"/>
    <w:rsid w:val="007237E9"/>
    <w:rsid w:val="007238FC"/>
    <w:rsid w:val="007239F3"/>
    <w:rsid w:val="00723BCC"/>
    <w:rsid w:val="00723D5B"/>
    <w:rsid w:val="00723F4B"/>
    <w:rsid w:val="00723F6B"/>
    <w:rsid w:val="00723FC3"/>
    <w:rsid w:val="0072412D"/>
    <w:rsid w:val="00724662"/>
    <w:rsid w:val="007249E1"/>
    <w:rsid w:val="00724DD5"/>
    <w:rsid w:val="00725342"/>
    <w:rsid w:val="007256AC"/>
    <w:rsid w:val="0072598B"/>
    <w:rsid w:val="00725A1C"/>
    <w:rsid w:val="00725C52"/>
    <w:rsid w:val="00725CD0"/>
    <w:rsid w:val="00725E3A"/>
    <w:rsid w:val="00725FB8"/>
    <w:rsid w:val="0072631F"/>
    <w:rsid w:val="00726917"/>
    <w:rsid w:val="00726BE6"/>
    <w:rsid w:val="00726E94"/>
    <w:rsid w:val="007270E3"/>
    <w:rsid w:val="007272BE"/>
    <w:rsid w:val="00727897"/>
    <w:rsid w:val="00727901"/>
    <w:rsid w:val="00727BCE"/>
    <w:rsid w:val="00727BFA"/>
    <w:rsid w:val="00727CA0"/>
    <w:rsid w:val="00730100"/>
    <w:rsid w:val="0073098A"/>
    <w:rsid w:val="00730F0B"/>
    <w:rsid w:val="007314B1"/>
    <w:rsid w:val="00731684"/>
    <w:rsid w:val="00731B38"/>
    <w:rsid w:val="00731F5E"/>
    <w:rsid w:val="00732E82"/>
    <w:rsid w:val="00733C64"/>
    <w:rsid w:val="00733E02"/>
    <w:rsid w:val="00733F4D"/>
    <w:rsid w:val="007340C3"/>
    <w:rsid w:val="00734241"/>
    <w:rsid w:val="0073435E"/>
    <w:rsid w:val="007343BE"/>
    <w:rsid w:val="007344A0"/>
    <w:rsid w:val="007345FC"/>
    <w:rsid w:val="00734917"/>
    <w:rsid w:val="00734BC8"/>
    <w:rsid w:val="00735280"/>
    <w:rsid w:val="007354A6"/>
    <w:rsid w:val="007359CC"/>
    <w:rsid w:val="00735DA9"/>
    <w:rsid w:val="007364EB"/>
    <w:rsid w:val="007371A3"/>
    <w:rsid w:val="0073742C"/>
    <w:rsid w:val="00737D58"/>
    <w:rsid w:val="007403D7"/>
    <w:rsid w:val="00740A9A"/>
    <w:rsid w:val="00740B1D"/>
    <w:rsid w:val="00740B81"/>
    <w:rsid w:val="00740E8A"/>
    <w:rsid w:val="007418A4"/>
    <w:rsid w:val="00741929"/>
    <w:rsid w:val="007419A4"/>
    <w:rsid w:val="00741A5B"/>
    <w:rsid w:val="00741BDD"/>
    <w:rsid w:val="007420A2"/>
    <w:rsid w:val="0074211F"/>
    <w:rsid w:val="0074292E"/>
    <w:rsid w:val="00742A7D"/>
    <w:rsid w:val="00742CE3"/>
    <w:rsid w:val="00742D7A"/>
    <w:rsid w:val="00743A55"/>
    <w:rsid w:val="00743D85"/>
    <w:rsid w:val="00744377"/>
    <w:rsid w:val="00744D08"/>
    <w:rsid w:val="00744F24"/>
    <w:rsid w:val="00745307"/>
    <w:rsid w:val="00745327"/>
    <w:rsid w:val="00745533"/>
    <w:rsid w:val="0074557D"/>
    <w:rsid w:val="007456DE"/>
    <w:rsid w:val="0074570D"/>
    <w:rsid w:val="00745EFB"/>
    <w:rsid w:val="00746902"/>
    <w:rsid w:val="00746A28"/>
    <w:rsid w:val="00747377"/>
    <w:rsid w:val="00747492"/>
    <w:rsid w:val="007476CF"/>
    <w:rsid w:val="00747BA1"/>
    <w:rsid w:val="007500A6"/>
    <w:rsid w:val="007500EF"/>
    <w:rsid w:val="007501BF"/>
    <w:rsid w:val="00750AC8"/>
    <w:rsid w:val="00750C0F"/>
    <w:rsid w:val="00750F63"/>
    <w:rsid w:val="00751791"/>
    <w:rsid w:val="00751DA8"/>
    <w:rsid w:val="007520A9"/>
    <w:rsid w:val="007523A3"/>
    <w:rsid w:val="00752EE9"/>
    <w:rsid w:val="00753032"/>
    <w:rsid w:val="00753499"/>
    <w:rsid w:val="00753532"/>
    <w:rsid w:val="00753A0D"/>
    <w:rsid w:val="00753EA1"/>
    <w:rsid w:val="0075405C"/>
    <w:rsid w:val="00754593"/>
    <w:rsid w:val="00754769"/>
    <w:rsid w:val="007548E1"/>
    <w:rsid w:val="00754F7F"/>
    <w:rsid w:val="00755060"/>
    <w:rsid w:val="007553BE"/>
    <w:rsid w:val="0075551B"/>
    <w:rsid w:val="00755594"/>
    <w:rsid w:val="007557C5"/>
    <w:rsid w:val="00755BCB"/>
    <w:rsid w:val="00755D5D"/>
    <w:rsid w:val="0075680B"/>
    <w:rsid w:val="00757155"/>
    <w:rsid w:val="00757A6C"/>
    <w:rsid w:val="00757FE8"/>
    <w:rsid w:val="00760184"/>
    <w:rsid w:val="00760817"/>
    <w:rsid w:val="00760BFE"/>
    <w:rsid w:val="00760D1D"/>
    <w:rsid w:val="00760FD1"/>
    <w:rsid w:val="00761152"/>
    <w:rsid w:val="00761171"/>
    <w:rsid w:val="0076127C"/>
    <w:rsid w:val="007614D4"/>
    <w:rsid w:val="0076165E"/>
    <w:rsid w:val="00761B70"/>
    <w:rsid w:val="00761EA9"/>
    <w:rsid w:val="00761F3E"/>
    <w:rsid w:val="00762257"/>
    <w:rsid w:val="0076255D"/>
    <w:rsid w:val="00762C18"/>
    <w:rsid w:val="00762F63"/>
    <w:rsid w:val="00762FF4"/>
    <w:rsid w:val="0076387E"/>
    <w:rsid w:val="007639D3"/>
    <w:rsid w:val="00764A62"/>
    <w:rsid w:val="00764EB3"/>
    <w:rsid w:val="00764F79"/>
    <w:rsid w:val="00764F9F"/>
    <w:rsid w:val="007650DE"/>
    <w:rsid w:val="007651F3"/>
    <w:rsid w:val="0076520A"/>
    <w:rsid w:val="0076586B"/>
    <w:rsid w:val="0076592C"/>
    <w:rsid w:val="00765D3C"/>
    <w:rsid w:val="00765F17"/>
    <w:rsid w:val="00765F7C"/>
    <w:rsid w:val="00765F9D"/>
    <w:rsid w:val="007662E9"/>
    <w:rsid w:val="00766397"/>
    <w:rsid w:val="00766996"/>
    <w:rsid w:val="007669CC"/>
    <w:rsid w:val="00766AFF"/>
    <w:rsid w:val="00766DF5"/>
    <w:rsid w:val="00766EFC"/>
    <w:rsid w:val="00767171"/>
    <w:rsid w:val="0076745C"/>
    <w:rsid w:val="0076785A"/>
    <w:rsid w:val="00767BCB"/>
    <w:rsid w:val="0077000D"/>
    <w:rsid w:val="007702E6"/>
    <w:rsid w:val="00770326"/>
    <w:rsid w:val="007704A1"/>
    <w:rsid w:val="007706DF"/>
    <w:rsid w:val="00770747"/>
    <w:rsid w:val="00770B3C"/>
    <w:rsid w:val="00770BA2"/>
    <w:rsid w:val="00770FA1"/>
    <w:rsid w:val="00771456"/>
    <w:rsid w:val="00771BBB"/>
    <w:rsid w:val="00772276"/>
    <w:rsid w:val="00772399"/>
    <w:rsid w:val="0077259D"/>
    <w:rsid w:val="00772E57"/>
    <w:rsid w:val="00772F9D"/>
    <w:rsid w:val="0077318C"/>
    <w:rsid w:val="007731E9"/>
    <w:rsid w:val="00773778"/>
    <w:rsid w:val="00773AD3"/>
    <w:rsid w:val="00773E12"/>
    <w:rsid w:val="007743FE"/>
    <w:rsid w:val="00774442"/>
    <w:rsid w:val="007745FC"/>
    <w:rsid w:val="00774B1F"/>
    <w:rsid w:val="0077524C"/>
    <w:rsid w:val="00775604"/>
    <w:rsid w:val="007759DB"/>
    <w:rsid w:val="00775C0D"/>
    <w:rsid w:val="00775CD9"/>
    <w:rsid w:val="00775D57"/>
    <w:rsid w:val="00775DD3"/>
    <w:rsid w:val="007762C2"/>
    <w:rsid w:val="007766FA"/>
    <w:rsid w:val="0077686A"/>
    <w:rsid w:val="007769EB"/>
    <w:rsid w:val="00776F43"/>
    <w:rsid w:val="00776F79"/>
    <w:rsid w:val="00776FFD"/>
    <w:rsid w:val="00777093"/>
    <w:rsid w:val="00777771"/>
    <w:rsid w:val="00777A76"/>
    <w:rsid w:val="00777C56"/>
    <w:rsid w:val="00777CC7"/>
    <w:rsid w:val="00777F2A"/>
    <w:rsid w:val="00780483"/>
    <w:rsid w:val="007809AB"/>
    <w:rsid w:val="00780B57"/>
    <w:rsid w:val="00780DD8"/>
    <w:rsid w:val="00781762"/>
    <w:rsid w:val="0078178C"/>
    <w:rsid w:val="00781936"/>
    <w:rsid w:val="007819D4"/>
    <w:rsid w:val="00781B3F"/>
    <w:rsid w:val="00781E72"/>
    <w:rsid w:val="0078208E"/>
    <w:rsid w:val="007820FA"/>
    <w:rsid w:val="00782949"/>
    <w:rsid w:val="00782A85"/>
    <w:rsid w:val="00782EDF"/>
    <w:rsid w:val="007831FF"/>
    <w:rsid w:val="00783974"/>
    <w:rsid w:val="00783CBB"/>
    <w:rsid w:val="00783E29"/>
    <w:rsid w:val="0078434B"/>
    <w:rsid w:val="0078446E"/>
    <w:rsid w:val="007844EE"/>
    <w:rsid w:val="00784600"/>
    <w:rsid w:val="007846C5"/>
    <w:rsid w:val="00784BF6"/>
    <w:rsid w:val="00784E2E"/>
    <w:rsid w:val="00785054"/>
    <w:rsid w:val="007850E7"/>
    <w:rsid w:val="007851A7"/>
    <w:rsid w:val="00785597"/>
    <w:rsid w:val="0078559C"/>
    <w:rsid w:val="00785812"/>
    <w:rsid w:val="007859EA"/>
    <w:rsid w:val="00785AF1"/>
    <w:rsid w:val="00786539"/>
    <w:rsid w:val="00786852"/>
    <w:rsid w:val="007869D8"/>
    <w:rsid w:val="00786AB9"/>
    <w:rsid w:val="00786E65"/>
    <w:rsid w:val="00787CAA"/>
    <w:rsid w:val="00787FE4"/>
    <w:rsid w:val="0079017E"/>
    <w:rsid w:val="007902A9"/>
    <w:rsid w:val="00790577"/>
    <w:rsid w:val="00790FEF"/>
    <w:rsid w:val="00791147"/>
    <w:rsid w:val="00791288"/>
    <w:rsid w:val="00791453"/>
    <w:rsid w:val="00791DDB"/>
    <w:rsid w:val="00791F2C"/>
    <w:rsid w:val="0079209F"/>
    <w:rsid w:val="007923B6"/>
    <w:rsid w:val="00792420"/>
    <w:rsid w:val="00792605"/>
    <w:rsid w:val="007927B8"/>
    <w:rsid w:val="00792B87"/>
    <w:rsid w:val="00792E6F"/>
    <w:rsid w:val="00792ED0"/>
    <w:rsid w:val="00792F4C"/>
    <w:rsid w:val="00793752"/>
    <w:rsid w:val="00793CFB"/>
    <w:rsid w:val="00793F8F"/>
    <w:rsid w:val="007941EB"/>
    <w:rsid w:val="0079458C"/>
    <w:rsid w:val="007947A9"/>
    <w:rsid w:val="00794CA5"/>
    <w:rsid w:val="0079509F"/>
    <w:rsid w:val="007952AF"/>
    <w:rsid w:val="007952E2"/>
    <w:rsid w:val="00795604"/>
    <w:rsid w:val="00795617"/>
    <w:rsid w:val="007959C5"/>
    <w:rsid w:val="00795B64"/>
    <w:rsid w:val="00795BF9"/>
    <w:rsid w:val="00795C05"/>
    <w:rsid w:val="00795E86"/>
    <w:rsid w:val="007962C5"/>
    <w:rsid w:val="00796451"/>
    <w:rsid w:val="007965B0"/>
    <w:rsid w:val="00796C4A"/>
    <w:rsid w:val="00797058"/>
    <w:rsid w:val="00797064"/>
    <w:rsid w:val="00797721"/>
    <w:rsid w:val="007977ED"/>
    <w:rsid w:val="007977F1"/>
    <w:rsid w:val="00797973"/>
    <w:rsid w:val="007A02BD"/>
    <w:rsid w:val="007A07CE"/>
    <w:rsid w:val="007A0D42"/>
    <w:rsid w:val="007A0DE9"/>
    <w:rsid w:val="007A10AD"/>
    <w:rsid w:val="007A12B5"/>
    <w:rsid w:val="007A1584"/>
    <w:rsid w:val="007A1CBF"/>
    <w:rsid w:val="007A229E"/>
    <w:rsid w:val="007A23C4"/>
    <w:rsid w:val="007A251F"/>
    <w:rsid w:val="007A254A"/>
    <w:rsid w:val="007A2820"/>
    <w:rsid w:val="007A2E90"/>
    <w:rsid w:val="007A2FA1"/>
    <w:rsid w:val="007A3250"/>
    <w:rsid w:val="007A3330"/>
    <w:rsid w:val="007A380D"/>
    <w:rsid w:val="007A3A56"/>
    <w:rsid w:val="007A3AF8"/>
    <w:rsid w:val="007A3C35"/>
    <w:rsid w:val="007A3FE4"/>
    <w:rsid w:val="007A4043"/>
    <w:rsid w:val="007A41C7"/>
    <w:rsid w:val="007A4D46"/>
    <w:rsid w:val="007A4F78"/>
    <w:rsid w:val="007A5475"/>
    <w:rsid w:val="007A5768"/>
    <w:rsid w:val="007A5FE3"/>
    <w:rsid w:val="007A61F1"/>
    <w:rsid w:val="007A6398"/>
    <w:rsid w:val="007A63A5"/>
    <w:rsid w:val="007A6441"/>
    <w:rsid w:val="007A692B"/>
    <w:rsid w:val="007A6ACB"/>
    <w:rsid w:val="007A6B8A"/>
    <w:rsid w:val="007A6FCB"/>
    <w:rsid w:val="007A72E0"/>
    <w:rsid w:val="007A73E3"/>
    <w:rsid w:val="007A766E"/>
    <w:rsid w:val="007A7B7A"/>
    <w:rsid w:val="007A7C44"/>
    <w:rsid w:val="007A7CE1"/>
    <w:rsid w:val="007B0019"/>
    <w:rsid w:val="007B004B"/>
    <w:rsid w:val="007B0810"/>
    <w:rsid w:val="007B0D7C"/>
    <w:rsid w:val="007B15CF"/>
    <w:rsid w:val="007B174E"/>
    <w:rsid w:val="007B1754"/>
    <w:rsid w:val="007B1AB9"/>
    <w:rsid w:val="007B1ABB"/>
    <w:rsid w:val="007B1B91"/>
    <w:rsid w:val="007B23B0"/>
    <w:rsid w:val="007B292B"/>
    <w:rsid w:val="007B30A6"/>
    <w:rsid w:val="007B30C7"/>
    <w:rsid w:val="007B3529"/>
    <w:rsid w:val="007B3CAD"/>
    <w:rsid w:val="007B4287"/>
    <w:rsid w:val="007B46B2"/>
    <w:rsid w:val="007B46FB"/>
    <w:rsid w:val="007B4901"/>
    <w:rsid w:val="007B4BFE"/>
    <w:rsid w:val="007B513A"/>
    <w:rsid w:val="007B5145"/>
    <w:rsid w:val="007B5159"/>
    <w:rsid w:val="007B55DB"/>
    <w:rsid w:val="007B5894"/>
    <w:rsid w:val="007B5B55"/>
    <w:rsid w:val="007B5D49"/>
    <w:rsid w:val="007B604E"/>
    <w:rsid w:val="007B610D"/>
    <w:rsid w:val="007B6B2F"/>
    <w:rsid w:val="007B6CF1"/>
    <w:rsid w:val="007B6E42"/>
    <w:rsid w:val="007B7006"/>
    <w:rsid w:val="007B712A"/>
    <w:rsid w:val="007B7151"/>
    <w:rsid w:val="007B733A"/>
    <w:rsid w:val="007B759E"/>
    <w:rsid w:val="007B776D"/>
    <w:rsid w:val="007B7A2F"/>
    <w:rsid w:val="007C08BF"/>
    <w:rsid w:val="007C0D13"/>
    <w:rsid w:val="007C1315"/>
    <w:rsid w:val="007C138E"/>
    <w:rsid w:val="007C13A2"/>
    <w:rsid w:val="007C13B0"/>
    <w:rsid w:val="007C1932"/>
    <w:rsid w:val="007C1952"/>
    <w:rsid w:val="007C1B1E"/>
    <w:rsid w:val="007C1B3D"/>
    <w:rsid w:val="007C20E0"/>
    <w:rsid w:val="007C28BF"/>
    <w:rsid w:val="007C35E4"/>
    <w:rsid w:val="007C37EC"/>
    <w:rsid w:val="007C4193"/>
    <w:rsid w:val="007C424B"/>
    <w:rsid w:val="007C4395"/>
    <w:rsid w:val="007C43E9"/>
    <w:rsid w:val="007C4591"/>
    <w:rsid w:val="007C45D6"/>
    <w:rsid w:val="007C48D9"/>
    <w:rsid w:val="007C4E0D"/>
    <w:rsid w:val="007C52C1"/>
    <w:rsid w:val="007C539E"/>
    <w:rsid w:val="007C545B"/>
    <w:rsid w:val="007C5965"/>
    <w:rsid w:val="007C5C6E"/>
    <w:rsid w:val="007C5E81"/>
    <w:rsid w:val="007C62C1"/>
    <w:rsid w:val="007C6435"/>
    <w:rsid w:val="007C644C"/>
    <w:rsid w:val="007C6630"/>
    <w:rsid w:val="007C6931"/>
    <w:rsid w:val="007C6AE0"/>
    <w:rsid w:val="007C6CA7"/>
    <w:rsid w:val="007C6FF9"/>
    <w:rsid w:val="007C78A1"/>
    <w:rsid w:val="007C7DDA"/>
    <w:rsid w:val="007D0201"/>
    <w:rsid w:val="007D05C1"/>
    <w:rsid w:val="007D0B73"/>
    <w:rsid w:val="007D0D1B"/>
    <w:rsid w:val="007D0DFD"/>
    <w:rsid w:val="007D0FC8"/>
    <w:rsid w:val="007D13BF"/>
    <w:rsid w:val="007D144C"/>
    <w:rsid w:val="007D154D"/>
    <w:rsid w:val="007D1584"/>
    <w:rsid w:val="007D15A0"/>
    <w:rsid w:val="007D18A5"/>
    <w:rsid w:val="007D1CB3"/>
    <w:rsid w:val="007D1E0C"/>
    <w:rsid w:val="007D218F"/>
    <w:rsid w:val="007D22B6"/>
    <w:rsid w:val="007D23B9"/>
    <w:rsid w:val="007D2675"/>
    <w:rsid w:val="007D2698"/>
    <w:rsid w:val="007D27AD"/>
    <w:rsid w:val="007D2BEA"/>
    <w:rsid w:val="007D2E58"/>
    <w:rsid w:val="007D2EC5"/>
    <w:rsid w:val="007D2FE3"/>
    <w:rsid w:val="007D3225"/>
    <w:rsid w:val="007D3CF5"/>
    <w:rsid w:val="007D3D9E"/>
    <w:rsid w:val="007D4745"/>
    <w:rsid w:val="007D4781"/>
    <w:rsid w:val="007D4840"/>
    <w:rsid w:val="007D5404"/>
    <w:rsid w:val="007D56F3"/>
    <w:rsid w:val="007D5B28"/>
    <w:rsid w:val="007D5B56"/>
    <w:rsid w:val="007D5FAF"/>
    <w:rsid w:val="007D64A6"/>
    <w:rsid w:val="007D6686"/>
    <w:rsid w:val="007D6ABB"/>
    <w:rsid w:val="007D6D41"/>
    <w:rsid w:val="007D6F04"/>
    <w:rsid w:val="007D706A"/>
    <w:rsid w:val="007D70CB"/>
    <w:rsid w:val="007D71CA"/>
    <w:rsid w:val="007D71E1"/>
    <w:rsid w:val="007D73E8"/>
    <w:rsid w:val="007D78BD"/>
    <w:rsid w:val="007D79DF"/>
    <w:rsid w:val="007D7E8D"/>
    <w:rsid w:val="007E02BF"/>
    <w:rsid w:val="007E04A3"/>
    <w:rsid w:val="007E0907"/>
    <w:rsid w:val="007E095F"/>
    <w:rsid w:val="007E1178"/>
    <w:rsid w:val="007E1322"/>
    <w:rsid w:val="007E1386"/>
    <w:rsid w:val="007E1615"/>
    <w:rsid w:val="007E16B7"/>
    <w:rsid w:val="007E1733"/>
    <w:rsid w:val="007E1930"/>
    <w:rsid w:val="007E1B13"/>
    <w:rsid w:val="007E1B6B"/>
    <w:rsid w:val="007E1DBE"/>
    <w:rsid w:val="007E276B"/>
    <w:rsid w:val="007E32D0"/>
    <w:rsid w:val="007E33CA"/>
    <w:rsid w:val="007E3B12"/>
    <w:rsid w:val="007E3B18"/>
    <w:rsid w:val="007E3B9B"/>
    <w:rsid w:val="007E421B"/>
    <w:rsid w:val="007E4304"/>
    <w:rsid w:val="007E49B6"/>
    <w:rsid w:val="007E4EC2"/>
    <w:rsid w:val="007E5173"/>
    <w:rsid w:val="007E5380"/>
    <w:rsid w:val="007E53F6"/>
    <w:rsid w:val="007E54CE"/>
    <w:rsid w:val="007E570C"/>
    <w:rsid w:val="007E5853"/>
    <w:rsid w:val="007E5B2F"/>
    <w:rsid w:val="007E5D12"/>
    <w:rsid w:val="007E5D5A"/>
    <w:rsid w:val="007E5EA1"/>
    <w:rsid w:val="007E5FA9"/>
    <w:rsid w:val="007E5FF2"/>
    <w:rsid w:val="007E6390"/>
    <w:rsid w:val="007E6602"/>
    <w:rsid w:val="007E6837"/>
    <w:rsid w:val="007E69D7"/>
    <w:rsid w:val="007E69F2"/>
    <w:rsid w:val="007E6BC7"/>
    <w:rsid w:val="007E7052"/>
    <w:rsid w:val="007E722B"/>
    <w:rsid w:val="007E7470"/>
    <w:rsid w:val="007E7596"/>
    <w:rsid w:val="007E786E"/>
    <w:rsid w:val="007E7E9E"/>
    <w:rsid w:val="007F0491"/>
    <w:rsid w:val="007F084D"/>
    <w:rsid w:val="007F0AE3"/>
    <w:rsid w:val="007F0B33"/>
    <w:rsid w:val="007F0C73"/>
    <w:rsid w:val="007F14C7"/>
    <w:rsid w:val="007F21E9"/>
    <w:rsid w:val="007F2384"/>
    <w:rsid w:val="007F27D5"/>
    <w:rsid w:val="007F2960"/>
    <w:rsid w:val="007F2EDC"/>
    <w:rsid w:val="007F3347"/>
    <w:rsid w:val="007F3467"/>
    <w:rsid w:val="007F3CE5"/>
    <w:rsid w:val="007F46D7"/>
    <w:rsid w:val="007F4B46"/>
    <w:rsid w:val="007F4DD5"/>
    <w:rsid w:val="007F4FE8"/>
    <w:rsid w:val="007F52C9"/>
    <w:rsid w:val="007F5555"/>
    <w:rsid w:val="007F56D2"/>
    <w:rsid w:val="007F56E0"/>
    <w:rsid w:val="007F5A44"/>
    <w:rsid w:val="007F5B0E"/>
    <w:rsid w:val="007F5D74"/>
    <w:rsid w:val="007F64E7"/>
    <w:rsid w:val="007F6940"/>
    <w:rsid w:val="007F6F8F"/>
    <w:rsid w:val="007F6FA0"/>
    <w:rsid w:val="007F7366"/>
    <w:rsid w:val="007F7412"/>
    <w:rsid w:val="007F7542"/>
    <w:rsid w:val="007F7732"/>
    <w:rsid w:val="007F7735"/>
    <w:rsid w:val="007F7A16"/>
    <w:rsid w:val="007F7B57"/>
    <w:rsid w:val="007F7B97"/>
    <w:rsid w:val="007F7ED4"/>
    <w:rsid w:val="007F7F8A"/>
    <w:rsid w:val="007F7FC2"/>
    <w:rsid w:val="0080019D"/>
    <w:rsid w:val="008001CB"/>
    <w:rsid w:val="008001D1"/>
    <w:rsid w:val="00800440"/>
    <w:rsid w:val="00800E1A"/>
    <w:rsid w:val="008011B3"/>
    <w:rsid w:val="00801442"/>
    <w:rsid w:val="008015EC"/>
    <w:rsid w:val="00801DFC"/>
    <w:rsid w:val="0080216C"/>
    <w:rsid w:val="008022E2"/>
    <w:rsid w:val="0080237B"/>
    <w:rsid w:val="00802E57"/>
    <w:rsid w:val="0080300A"/>
    <w:rsid w:val="008034F4"/>
    <w:rsid w:val="0080376D"/>
    <w:rsid w:val="00803F7D"/>
    <w:rsid w:val="00803FF7"/>
    <w:rsid w:val="0080436D"/>
    <w:rsid w:val="0080444C"/>
    <w:rsid w:val="0080503C"/>
    <w:rsid w:val="008050A7"/>
    <w:rsid w:val="0080560C"/>
    <w:rsid w:val="00805F1E"/>
    <w:rsid w:val="00806DC6"/>
    <w:rsid w:val="0080724E"/>
    <w:rsid w:val="008072DC"/>
    <w:rsid w:val="00807453"/>
    <w:rsid w:val="008074A1"/>
    <w:rsid w:val="008075B6"/>
    <w:rsid w:val="00807BDA"/>
    <w:rsid w:val="00810087"/>
    <w:rsid w:val="0081089E"/>
    <w:rsid w:val="00810A5C"/>
    <w:rsid w:val="00810DA0"/>
    <w:rsid w:val="00810F7E"/>
    <w:rsid w:val="008112A9"/>
    <w:rsid w:val="0081132A"/>
    <w:rsid w:val="00811892"/>
    <w:rsid w:val="00811B45"/>
    <w:rsid w:val="00811F9B"/>
    <w:rsid w:val="00812352"/>
    <w:rsid w:val="00812379"/>
    <w:rsid w:val="0081294B"/>
    <w:rsid w:val="00812D0D"/>
    <w:rsid w:val="00813319"/>
    <w:rsid w:val="00813826"/>
    <w:rsid w:val="00813B35"/>
    <w:rsid w:val="00813ED8"/>
    <w:rsid w:val="00813FAA"/>
    <w:rsid w:val="008140B3"/>
    <w:rsid w:val="00814997"/>
    <w:rsid w:val="008151E7"/>
    <w:rsid w:val="008151F0"/>
    <w:rsid w:val="008155BC"/>
    <w:rsid w:val="00815666"/>
    <w:rsid w:val="00815A36"/>
    <w:rsid w:val="00815C92"/>
    <w:rsid w:val="00815DAD"/>
    <w:rsid w:val="00815F67"/>
    <w:rsid w:val="00816522"/>
    <w:rsid w:val="008166A6"/>
    <w:rsid w:val="00816782"/>
    <w:rsid w:val="00816940"/>
    <w:rsid w:val="00817281"/>
    <w:rsid w:val="008179DA"/>
    <w:rsid w:val="00817C42"/>
    <w:rsid w:val="00817D74"/>
    <w:rsid w:val="0082043C"/>
    <w:rsid w:val="008208A8"/>
    <w:rsid w:val="00820A06"/>
    <w:rsid w:val="00820BD0"/>
    <w:rsid w:val="00820F5E"/>
    <w:rsid w:val="00820FB3"/>
    <w:rsid w:val="00821416"/>
    <w:rsid w:val="00821E9D"/>
    <w:rsid w:val="008221A3"/>
    <w:rsid w:val="008221EE"/>
    <w:rsid w:val="00822898"/>
    <w:rsid w:val="00822A06"/>
    <w:rsid w:val="00822B6E"/>
    <w:rsid w:val="00822CAC"/>
    <w:rsid w:val="00823223"/>
    <w:rsid w:val="0082380E"/>
    <w:rsid w:val="00823854"/>
    <w:rsid w:val="00823D0A"/>
    <w:rsid w:val="00824492"/>
    <w:rsid w:val="008244E8"/>
    <w:rsid w:val="0082477B"/>
    <w:rsid w:val="008248DC"/>
    <w:rsid w:val="00824CBF"/>
    <w:rsid w:val="00824CE3"/>
    <w:rsid w:val="00825556"/>
    <w:rsid w:val="00825585"/>
    <w:rsid w:val="00825A84"/>
    <w:rsid w:val="00825DA0"/>
    <w:rsid w:val="00825EA9"/>
    <w:rsid w:val="0082664E"/>
    <w:rsid w:val="00826BE8"/>
    <w:rsid w:val="00827379"/>
    <w:rsid w:val="008275D7"/>
    <w:rsid w:val="0082761F"/>
    <w:rsid w:val="008276F4"/>
    <w:rsid w:val="00827955"/>
    <w:rsid w:val="008307FF"/>
    <w:rsid w:val="00830A83"/>
    <w:rsid w:val="008312D4"/>
    <w:rsid w:val="008317F8"/>
    <w:rsid w:val="0083187B"/>
    <w:rsid w:val="0083188C"/>
    <w:rsid w:val="0083201C"/>
    <w:rsid w:val="00832273"/>
    <w:rsid w:val="00832563"/>
    <w:rsid w:val="00832B0B"/>
    <w:rsid w:val="00832F6A"/>
    <w:rsid w:val="00833228"/>
    <w:rsid w:val="008332B8"/>
    <w:rsid w:val="00833316"/>
    <w:rsid w:val="0083333A"/>
    <w:rsid w:val="008333D2"/>
    <w:rsid w:val="008337AD"/>
    <w:rsid w:val="00833815"/>
    <w:rsid w:val="00833838"/>
    <w:rsid w:val="00833A45"/>
    <w:rsid w:val="00833B56"/>
    <w:rsid w:val="00833BA6"/>
    <w:rsid w:val="00833DB9"/>
    <w:rsid w:val="00833E5D"/>
    <w:rsid w:val="00833F0E"/>
    <w:rsid w:val="00833FA1"/>
    <w:rsid w:val="008341DA"/>
    <w:rsid w:val="00834472"/>
    <w:rsid w:val="008346CE"/>
    <w:rsid w:val="0083479A"/>
    <w:rsid w:val="00834C9B"/>
    <w:rsid w:val="00834DE4"/>
    <w:rsid w:val="00834E47"/>
    <w:rsid w:val="00834E96"/>
    <w:rsid w:val="00835136"/>
    <w:rsid w:val="008356A7"/>
    <w:rsid w:val="0083583C"/>
    <w:rsid w:val="0083616B"/>
    <w:rsid w:val="00836691"/>
    <w:rsid w:val="0083683E"/>
    <w:rsid w:val="00836990"/>
    <w:rsid w:val="00836B83"/>
    <w:rsid w:val="00836B8F"/>
    <w:rsid w:val="00836BA2"/>
    <w:rsid w:val="00837045"/>
    <w:rsid w:val="008374BF"/>
    <w:rsid w:val="00837870"/>
    <w:rsid w:val="0083793F"/>
    <w:rsid w:val="00837AC3"/>
    <w:rsid w:val="0084058D"/>
    <w:rsid w:val="00840946"/>
    <w:rsid w:val="008418BB"/>
    <w:rsid w:val="00841B2F"/>
    <w:rsid w:val="008420C6"/>
    <w:rsid w:val="0084228A"/>
    <w:rsid w:val="008422B4"/>
    <w:rsid w:val="00842525"/>
    <w:rsid w:val="00842839"/>
    <w:rsid w:val="00842A0A"/>
    <w:rsid w:val="00842E51"/>
    <w:rsid w:val="00842EB7"/>
    <w:rsid w:val="00842F03"/>
    <w:rsid w:val="00843195"/>
    <w:rsid w:val="00843283"/>
    <w:rsid w:val="0084397A"/>
    <w:rsid w:val="00843A8E"/>
    <w:rsid w:val="00843C68"/>
    <w:rsid w:val="00843D16"/>
    <w:rsid w:val="00843ED5"/>
    <w:rsid w:val="008442CC"/>
    <w:rsid w:val="00844578"/>
    <w:rsid w:val="00844B26"/>
    <w:rsid w:val="00844F06"/>
    <w:rsid w:val="008451EE"/>
    <w:rsid w:val="0084587C"/>
    <w:rsid w:val="00845946"/>
    <w:rsid w:val="00845966"/>
    <w:rsid w:val="008461D9"/>
    <w:rsid w:val="0084627B"/>
    <w:rsid w:val="00846556"/>
    <w:rsid w:val="00846775"/>
    <w:rsid w:val="00846BD9"/>
    <w:rsid w:val="00846BDC"/>
    <w:rsid w:val="008472C3"/>
    <w:rsid w:val="00847394"/>
    <w:rsid w:val="008478DE"/>
    <w:rsid w:val="008479DB"/>
    <w:rsid w:val="0085080F"/>
    <w:rsid w:val="00850A36"/>
    <w:rsid w:val="00850C5F"/>
    <w:rsid w:val="00850F58"/>
    <w:rsid w:val="00851051"/>
    <w:rsid w:val="00851607"/>
    <w:rsid w:val="00851743"/>
    <w:rsid w:val="00851AC5"/>
    <w:rsid w:val="00852548"/>
    <w:rsid w:val="00852AE5"/>
    <w:rsid w:val="00852C97"/>
    <w:rsid w:val="00852CD7"/>
    <w:rsid w:val="00852D24"/>
    <w:rsid w:val="00853294"/>
    <w:rsid w:val="00853E4D"/>
    <w:rsid w:val="00854009"/>
    <w:rsid w:val="0085407D"/>
    <w:rsid w:val="008543D2"/>
    <w:rsid w:val="00854767"/>
    <w:rsid w:val="00854FD7"/>
    <w:rsid w:val="00855023"/>
    <w:rsid w:val="0085530C"/>
    <w:rsid w:val="0085551B"/>
    <w:rsid w:val="00855FBA"/>
    <w:rsid w:val="008561B7"/>
    <w:rsid w:val="008562E4"/>
    <w:rsid w:val="008565DD"/>
    <w:rsid w:val="0085668F"/>
    <w:rsid w:val="00856817"/>
    <w:rsid w:val="00856819"/>
    <w:rsid w:val="008569AE"/>
    <w:rsid w:val="008569FF"/>
    <w:rsid w:val="00856A20"/>
    <w:rsid w:val="0085700F"/>
    <w:rsid w:val="00857268"/>
    <w:rsid w:val="00857290"/>
    <w:rsid w:val="00857484"/>
    <w:rsid w:val="008578DB"/>
    <w:rsid w:val="00857AF4"/>
    <w:rsid w:val="00857DAF"/>
    <w:rsid w:val="008600D0"/>
    <w:rsid w:val="00860280"/>
    <w:rsid w:val="0086055F"/>
    <w:rsid w:val="00860E8C"/>
    <w:rsid w:val="00860FB6"/>
    <w:rsid w:val="00860FDC"/>
    <w:rsid w:val="00861060"/>
    <w:rsid w:val="008612BE"/>
    <w:rsid w:val="00861707"/>
    <w:rsid w:val="0086186C"/>
    <w:rsid w:val="00861BC0"/>
    <w:rsid w:val="00862735"/>
    <w:rsid w:val="0086299C"/>
    <w:rsid w:val="00862BD4"/>
    <w:rsid w:val="00862C04"/>
    <w:rsid w:val="00862CFE"/>
    <w:rsid w:val="00862DEE"/>
    <w:rsid w:val="0086330E"/>
    <w:rsid w:val="008633BB"/>
    <w:rsid w:val="008636D0"/>
    <w:rsid w:val="008639C0"/>
    <w:rsid w:val="00863A78"/>
    <w:rsid w:val="00863E94"/>
    <w:rsid w:val="00864178"/>
    <w:rsid w:val="0086472B"/>
    <w:rsid w:val="00864BBF"/>
    <w:rsid w:val="00864F17"/>
    <w:rsid w:val="00865315"/>
    <w:rsid w:val="008656B0"/>
    <w:rsid w:val="008659EC"/>
    <w:rsid w:val="00865CCE"/>
    <w:rsid w:val="00865D42"/>
    <w:rsid w:val="008665FB"/>
    <w:rsid w:val="00866736"/>
    <w:rsid w:val="00866ABB"/>
    <w:rsid w:val="00866CF6"/>
    <w:rsid w:val="00866F7C"/>
    <w:rsid w:val="00867061"/>
    <w:rsid w:val="0086715C"/>
    <w:rsid w:val="00867862"/>
    <w:rsid w:val="008679E2"/>
    <w:rsid w:val="00867BD5"/>
    <w:rsid w:val="00867CA4"/>
    <w:rsid w:val="00867DBC"/>
    <w:rsid w:val="00870362"/>
    <w:rsid w:val="008703B4"/>
    <w:rsid w:val="00870E3E"/>
    <w:rsid w:val="0087171F"/>
    <w:rsid w:val="008717FA"/>
    <w:rsid w:val="00871EE0"/>
    <w:rsid w:val="008723C8"/>
    <w:rsid w:val="0087245A"/>
    <w:rsid w:val="00872854"/>
    <w:rsid w:val="008729EA"/>
    <w:rsid w:val="00872D71"/>
    <w:rsid w:val="008730D1"/>
    <w:rsid w:val="008732E5"/>
    <w:rsid w:val="00873310"/>
    <w:rsid w:val="008736D3"/>
    <w:rsid w:val="008739CE"/>
    <w:rsid w:val="00873A2A"/>
    <w:rsid w:val="00873A9A"/>
    <w:rsid w:val="0087442C"/>
    <w:rsid w:val="008747EB"/>
    <w:rsid w:val="00874960"/>
    <w:rsid w:val="0087524C"/>
    <w:rsid w:val="008752E7"/>
    <w:rsid w:val="00875395"/>
    <w:rsid w:val="00875448"/>
    <w:rsid w:val="00875993"/>
    <w:rsid w:val="00875996"/>
    <w:rsid w:val="00875999"/>
    <w:rsid w:val="00876774"/>
    <w:rsid w:val="008769A8"/>
    <w:rsid w:val="00876A64"/>
    <w:rsid w:val="00877033"/>
    <w:rsid w:val="008773D0"/>
    <w:rsid w:val="008773E1"/>
    <w:rsid w:val="008775D1"/>
    <w:rsid w:val="00877A96"/>
    <w:rsid w:val="00877B77"/>
    <w:rsid w:val="00877C8F"/>
    <w:rsid w:val="0088031E"/>
    <w:rsid w:val="0088054D"/>
    <w:rsid w:val="008809E7"/>
    <w:rsid w:val="00880BF5"/>
    <w:rsid w:val="00880FFE"/>
    <w:rsid w:val="0088101A"/>
    <w:rsid w:val="00881372"/>
    <w:rsid w:val="0088172D"/>
    <w:rsid w:val="00881793"/>
    <w:rsid w:val="008817BB"/>
    <w:rsid w:val="00881BDC"/>
    <w:rsid w:val="008820A0"/>
    <w:rsid w:val="00882624"/>
    <w:rsid w:val="00882DC8"/>
    <w:rsid w:val="00882E0F"/>
    <w:rsid w:val="008831B4"/>
    <w:rsid w:val="00883262"/>
    <w:rsid w:val="0088347E"/>
    <w:rsid w:val="00883A17"/>
    <w:rsid w:val="00883C35"/>
    <w:rsid w:val="00883E42"/>
    <w:rsid w:val="00883EBD"/>
    <w:rsid w:val="008840A6"/>
    <w:rsid w:val="00884407"/>
    <w:rsid w:val="0088441C"/>
    <w:rsid w:val="00884AF9"/>
    <w:rsid w:val="00884D45"/>
    <w:rsid w:val="0088528B"/>
    <w:rsid w:val="00885377"/>
    <w:rsid w:val="00885881"/>
    <w:rsid w:val="008858CD"/>
    <w:rsid w:val="00885B71"/>
    <w:rsid w:val="00885EF6"/>
    <w:rsid w:val="008866DD"/>
    <w:rsid w:val="00886EB6"/>
    <w:rsid w:val="00886F8B"/>
    <w:rsid w:val="008876E8"/>
    <w:rsid w:val="00887B2C"/>
    <w:rsid w:val="00887D05"/>
    <w:rsid w:val="00887E4A"/>
    <w:rsid w:val="00887FB9"/>
    <w:rsid w:val="0089074B"/>
    <w:rsid w:val="00890C10"/>
    <w:rsid w:val="00890CAB"/>
    <w:rsid w:val="00890DFE"/>
    <w:rsid w:val="00890E90"/>
    <w:rsid w:val="00890FFE"/>
    <w:rsid w:val="0089107C"/>
    <w:rsid w:val="008918A7"/>
    <w:rsid w:val="00892112"/>
    <w:rsid w:val="00892263"/>
    <w:rsid w:val="00892766"/>
    <w:rsid w:val="0089280B"/>
    <w:rsid w:val="008928E6"/>
    <w:rsid w:val="00892A0C"/>
    <w:rsid w:val="00893228"/>
    <w:rsid w:val="0089329C"/>
    <w:rsid w:val="008933C2"/>
    <w:rsid w:val="00893BA8"/>
    <w:rsid w:val="00893D2B"/>
    <w:rsid w:val="0089417E"/>
    <w:rsid w:val="0089417F"/>
    <w:rsid w:val="008942B9"/>
    <w:rsid w:val="0089456B"/>
    <w:rsid w:val="0089467E"/>
    <w:rsid w:val="00894DE5"/>
    <w:rsid w:val="00894F43"/>
    <w:rsid w:val="00894FF9"/>
    <w:rsid w:val="0089546E"/>
    <w:rsid w:val="0089566F"/>
    <w:rsid w:val="008959DB"/>
    <w:rsid w:val="00895ACF"/>
    <w:rsid w:val="00895D3A"/>
    <w:rsid w:val="00895F47"/>
    <w:rsid w:val="00895F58"/>
    <w:rsid w:val="008961AC"/>
    <w:rsid w:val="00896395"/>
    <w:rsid w:val="00896396"/>
    <w:rsid w:val="008976B0"/>
    <w:rsid w:val="00897A98"/>
    <w:rsid w:val="008A010A"/>
    <w:rsid w:val="008A034C"/>
    <w:rsid w:val="008A0E70"/>
    <w:rsid w:val="008A0E8C"/>
    <w:rsid w:val="008A0F4E"/>
    <w:rsid w:val="008A106E"/>
    <w:rsid w:val="008A12F0"/>
    <w:rsid w:val="008A1327"/>
    <w:rsid w:val="008A13B9"/>
    <w:rsid w:val="008A15AA"/>
    <w:rsid w:val="008A167D"/>
    <w:rsid w:val="008A1D3C"/>
    <w:rsid w:val="008A1F48"/>
    <w:rsid w:val="008A259D"/>
    <w:rsid w:val="008A283D"/>
    <w:rsid w:val="008A2F50"/>
    <w:rsid w:val="008A32B5"/>
    <w:rsid w:val="008A3472"/>
    <w:rsid w:val="008A3557"/>
    <w:rsid w:val="008A36FE"/>
    <w:rsid w:val="008A3BF7"/>
    <w:rsid w:val="008A400D"/>
    <w:rsid w:val="008A41B2"/>
    <w:rsid w:val="008A43E5"/>
    <w:rsid w:val="008A4502"/>
    <w:rsid w:val="008A493E"/>
    <w:rsid w:val="008A51A0"/>
    <w:rsid w:val="008A5935"/>
    <w:rsid w:val="008A629E"/>
    <w:rsid w:val="008A6437"/>
    <w:rsid w:val="008A64A6"/>
    <w:rsid w:val="008A6B53"/>
    <w:rsid w:val="008A7032"/>
    <w:rsid w:val="008A708C"/>
    <w:rsid w:val="008A72FA"/>
    <w:rsid w:val="008A7BA6"/>
    <w:rsid w:val="008B0210"/>
    <w:rsid w:val="008B04B4"/>
    <w:rsid w:val="008B05F7"/>
    <w:rsid w:val="008B06E0"/>
    <w:rsid w:val="008B0C58"/>
    <w:rsid w:val="008B19D2"/>
    <w:rsid w:val="008B1B09"/>
    <w:rsid w:val="008B1BA7"/>
    <w:rsid w:val="008B2160"/>
    <w:rsid w:val="008B21B0"/>
    <w:rsid w:val="008B22AA"/>
    <w:rsid w:val="008B22CC"/>
    <w:rsid w:val="008B252E"/>
    <w:rsid w:val="008B2767"/>
    <w:rsid w:val="008B2784"/>
    <w:rsid w:val="008B2ADF"/>
    <w:rsid w:val="008B2C5F"/>
    <w:rsid w:val="008B33E9"/>
    <w:rsid w:val="008B38DC"/>
    <w:rsid w:val="008B3ABE"/>
    <w:rsid w:val="008B3B0B"/>
    <w:rsid w:val="008B3C4C"/>
    <w:rsid w:val="008B3DD0"/>
    <w:rsid w:val="008B415D"/>
    <w:rsid w:val="008B430F"/>
    <w:rsid w:val="008B44C1"/>
    <w:rsid w:val="008B4554"/>
    <w:rsid w:val="008B4787"/>
    <w:rsid w:val="008B47DC"/>
    <w:rsid w:val="008B48EB"/>
    <w:rsid w:val="008B4D71"/>
    <w:rsid w:val="008B4E6E"/>
    <w:rsid w:val="008B5264"/>
    <w:rsid w:val="008B527E"/>
    <w:rsid w:val="008B5422"/>
    <w:rsid w:val="008B57C2"/>
    <w:rsid w:val="008B5A1C"/>
    <w:rsid w:val="008B5A36"/>
    <w:rsid w:val="008B6186"/>
    <w:rsid w:val="008B631A"/>
    <w:rsid w:val="008B6BBB"/>
    <w:rsid w:val="008B702E"/>
    <w:rsid w:val="008B70EB"/>
    <w:rsid w:val="008B72C8"/>
    <w:rsid w:val="008B789C"/>
    <w:rsid w:val="008B79F7"/>
    <w:rsid w:val="008B7D11"/>
    <w:rsid w:val="008B7DB8"/>
    <w:rsid w:val="008C0038"/>
    <w:rsid w:val="008C0081"/>
    <w:rsid w:val="008C039E"/>
    <w:rsid w:val="008C0527"/>
    <w:rsid w:val="008C08D6"/>
    <w:rsid w:val="008C0B62"/>
    <w:rsid w:val="008C1476"/>
    <w:rsid w:val="008C1849"/>
    <w:rsid w:val="008C1C25"/>
    <w:rsid w:val="008C1CEF"/>
    <w:rsid w:val="008C1F05"/>
    <w:rsid w:val="008C1FF9"/>
    <w:rsid w:val="008C2273"/>
    <w:rsid w:val="008C2A4F"/>
    <w:rsid w:val="008C2BD0"/>
    <w:rsid w:val="008C35F6"/>
    <w:rsid w:val="008C3CAD"/>
    <w:rsid w:val="008C4038"/>
    <w:rsid w:val="008C40E5"/>
    <w:rsid w:val="008C45B6"/>
    <w:rsid w:val="008C4689"/>
    <w:rsid w:val="008C474A"/>
    <w:rsid w:val="008C48FF"/>
    <w:rsid w:val="008C4B44"/>
    <w:rsid w:val="008C4E1F"/>
    <w:rsid w:val="008C516C"/>
    <w:rsid w:val="008C5340"/>
    <w:rsid w:val="008C543D"/>
    <w:rsid w:val="008C5B70"/>
    <w:rsid w:val="008C5B75"/>
    <w:rsid w:val="008C5C9F"/>
    <w:rsid w:val="008C6101"/>
    <w:rsid w:val="008C6BEC"/>
    <w:rsid w:val="008C7365"/>
    <w:rsid w:val="008C7787"/>
    <w:rsid w:val="008C7800"/>
    <w:rsid w:val="008D01E2"/>
    <w:rsid w:val="008D02AB"/>
    <w:rsid w:val="008D03FA"/>
    <w:rsid w:val="008D0410"/>
    <w:rsid w:val="008D04EA"/>
    <w:rsid w:val="008D0AD2"/>
    <w:rsid w:val="008D0F24"/>
    <w:rsid w:val="008D0FE6"/>
    <w:rsid w:val="008D1293"/>
    <w:rsid w:val="008D14EA"/>
    <w:rsid w:val="008D1588"/>
    <w:rsid w:val="008D1865"/>
    <w:rsid w:val="008D196D"/>
    <w:rsid w:val="008D2CA4"/>
    <w:rsid w:val="008D3927"/>
    <w:rsid w:val="008D403D"/>
    <w:rsid w:val="008D40AF"/>
    <w:rsid w:val="008D4497"/>
    <w:rsid w:val="008D4A5F"/>
    <w:rsid w:val="008D4BCD"/>
    <w:rsid w:val="008D524A"/>
    <w:rsid w:val="008D587B"/>
    <w:rsid w:val="008D5B0A"/>
    <w:rsid w:val="008D5BE7"/>
    <w:rsid w:val="008D5D28"/>
    <w:rsid w:val="008D60DF"/>
    <w:rsid w:val="008D6869"/>
    <w:rsid w:val="008D6A3A"/>
    <w:rsid w:val="008D6D32"/>
    <w:rsid w:val="008D6D33"/>
    <w:rsid w:val="008D6E34"/>
    <w:rsid w:val="008D71FF"/>
    <w:rsid w:val="008D7689"/>
    <w:rsid w:val="008D7B1B"/>
    <w:rsid w:val="008E00DB"/>
    <w:rsid w:val="008E0305"/>
    <w:rsid w:val="008E0531"/>
    <w:rsid w:val="008E0D59"/>
    <w:rsid w:val="008E0ED0"/>
    <w:rsid w:val="008E0F1D"/>
    <w:rsid w:val="008E0F72"/>
    <w:rsid w:val="008E1039"/>
    <w:rsid w:val="008E2259"/>
    <w:rsid w:val="008E2368"/>
    <w:rsid w:val="008E26C0"/>
    <w:rsid w:val="008E2D9A"/>
    <w:rsid w:val="008E335E"/>
    <w:rsid w:val="008E37C5"/>
    <w:rsid w:val="008E385D"/>
    <w:rsid w:val="008E3E3A"/>
    <w:rsid w:val="008E3E4B"/>
    <w:rsid w:val="008E3E67"/>
    <w:rsid w:val="008E4746"/>
    <w:rsid w:val="008E488C"/>
    <w:rsid w:val="008E4FD7"/>
    <w:rsid w:val="008E520E"/>
    <w:rsid w:val="008E5702"/>
    <w:rsid w:val="008E5735"/>
    <w:rsid w:val="008E5CCC"/>
    <w:rsid w:val="008E5EA0"/>
    <w:rsid w:val="008E6379"/>
    <w:rsid w:val="008E6507"/>
    <w:rsid w:val="008E65F2"/>
    <w:rsid w:val="008E6746"/>
    <w:rsid w:val="008E6803"/>
    <w:rsid w:val="008E68F4"/>
    <w:rsid w:val="008E6CBC"/>
    <w:rsid w:val="008E6D1A"/>
    <w:rsid w:val="008E6EF5"/>
    <w:rsid w:val="008E72AA"/>
    <w:rsid w:val="008E75AD"/>
    <w:rsid w:val="008E77AC"/>
    <w:rsid w:val="008F0458"/>
    <w:rsid w:val="008F0F55"/>
    <w:rsid w:val="008F1485"/>
    <w:rsid w:val="008F14BF"/>
    <w:rsid w:val="008F16AA"/>
    <w:rsid w:val="008F1C17"/>
    <w:rsid w:val="008F1CC8"/>
    <w:rsid w:val="008F1CFC"/>
    <w:rsid w:val="008F1D89"/>
    <w:rsid w:val="008F1FFE"/>
    <w:rsid w:val="008F2148"/>
    <w:rsid w:val="008F2363"/>
    <w:rsid w:val="008F25CF"/>
    <w:rsid w:val="008F2977"/>
    <w:rsid w:val="008F2D50"/>
    <w:rsid w:val="008F3090"/>
    <w:rsid w:val="008F3489"/>
    <w:rsid w:val="008F3A02"/>
    <w:rsid w:val="008F3A81"/>
    <w:rsid w:val="008F3AB2"/>
    <w:rsid w:val="008F3B5F"/>
    <w:rsid w:val="008F3E1A"/>
    <w:rsid w:val="008F4AE3"/>
    <w:rsid w:val="008F4AF5"/>
    <w:rsid w:val="008F4C86"/>
    <w:rsid w:val="008F4D02"/>
    <w:rsid w:val="008F4F43"/>
    <w:rsid w:val="008F4F50"/>
    <w:rsid w:val="008F55A4"/>
    <w:rsid w:val="008F5601"/>
    <w:rsid w:val="008F5D72"/>
    <w:rsid w:val="008F5E95"/>
    <w:rsid w:val="008F5F0F"/>
    <w:rsid w:val="008F5F27"/>
    <w:rsid w:val="008F6429"/>
    <w:rsid w:val="008F6508"/>
    <w:rsid w:val="008F66C4"/>
    <w:rsid w:val="008F686E"/>
    <w:rsid w:val="008F6B6E"/>
    <w:rsid w:val="008F6BAB"/>
    <w:rsid w:val="008F6F07"/>
    <w:rsid w:val="008F6F32"/>
    <w:rsid w:val="008F6F36"/>
    <w:rsid w:val="008F7492"/>
    <w:rsid w:val="008F74A7"/>
    <w:rsid w:val="008F7F60"/>
    <w:rsid w:val="00900048"/>
    <w:rsid w:val="00900891"/>
    <w:rsid w:val="00900975"/>
    <w:rsid w:val="00900F8A"/>
    <w:rsid w:val="0090142E"/>
    <w:rsid w:val="009014BD"/>
    <w:rsid w:val="00901A47"/>
    <w:rsid w:val="00901DF6"/>
    <w:rsid w:val="00901EEC"/>
    <w:rsid w:val="00901F15"/>
    <w:rsid w:val="00902409"/>
    <w:rsid w:val="0090276D"/>
    <w:rsid w:val="00902D94"/>
    <w:rsid w:val="00902EF3"/>
    <w:rsid w:val="009032EB"/>
    <w:rsid w:val="00903E2B"/>
    <w:rsid w:val="00904187"/>
    <w:rsid w:val="0090457C"/>
    <w:rsid w:val="009049CE"/>
    <w:rsid w:val="009051A3"/>
    <w:rsid w:val="00905578"/>
    <w:rsid w:val="009055FA"/>
    <w:rsid w:val="00905775"/>
    <w:rsid w:val="00905904"/>
    <w:rsid w:val="00905CE1"/>
    <w:rsid w:val="00905D49"/>
    <w:rsid w:val="009061FF"/>
    <w:rsid w:val="009066B4"/>
    <w:rsid w:val="0090697B"/>
    <w:rsid w:val="00906BAB"/>
    <w:rsid w:val="00906E31"/>
    <w:rsid w:val="009074EF"/>
    <w:rsid w:val="00907B76"/>
    <w:rsid w:val="00907CC9"/>
    <w:rsid w:val="00907CE6"/>
    <w:rsid w:val="00907EF4"/>
    <w:rsid w:val="009111B0"/>
    <w:rsid w:val="009113E1"/>
    <w:rsid w:val="00911BD9"/>
    <w:rsid w:val="00911CD0"/>
    <w:rsid w:val="0091261D"/>
    <w:rsid w:val="00912A2F"/>
    <w:rsid w:val="0091340A"/>
    <w:rsid w:val="00913442"/>
    <w:rsid w:val="00913520"/>
    <w:rsid w:val="00913863"/>
    <w:rsid w:val="00913872"/>
    <w:rsid w:val="009138A9"/>
    <w:rsid w:val="00913A83"/>
    <w:rsid w:val="00913B52"/>
    <w:rsid w:val="0091446B"/>
    <w:rsid w:val="00914545"/>
    <w:rsid w:val="009149B4"/>
    <w:rsid w:val="00914B2D"/>
    <w:rsid w:val="00914BFD"/>
    <w:rsid w:val="0091505C"/>
    <w:rsid w:val="0091564F"/>
    <w:rsid w:val="00915671"/>
    <w:rsid w:val="00915CF2"/>
    <w:rsid w:val="00915FAE"/>
    <w:rsid w:val="0091608C"/>
    <w:rsid w:val="009160CF"/>
    <w:rsid w:val="009168BD"/>
    <w:rsid w:val="00916EAB"/>
    <w:rsid w:val="009177C4"/>
    <w:rsid w:val="00917CC8"/>
    <w:rsid w:val="00917E26"/>
    <w:rsid w:val="00917F24"/>
    <w:rsid w:val="009202BF"/>
    <w:rsid w:val="0092074A"/>
    <w:rsid w:val="009214D9"/>
    <w:rsid w:val="009217D9"/>
    <w:rsid w:val="00921C9A"/>
    <w:rsid w:val="00921D0D"/>
    <w:rsid w:val="00922139"/>
    <w:rsid w:val="0092214C"/>
    <w:rsid w:val="00922270"/>
    <w:rsid w:val="00922598"/>
    <w:rsid w:val="009226BA"/>
    <w:rsid w:val="00922910"/>
    <w:rsid w:val="00922A73"/>
    <w:rsid w:val="00922AE6"/>
    <w:rsid w:val="00922F45"/>
    <w:rsid w:val="00923449"/>
    <w:rsid w:val="00923A91"/>
    <w:rsid w:val="00924125"/>
    <w:rsid w:val="0092459D"/>
    <w:rsid w:val="009246A5"/>
    <w:rsid w:val="00924763"/>
    <w:rsid w:val="0092481E"/>
    <w:rsid w:val="00924CCD"/>
    <w:rsid w:val="00924D0C"/>
    <w:rsid w:val="00924EBF"/>
    <w:rsid w:val="00924F56"/>
    <w:rsid w:val="0092526A"/>
    <w:rsid w:val="00925385"/>
    <w:rsid w:val="00925478"/>
    <w:rsid w:val="0092550D"/>
    <w:rsid w:val="00925887"/>
    <w:rsid w:val="00925C6D"/>
    <w:rsid w:val="00925DCF"/>
    <w:rsid w:val="00926A58"/>
    <w:rsid w:val="00927186"/>
    <w:rsid w:val="009274C7"/>
    <w:rsid w:val="00927A9D"/>
    <w:rsid w:val="00927C6E"/>
    <w:rsid w:val="00930860"/>
    <w:rsid w:val="00930A65"/>
    <w:rsid w:val="00930EF8"/>
    <w:rsid w:val="009313EB"/>
    <w:rsid w:val="009314AB"/>
    <w:rsid w:val="00931652"/>
    <w:rsid w:val="00931BA7"/>
    <w:rsid w:val="00932030"/>
    <w:rsid w:val="009321C1"/>
    <w:rsid w:val="00932215"/>
    <w:rsid w:val="009323D5"/>
    <w:rsid w:val="00932894"/>
    <w:rsid w:val="00932B6B"/>
    <w:rsid w:val="00932E9C"/>
    <w:rsid w:val="009333B1"/>
    <w:rsid w:val="00933686"/>
    <w:rsid w:val="0093383D"/>
    <w:rsid w:val="00933A6E"/>
    <w:rsid w:val="00933D8D"/>
    <w:rsid w:val="00933DEE"/>
    <w:rsid w:val="00934254"/>
    <w:rsid w:val="009342C8"/>
    <w:rsid w:val="00934410"/>
    <w:rsid w:val="00934B54"/>
    <w:rsid w:val="00934EA9"/>
    <w:rsid w:val="0093534F"/>
    <w:rsid w:val="00935565"/>
    <w:rsid w:val="00935642"/>
    <w:rsid w:val="009356BC"/>
    <w:rsid w:val="00935D79"/>
    <w:rsid w:val="00935FFD"/>
    <w:rsid w:val="00936033"/>
    <w:rsid w:val="0093628A"/>
    <w:rsid w:val="00936993"/>
    <w:rsid w:val="00936F1A"/>
    <w:rsid w:val="00937097"/>
    <w:rsid w:val="009370E0"/>
    <w:rsid w:val="00937341"/>
    <w:rsid w:val="009374FE"/>
    <w:rsid w:val="0093793B"/>
    <w:rsid w:val="0094021B"/>
    <w:rsid w:val="009408B5"/>
    <w:rsid w:val="00940D68"/>
    <w:rsid w:val="00940F02"/>
    <w:rsid w:val="00940FD9"/>
    <w:rsid w:val="00941072"/>
    <w:rsid w:val="009410BF"/>
    <w:rsid w:val="009414CA"/>
    <w:rsid w:val="009416D3"/>
    <w:rsid w:val="00941895"/>
    <w:rsid w:val="0094194B"/>
    <w:rsid w:val="00941B8F"/>
    <w:rsid w:val="00941C20"/>
    <w:rsid w:val="009420EF"/>
    <w:rsid w:val="00942534"/>
    <w:rsid w:val="00942581"/>
    <w:rsid w:val="009427C1"/>
    <w:rsid w:val="009428D4"/>
    <w:rsid w:val="00942BC3"/>
    <w:rsid w:val="00942C7B"/>
    <w:rsid w:val="00942ECC"/>
    <w:rsid w:val="00943756"/>
    <w:rsid w:val="0094395F"/>
    <w:rsid w:val="00943A85"/>
    <w:rsid w:val="009443D3"/>
    <w:rsid w:val="00944BEA"/>
    <w:rsid w:val="009450A2"/>
    <w:rsid w:val="0094550D"/>
    <w:rsid w:val="009457E7"/>
    <w:rsid w:val="009460D6"/>
    <w:rsid w:val="0094652B"/>
    <w:rsid w:val="0094692D"/>
    <w:rsid w:val="00946D8E"/>
    <w:rsid w:val="00947069"/>
    <w:rsid w:val="00947284"/>
    <w:rsid w:val="00947678"/>
    <w:rsid w:val="009477EB"/>
    <w:rsid w:val="0094788A"/>
    <w:rsid w:val="00947C3E"/>
    <w:rsid w:val="00947C8C"/>
    <w:rsid w:val="00947F4C"/>
    <w:rsid w:val="009503F1"/>
    <w:rsid w:val="0095049C"/>
    <w:rsid w:val="0095065D"/>
    <w:rsid w:val="009507CD"/>
    <w:rsid w:val="00950EE6"/>
    <w:rsid w:val="009512FF"/>
    <w:rsid w:val="0095142B"/>
    <w:rsid w:val="00951831"/>
    <w:rsid w:val="0095183E"/>
    <w:rsid w:val="00951DDF"/>
    <w:rsid w:val="00951FF8"/>
    <w:rsid w:val="0095242A"/>
    <w:rsid w:val="00952A3E"/>
    <w:rsid w:val="00952B53"/>
    <w:rsid w:val="00952D1E"/>
    <w:rsid w:val="00952EAB"/>
    <w:rsid w:val="00953238"/>
    <w:rsid w:val="009536C5"/>
    <w:rsid w:val="0095388E"/>
    <w:rsid w:val="00953CF7"/>
    <w:rsid w:val="00953FA8"/>
    <w:rsid w:val="00953FF9"/>
    <w:rsid w:val="00954A7B"/>
    <w:rsid w:val="00954C81"/>
    <w:rsid w:val="0095512B"/>
    <w:rsid w:val="00955207"/>
    <w:rsid w:val="0095599C"/>
    <w:rsid w:val="00955A6B"/>
    <w:rsid w:val="00955DF2"/>
    <w:rsid w:val="009562BE"/>
    <w:rsid w:val="00956664"/>
    <w:rsid w:val="009569E5"/>
    <w:rsid w:val="00956B0A"/>
    <w:rsid w:val="00956B74"/>
    <w:rsid w:val="00956BC3"/>
    <w:rsid w:val="00956DEA"/>
    <w:rsid w:val="00956EE3"/>
    <w:rsid w:val="009572E9"/>
    <w:rsid w:val="0095745E"/>
    <w:rsid w:val="009574B0"/>
    <w:rsid w:val="009578E7"/>
    <w:rsid w:val="00960E6A"/>
    <w:rsid w:val="00961074"/>
    <w:rsid w:val="00961086"/>
    <w:rsid w:val="00961197"/>
    <w:rsid w:val="009619DB"/>
    <w:rsid w:val="00961D37"/>
    <w:rsid w:val="009621B6"/>
    <w:rsid w:val="00962A9E"/>
    <w:rsid w:val="00962AD0"/>
    <w:rsid w:val="00962B02"/>
    <w:rsid w:val="00962DBA"/>
    <w:rsid w:val="0096347C"/>
    <w:rsid w:val="00964688"/>
    <w:rsid w:val="009646BA"/>
    <w:rsid w:val="00965181"/>
    <w:rsid w:val="009652E9"/>
    <w:rsid w:val="00965420"/>
    <w:rsid w:val="00965720"/>
    <w:rsid w:val="00965805"/>
    <w:rsid w:val="009659E1"/>
    <w:rsid w:val="00965E8F"/>
    <w:rsid w:val="00966F42"/>
    <w:rsid w:val="009674E3"/>
    <w:rsid w:val="00967B13"/>
    <w:rsid w:val="00967B4E"/>
    <w:rsid w:val="00967DD8"/>
    <w:rsid w:val="009703D9"/>
    <w:rsid w:val="00970437"/>
    <w:rsid w:val="00970D3E"/>
    <w:rsid w:val="00970EA6"/>
    <w:rsid w:val="00970EFC"/>
    <w:rsid w:val="00971283"/>
    <w:rsid w:val="0097149E"/>
    <w:rsid w:val="009717A3"/>
    <w:rsid w:val="00971EED"/>
    <w:rsid w:val="009721B3"/>
    <w:rsid w:val="009729F8"/>
    <w:rsid w:val="00973059"/>
    <w:rsid w:val="00973717"/>
    <w:rsid w:val="00973C6A"/>
    <w:rsid w:val="009744DA"/>
    <w:rsid w:val="0097473A"/>
    <w:rsid w:val="00974848"/>
    <w:rsid w:val="00974BAA"/>
    <w:rsid w:val="0097505B"/>
    <w:rsid w:val="009752E9"/>
    <w:rsid w:val="0097539D"/>
    <w:rsid w:val="00975451"/>
    <w:rsid w:val="00975485"/>
    <w:rsid w:val="00975624"/>
    <w:rsid w:val="00975C33"/>
    <w:rsid w:val="00975F95"/>
    <w:rsid w:val="009760A8"/>
    <w:rsid w:val="00976216"/>
    <w:rsid w:val="00976C49"/>
    <w:rsid w:val="00976F3B"/>
    <w:rsid w:val="00977231"/>
    <w:rsid w:val="0097742B"/>
    <w:rsid w:val="009776F5"/>
    <w:rsid w:val="00977946"/>
    <w:rsid w:val="00977B9D"/>
    <w:rsid w:val="00977D78"/>
    <w:rsid w:val="00977D7C"/>
    <w:rsid w:val="00977DD5"/>
    <w:rsid w:val="00980513"/>
    <w:rsid w:val="00980F96"/>
    <w:rsid w:val="0098135F"/>
    <w:rsid w:val="009814E2"/>
    <w:rsid w:val="0098153D"/>
    <w:rsid w:val="009815A4"/>
    <w:rsid w:val="0098180E"/>
    <w:rsid w:val="00981989"/>
    <w:rsid w:val="00981D15"/>
    <w:rsid w:val="0098275F"/>
    <w:rsid w:val="00982793"/>
    <w:rsid w:val="00982EA5"/>
    <w:rsid w:val="0098307E"/>
    <w:rsid w:val="009835B4"/>
    <w:rsid w:val="0098370B"/>
    <w:rsid w:val="009837EE"/>
    <w:rsid w:val="009839C2"/>
    <w:rsid w:val="00983F54"/>
    <w:rsid w:val="00983F7C"/>
    <w:rsid w:val="00984089"/>
    <w:rsid w:val="0098408D"/>
    <w:rsid w:val="00984853"/>
    <w:rsid w:val="00984BDC"/>
    <w:rsid w:val="009852CF"/>
    <w:rsid w:val="0098541B"/>
    <w:rsid w:val="00985587"/>
    <w:rsid w:val="0098559B"/>
    <w:rsid w:val="00985B86"/>
    <w:rsid w:val="00985D7C"/>
    <w:rsid w:val="009861AB"/>
    <w:rsid w:val="00986246"/>
    <w:rsid w:val="0098637A"/>
    <w:rsid w:val="00986717"/>
    <w:rsid w:val="00986753"/>
    <w:rsid w:val="00986860"/>
    <w:rsid w:val="00986DE6"/>
    <w:rsid w:val="0098708B"/>
    <w:rsid w:val="00987E50"/>
    <w:rsid w:val="00987E98"/>
    <w:rsid w:val="00990150"/>
    <w:rsid w:val="00990194"/>
    <w:rsid w:val="00990AD1"/>
    <w:rsid w:val="00990D64"/>
    <w:rsid w:val="009916CB"/>
    <w:rsid w:val="00991C1A"/>
    <w:rsid w:val="00991F55"/>
    <w:rsid w:val="00992135"/>
    <w:rsid w:val="009922DD"/>
    <w:rsid w:val="00992BC4"/>
    <w:rsid w:val="00992DCB"/>
    <w:rsid w:val="00992EC0"/>
    <w:rsid w:val="00993124"/>
    <w:rsid w:val="00993941"/>
    <w:rsid w:val="00993EC6"/>
    <w:rsid w:val="00993EC8"/>
    <w:rsid w:val="0099429B"/>
    <w:rsid w:val="00994651"/>
    <w:rsid w:val="00994655"/>
    <w:rsid w:val="00994CE3"/>
    <w:rsid w:val="00994FE9"/>
    <w:rsid w:val="00995258"/>
    <w:rsid w:val="00995408"/>
    <w:rsid w:val="0099555E"/>
    <w:rsid w:val="009955DC"/>
    <w:rsid w:val="0099582D"/>
    <w:rsid w:val="0099587E"/>
    <w:rsid w:val="009959B6"/>
    <w:rsid w:val="00995BB3"/>
    <w:rsid w:val="00995EB3"/>
    <w:rsid w:val="009961A4"/>
    <w:rsid w:val="00996633"/>
    <w:rsid w:val="00996912"/>
    <w:rsid w:val="009969B6"/>
    <w:rsid w:val="00996F4E"/>
    <w:rsid w:val="00996FCE"/>
    <w:rsid w:val="009973BC"/>
    <w:rsid w:val="009A006A"/>
    <w:rsid w:val="009A0076"/>
    <w:rsid w:val="009A02A2"/>
    <w:rsid w:val="009A039A"/>
    <w:rsid w:val="009A0613"/>
    <w:rsid w:val="009A0680"/>
    <w:rsid w:val="009A0F8C"/>
    <w:rsid w:val="009A1353"/>
    <w:rsid w:val="009A13F2"/>
    <w:rsid w:val="009A1553"/>
    <w:rsid w:val="009A1810"/>
    <w:rsid w:val="009A1F00"/>
    <w:rsid w:val="009A21D5"/>
    <w:rsid w:val="009A24EB"/>
    <w:rsid w:val="009A259B"/>
    <w:rsid w:val="009A26AA"/>
    <w:rsid w:val="009A278F"/>
    <w:rsid w:val="009A285A"/>
    <w:rsid w:val="009A2D48"/>
    <w:rsid w:val="009A3525"/>
    <w:rsid w:val="009A3A19"/>
    <w:rsid w:val="009A3AAF"/>
    <w:rsid w:val="009A3C84"/>
    <w:rsid w:val="009A42D6"/>
    <w:rsid w:val="009A460C"/>
    <w:rsid w:val="009A480D"/>
    <w:rsid w:val="009A494F"/>
    <w:rsid w:val="009A5B4D"/>
    <w:rsid w:val="009A5D01"/>
    <w:rsid w:val="009A6075"/>
    <w:rsid w:val="009A61BD"/>
    <w:rsid w:val="009A621F"/>
    <w:rsid w:val="009A665E"/>
    <w:rsid w:val="009A698C"/>
    <w:rsid w:val="009A6A75"/>
    <w:rsid w:val="009A6CD7"/>
    <w:rsid w:val="009A7250"/>
    <w:rsid w:val="009A7320"/>
    <w:rsid w:val="009A74BC"/>
    <w:rsid w:val="009A7748"/>
    <w:rsid w:val="009A7C23"/>
    <w:rsid w:val="009B008E"/>
    <w:rsid w:val="009B0441"/>
    <w:rsid w:val="009B1149"/>
    <w:rsid w:val="009B17F7"/>
    <w:rsid w:val="009B19B1"/>
    <w:rsid w:val="009B1FDB"/>
    <w:rsid w:val="009B2948"/>
    <w:rsid w:val="009B298D"/>
    <w:rsid w:val="009B2B71"/>
    <w:rsid w:val="009B38CF"/>
    <w:rsid w:val="009B3A4D"/>
    <w:rsid w:val="009B3E33"/>
    <w:rsid w:val="009B3FD9"/>
    <w:rsid w:val="009B4256"/>
    <w:rsid w:val="009B4596"/>
    <w:rsid w:val="009B4E4B"/>
    <w:rsid w:val="009B55F3"/>
    <w:rsid w:val="009B58C6"/>
    <w:rsid w:val="009B597F"/>
    <w:rsid w:val="009B5E5F"/>
    <w:rsid w:val="009B627A"/>
    <w:rsid w:val="009B6333"/>
    <w:rsid w:val="009B6479"/>
    <w:rsid w:val="009B6480"/>
    <w:rsid w:val="009B6B19"/>
    <w:rsid w:val="009B6D17"/>
    <w:rsid w:val="009B6DE3"/>
    <w:rsid w:val="009B6FD2"/>
    <w:rsid w:val="009B749E"/>
    <w:rsid w:val="009B7BB0"/>
    <w:rsid w:val="009B7BCF"/>
    <w:rsid w:val="009B7C39"/>
    <w:rsid w:val="009C00B5"/>
    <w:rsid w:val="009C0276"/>
    <w:rsid w:val="009C04A9"/>
    <w:rsid w:val="009C05BD"/>
    <w:rsid w:val="009C0675"/>
    <w:rsid w:val="009C0879"/>
    <w:rsid w:val="009C08B4"/>
    <w:rsid w:val="009C090D"/>
    <w:rsid w:val="009C0EDC"/>
    <w:rsid w:val="009C0FD6"/>
    <w:rsid w:val="009C1212"/>
    <w:rsid w:val="009C12A8"/>
    <w:rsid w:val="009C13BD"/>
    <w:rsid w:val="009C1553"/>
    <w:rsid w:val="009C1829"/>
    <w:rsid w:val="009C18F0"/>
    <w:rsid w:val="009C1FA8"/>
    <w:rsid w:val="009C260E"/>
    <w:rsid w:val="009C2C4C"/>
    <w:rsid w:val="009C2C96"/>
    <w:rsid w:val="009C2FC2"/>
    <w:rsid w:val="009C3022"/>
    <w:rsid w:val="009C3346"/>
    <w:rsid w:val="009C3916"/>
    <w:rsid w:val="009C3AEC"/>
    <w:rsid w:val="009C4030"/>
    <w:rsid w:val="009C40C7"/>
    <w:rsid w:val="009C417F"/>
    <w:rsid w:val="009C42CB"/>
    <w:rsid w:val="009C43FC"/>
    <w:rsid w:val="009C4758"/>
    <w:rsid w:val="009C49AC"/>
    <w:rsid w:val="009C4EA6"/>
    <w:rsid w:val="009C519F"/>
    <w:rsid w:val="009C5422"/>
    <w:rsid w:val="009C5B09"/>
    <w:rsid w:val="009C5DFF"/>
    <w:rsid w:val="009C5E9A"/>
    <w:rsid w:val="009C60A5"/>
    <w:rsid w:val="009C635C"/>
    <w:rsid w:val="009C63FF"/>
    <w:rsid w:val="009C6592"/>
    <w:rsid w:val="009C6631"/>
    <w:rsid w:val="009C6664"/>
    <w:rsid w:val="009C6958"/>
    <w:rsid w:val="009C69FD"/>
    <w:rsid w:val="009C714F"/>
    <w:rsid w:val="009C7168"/>
    <w:rsid w:val="009C7935"/>
    <w:rsid w:val="009C7BA6"/>
    <w:rsid w:val="009C7C71"/>
    <w:rsid w:val="009C7F09"/>
    <w:rsid w:val="009D038A"/>
    <w:rsid w:val="009D0A4E"/>
    <w:rsid w:val="009D0FF2"/>
    <w:rsid w:val="009D1074"/>
    <w:rsid w:val="009D13A9"/>
    <w:rsid w:val="009D1495"/>
    <w:rsid w:val="009D14E9"/>
    <w:rsid w:val="009D1733"/>
    <w:rsid w:val="009D24AB"/>
    <w:rsid w:val="009D3088"/>
    <w:rsid w:val="009D30F1"/>
    <w:rsid w:val="009D33D6"/>
    <w:rsid w:val="009D36FA"/>
    <w:rsid w:val="009D3834"/>
    <w:rsid w:val="009D3A4F"/>
    <w:rsid w:val="009D3BAB"/>
    <w:rsid w:val="009D412D"/>
    <w:rsid w:val="009D43A5"/>
    <w:rsid w:val="009D4ED5"/>
    <w:rsid w:val="009D5449"/>
    <w:rsid w:val="009D54EB"/>
    <w:rsid w:val="009D5B37"/>
    <w:rsid w:val="009D5B47"/>
    <w:rsid w:val="009D5FF4"/>
    <w:rsid w:val="009D644B"/>
    <w:rsid w:val="009D6CD2"/>
    <w:rsid w:val="009D6D35"/>
    <w:rsid w:val="009D6E27"/>
    <w:rsid w:val="009D7185"/>
    <w:rsid w:val="009D7AC5"/>
    <w:rsid w:val="009D7B37"/>
    <w:rsid w:val="009D7BA9"/>
    <w:rsid w:val="009E00AD"/>
    <w:rsid w:val="009E0330"/>
    <w:rsid w:val="009E096B"/>
    <w:rsid w:val="009E0B73"/>
    <w:rsid w:val="009E0E03"/>
    <w:rsid w:val="009E10D1"/>
    <w:rsid w:val="009E154B"/>
    <w:rsid w:val="009E181C"/>
    <w:rsid w:val="009E189C"/>
    <w:rsid w:val="009E2410"/>
    <w:rsid w:val="009E24DD"/>
    <w:rsid w:val="009E2874"/>
    <w:rsid w:val="009E2DBF"/>
    <w:rsid w:val="009E3058"/>
    <w:rsid w:val="009E3155"/>
    <w:rsid w:val="009E345D"/>
    <w:rsid w:val="009E34DC"/>
    <w:rsid w:val="009E3707"/>
    <w:rsid w:val="009E3A5D"/>
    <w:rsid w:val="009E3B59"/>
    <w:rsid w:val="009E3BA7"/>
    <w:rsid w:val="009E44F1"/>
    <w:rsid w:val="009E45B1"/>
    <w:rsid w:val="009E46B4"/>
    <w:rsid w:val="009E48BF"/>
    <w:rsid w:val="009E5467"/>
    <w:rsid w:val="009E561A"/>
    <w:rsid w:val="009E572B"/>
    <w:rsid w:val="009E5772"/>
    <w:rsid w:val="009E5908"/>
    <w:rsid w:val="009E59B5"/>
    <w:rsid w:val="009E5B6B"/>
    <w:rsid w:val="009E5C23"/>
    <w:rsid w:val="009E5E8D"/>
    <w:rsid w:val="009E604D"/>
    <w:rsid w:val="009E66C6"/>
    <w:rsid w:val="009E6D4F"/>
    <w:rsid w:val="009E6D94"/>
    <w:rsid w:val="009E7A6B"/>
    <w:rsid w:val="009E7DA0"/>
    <w:rsid w:val="009E7FCB"/>
    <w:rsid w:val="009F0245"/>
    <w:rsid w:val="009F0496"/>
    <w:rsid w:val="009F088F"/>
    <w:rsid w:val="009F0A92"/>
    <w:rsid w:val="009F0C9B"/>
    <w:rsid w:val="009F0CE1"/>
    <w:rsid w:val="009F0F47"/>
    <w:rsid w:val="009F154B"/>
    <w:rsid w:val="009F1575"/>
    <w:rsid w:val="009F1A40"/>
    <w:rsid w:val="009F1E47"/>
    <w:rsid w:val="009F206E"/>
    <w:rsid w:val="009F212B"/>
    <w:rsid w:val="009F2213"/>
    <w:rsid w:val="009F2738"/>
    <w:rsid w:val="009F29FB"/>
    <w:rsid w:val="009F2A96"/>
    <w:rsid w:val="009F2DAC"/>
    <w:rsid w:val="009F2E97"/>
    <w:rsid w:val="009F32D1"/>
    <w:rsid w:val="009F37A3"/>
    <w:rsid w:val="009F39D2"/>
    <w:rsid w:val="009F3AB4"/>
    <w:rsid w:val="009F3B76"/>
    <w:rsid w:val="009F3E06"/>
    <w:rsid w:val="009F3E4E"/>
    <w:rsid w:val="009F4015"/>
    <w:rsid w:val="009F4097"/>
    <w:rsid w:val="009F40A2"/>
    <w:rsid w:val="009F410E"/>
    <w:rsid w:val="009F4C2C"/>
    <w:rsid w:val="009F4C65"/>
    <w:rsid w:val="009F5370"/>
    <w:rsid w:val="009F5388"/>
    <w:rsid w:val="009F54CA"/>
    <w:rsid w:val="009F5860"/>
    <w:rsid w:val="009F5868"/>
    <w:rsid w:val="009F59E3"/>
    <w:rsid w:val="009F5C72"/>
    <w:rsid w:val="009F5D41"/>
    <w:rsid w:val="009F5E65"/>
    <w:rsid w:val="009F5EEB"/>
    <w:rsid w:val="009F6139"/>
    <w:rsid w:val="009F690E"/>
    <w:rsid w:val="009F6AAF"/>
    <w:rsid w:val="009F6F8A"/>
    <w:rsid w:val="009F75B0"/>
    <w:rsid w:val="009F7AEA"/>
    <w:rsid w:val="009F7DDC"/>
    <w:rsid w:val="00A00043"/>
    <w:rsid w:val="00A006AF"/>
    <w:rsid w:val="00A009B4"/>
    <w:rsid w:val="00A00E52"/>
    <w:rsid w:val="00A00FD1"/>
    <w:rsid w:val="00A01826"/>
    <w:rsid w:val="00A01CDA"/>
    <w:rsid w:val="00A0247C"/>
    <w:rsid w:val="00A02663"/>
    <w:rsid w:val="00A026D5"/>
    <w:rsid w:val="00A02747"/>
    <w:rsid w:val="00A027E3"/>
    <w:rsid w:val="00A02A09"/>
    <w:rsid w:val="00A02F2A"/>
    <w:rsid w:val="00A03206"/>
    <w:rsid w:val="00A03742"/>
    <w:rsid w:val="00A04084"/>
    <w:rsid w:val="00A04086"/>
    <w:rsid w:val="00A04164"/>
    <w:rsid w:val="00A04C12"/>
    <w:rsid w:val="00A04DB4"/>
    <w:rsid w:val="00A05360"/>
    <w:rsid w:val="00A05B91"/>
    <w:rsid w:val="00A05DA1"/>
    <w:rsid w:val="00A05EB0"/>
    <w:rsid w:val="00A05FFD"/>
    <w:rsid w:val="00A061C4"/>
    <w:rsid w:val="00A0678D"/>
    <w:rsid w:val="00A06C0B"/>
    <w:rsid w:val="00A06CE7"/>
    <w:rsid w:val="00A0755F"/>
    <w:rsid w:val="00A07667"/>
    <w:rsid w:val="00A07FD9"/>
    <w:rsid w:val="00A10536"/>
    <w:rsid w:val="00A1070F"/>
    <w:rsid w:val="00A10BEB"/>
    <w:rsid w:val="00A10E34"/>
    <w:rsid w:val="00A10E57"/>
    <w:rsid w:val="00A10EB3"/>
    <w:rsid w:val="00A10F1D"/>
    <w:rsid w:val="00A11738"/>
    <w:rsid w:val="00A11D53"/>
    <w:rsid w:val="00A11FDC"/>
    <w:rsid w:val="00A121AD"/>
    <w:rsid w:val="00A12490"/>
    <w:rsid w:val="00A12572"/>
    <w:rsid w:val="00A12691"/>
    <w:rsid w:val="00A12949"/>
    <w:rsid w:val="00A130E6"/>
    <w:rsid w:val="00A13217"/>
    <w:rsid w:val="00A13385"/>
    <w:rsid w:val="00A133E6"/>
    <w:rsid w:val="00A1382F"/>
    <w:rsid w:val="00A13E57"/>
    <w:rsid w:val="00A1427D"/>
    <w:rsid w:val="00A14367"/>
    <w:rsid w:val="00A145A7"/>
    <w:rsid w:val="00A1480E"/>
    <w:rsid w:val="00A14ACE"/>
    <w:rsid w:val="00A14B9E"/>
    <w:rsid w:val="00A152CB"/>
    <w:rsid w:val="00A15563"/>
    <w:rsid w:val="00A16035"/>
    <w:rsid w:val="00A161E6"/>
    <w:rsid w:val="00A164FF"/>
    <w:rsid w:val="00A16976"/>
    <w:rsid w:val="00A16FA4"/>
    <w:rsid w:val="00A16FFC"/>
    <w:rsid w:val="00A17960"/>
    <w:rsid w:val="00A17962"/>
    <w:rsid w:val="00A200C0"/>
    <w:rsid w:val="00A20233"/>
    <w:rsid w:val="00A20A10"/>
    <w:rsid w:val="00A20BE0"/>
    <w:rsid w:val="00A20C13"/>
    <w:rsid w:val="00A20E44"/>
    <w:rsid w:val="00A2119F"/>
    <w:rsid w:val="00A21240"/>
    <w:rsid w:val="00A21372"/>
    <w:rsid w:val="00A21553"/>
    <w:rsid w:val="00A2168D"/>
    <w:rsid w:val="00A2193B"/>
    <w:rsid w:val="00A22416"/>
    <w:rsid w:val="00A22A1F"/>
    <w:rsid w:val="00A22C3E"/>
    <w:rsid w:val="00A22D94"/>
    <w:rsid w:val="00A232A8"/>
    <w:rsid w:val="00A23421"/>
    <w:rsid w:val="00A2369C"/>
    <w:rsid w:val="00A23D12"/>
    <w:rsid w:val="00A23D87"/>
    <w:rsid w:val="00A24201"/>
    <w:rsid w:val="00A24867"/>
    <w:rsid w:val="00A24940"/>
    <w:rsid w:val="00A2509B"/>
    <w:rsid w:val="00A252D6"/>
    <w:rsid w:val="00A2534B"/>
    <w:rsid w:val="00A253EE"/>
    <w:rsid w:val="00A256C0"/>
    <w:rsid w:val="00A256E2"/>
    <w:rsid w:val="00A25A45"/>
    <w:rsid w:val="00A25C11"/>
    <w:rsid w:val="00A25E71"/>
    <w:rsid w:val="00A26059"/>
    <w:rsid w:val="00A267A1"/>
    <w:rsid w:val="00A26D08"/>
    <w:rsid w:val="00A26E11"/>
    <w:rsid w:val="00A26E18"/>
    <w:rsid w:val="00A26E41"/>
    <w:rsid w:val="00A26F82"/>
    <w:rsid w:val="00A2717D"/>
    <w:rsid w:val="00A2721C"/>
    <w:rsid w:val="00A272CA"/>
    <w:rsid w:val="00A27481"/>
    <w:rsid w:val="00A275F2"/>
    <w:rsid w:val="00A276AC"/>
    <w:rsid w:val="00A27F44"/>
    <w:rsid w:val="00A30366"/>
    <w:rsid w:val="00A303CD"/>
    <w:rsid w:val="00A3060D"/>
    <w:rsid w:val="00A308DD"/>
    <w:rsid w:val="00A309C4"/>
    <w:rsid w:val="00A30A0A"/>
    <w:rsid w:val="00A30CCD"/>
    <w:rsid w:val="00A30FC8"/>
    <w:rsid w:val="00A3176D"/>
    <w:rsid w:val="00A31D66"/>
    <w:rsid w:val="00A31FBE"/>
    <w:rsid w:val="00A32273"/>
    <w:rsid w:val="00A32644"/>
    <w:rsid w:val="00A32B80"/>
    <w:rsid w:val="00A32E9A"/>
    <w:rsid w:val="00A33112"/>
    <w:rsid w:val="00A3341E"/>
    <w:rsid w:val="00A33455"/>
    <w:rsid w:val="00A33513"/>
    <w:rsid w:val="00A335A2"/>
    <w:rsid w:val="00A338BF"/>
    <w:rsid w:val="00A34710"/>
    <w:rsid w:val="00A34738"/>
    <w:rsid w:val="00A349CC"/>
    <w:rsid w:val="00A34F52"/>
    <w:rsid w:val="00A35886"/>
    <w:rsid w:val="00A3614D"/>
    <w:rsid w:val="00A362EF"/>
    <w:rsid w:val="00A36507"/>
    <w:rsid w:val="00A36658"/>
    <w:rsid w:val="00A36737"/>
    <w:rsid w:val="00A37069"/>
    <w:rsid w:val="00A40613"/>
    <w:rsid w:val="00A4078D"/>
    <w:rsid w:val="00A40BA8"/>
    <w:rsid w:val="00A40C20"/>
    <w:rsid w:val="00A40C5F"/>
    <w:rsid w:val="00A41086"/>
    <w:rsid w:val="00A41441"/>
    <w:rsid w:val="00A41466"/>
    <w:rsid w:val="00A415EB"/>
    <w:rsid w:val="00A4168A"/>
    <w:rsid w:val="00A41A32"/>
    <w:rsid w:val="00A41CEE"/>
    <w:rsid w:val="00A41FF2"/>
    <w:rsid w:val="00A42B0E"/>
    <w:rsid w:val="00A433D0"/>
    <w:rsid w:val="00A436DB"/>
    <w:rsid w:val="00A43907"/>
    <w:rsid w:val="00A43C7B"/>
    <w:rsid w:val="00A43D86"/>
    <w:rsid w:val="00A43DBE"/>
    <w:rsid w:val="00A44327"/>
    <w:rsid w:val="00A453B7"/>
    <w:rsid w:val="00A4546E"/>
    <w:rsid w:val="00A45776"/>
    <w:rsid w:val="00A45949"/>
    <w:rsid w:val="00A4594F"/>
    <w:rsid w:val="00A45B97"/>
    <w:rsid w:val="00A45CB9"/>
    <w:rsid w:val="00A46D4A"/>
    <w:rsid w:val="00A46DAA"/>
    <w:rsid w:val="00A46ED3"/>
    <w:rsid w:val="00A47398"/>
    <w:rsid w:val="00A47554"/>
    <w:rsid w:val="00A47981"/>
    <w:rsid w:val="00A47D81"/>
    <w:rsid w:val="00A5004D"/>
    <w:rsid w:val="00A50126"/>
    <w:rsid w:val="00A502DE"/>
    <w:rsid w:val="00A50ADF"/>
    <w:rsid w:val="00A50D3F"/>
    <w:rsid w:val="00A50F50"/>
    <w:rsid w:val="00A5113B"/>
    <w:rsid w:val="00A511FD"/>
    <w:rsid w:val="00A51239"/>
    <w:rsid w:val="00A51F62"/>
    <w:rsid w:val="00A522EE"/>
    <w:rsid w:val="00A5249C"/>
    <w:rsid w:val="00A5259F"/>
    <w:rsid w:val="00A52659"/>
    <w:rsid w:val="00A52879"/>
    <w:rsid w:val="00A52987"/>
    <w:rsid w:val="00A52A89"/>
    <w:rsid w:val="00A52B9F"/>
    <w:rsid w:val="00A53193"/>
    <w:rsid w:val="00A535E3"/>
    <w:rsid w:val="00A5465A"/>
    <w:rsid w:val="00A5484F"/>
    <w:rsid w:val="00A549F4"/>
    <w:rsid w:val="00A54B36"/>
    <w:rsid w:val="00A553CD"/>
    <w:rsid w:val="00A556FE"/>
    <w:rsid w:val="00A55DBA"/>
    <w:rsid w:val="00A562CD"/>
    <w:rsid w:val="00A562ED"/>
    <w:rsid w:val="00A564BC"/>
    <w:rsid w:val="00A56CDC"/>
    <w:rsid w:val="00A57421"/>
    <w:rsid w:val="00A57542"/>
    <w:rsid w:val="00A5754A"/>
    <w:rsid w:val="00A57A8F"/>
    <w:rsid w:val="00A600C8"/>
    <w:rsid w:val="00A60B15"/>
    <w:rsid w:val="00A60C77"/>
    <w:rsid w:val="00A60DB1"/>
    <w:rsid w:val="00A611C9"/>
    <w:rsid w:val="00A612B9"/>
    <w:rsid w:val="00A613DA"/>
    <w:rsid w:val="00A618B7"/>
    <w:rsid w:val="00A62017"/>
    <w:rsid w:val="00A620B7"/>
    <w:rsid w:val="00A62927"/>
    <w:rsid w:val="00A62DA0"/>
    <w:rsid w:val="00A63623"/>
    <w:rsid w:val="00A63A66"/>
    <w:rsid w:val="00A63E71"/>
    <w:rsid w:val="00A64128"/>
    <w:rsid w:val="00A641C6"/>
    <w:rsid w:val="00A64465"/>
    <w:rsid w:val="00A64A5B"/>
    <w:rsid w:val="00A65157"/>
    <w:rsid w:val="00A651C0"/>
    <w:rsid w:val="00A652AC"/>
    <w:rsid w:val="00A6533A"/>
    <w:rsid w:val="00A6534C"/>
    <w:rsid w:val="00A65550"/>
    <w:rsid w:val="00A657EA"/>
    <w:rsid w:val="00A65A1C"/>
    <w:rsid w:val="00A665C7"/>
    <w:rsid w:val="00A66662"/>
    <w:rsid w:val="00A66876"/>
    <w:rsid w:val="00A6698C"/>
    <w:rsid w:val="00A66C6A"/>
    <w:rsid w:val="00A66CFA"/>
    <w:rsid w:val="00A66E8F"/>
    <w:rsid w:val="00A679B3"/>
    <w:rsid w:val="00A67DD5"/>
    <w:rsid w:val="00A67FF5"/>
    <w:rsid w:val="00A700DA"/>
    <w:rsid w:val="00A70300"/>
    <w:rsid w:val="00A703CF"/>
    <w:rsid w:val="00A708E2"/>
    <w:rsid w:val="00A70A30"/>
    <w:rsid w:val="00A70AEC"/>
    <w:rsid w:val="00A70DB1"/>
    <w:rsid w:val="00A71DB1"/>
    <w:rsid w:val="00A71EE8"/>
    <w:rsid w:val="00A72257"/>
    <w:rsid w:val="00A72399"/>
    <w:rsid w:val="00A72979"/>
    <w:rsid w:val="00A729BB"/>
    <w:rsid w:val="00A729FA"/>
    <w:rsid w:val="00A72D32"/>
    <w:rsid w:val="00A73147"/>
    <w:rsid w:val="00A74D50"/>
    <w:rsid w:val="00A754E4"/>
    <w:rsid w:val="00A75512"/>
    <w:rsid w:val="00A757CB"/>
    <w:rsid w:val="00A75857"/>
    <w:rsid w:val="00A75BEF"/>
    <w:rsid w:val="00A75CDD"/>
    <w:rsid w:val="00A76130"/>
    <w:rsid w:val="00A76181"/>
    <w:rsid w:val="00A764D7"/>
    <w:rsid w:val="00A76DC2"/>
    <w:rsid w:val="00A7769C"/>
    <w:rsid w:val="00A777F0"/>
    <w:rsid w:val="00A77D88"/>
    <w:rsid w:val="00A8059F"/>
    <w:rsid w:val="00A806EA"/>
    <w:rsid w:val="00A808F2"/>
    <w:rsid w:val="00A80B8F"/>
    <w:rsid w:val="00A80F9C"/>
    <w:rsid w:val="00A81096"/>
    <w:rsid w:val="00A81313"/>
    <w:rsid w:val="00A81368"/>
    <w:rsid w:val="00A8144F"/>
    <w:rsid w:val="00A814D9"/>
    <w:rsid w:val="00A815CD"/>
    <w:rsid w:val="00A817DF"/>
    <w:rsid w:val="00A81E09"/>
    <w:rsid w:val="00A820E8"/>
    <w:rsid w:val="00A82101"/>
    <w:rsid w:val="00A82EEF"/>
    <w:rsid w:val="00A83124"/>
    <w:rsid w:val="00A8318F"/>
    <w:rsid w:val="00A831FA"/>
    <w:rsid w:val="00A8322C"/>
    <w:rsid w:val="00A8332C"/>
    <w:rsid w:val="00A836B9"/>
    <w:rsid w:val="00A837BD"/>
    <w:rsid w:val="00A837DD"/>
    <w:rsid w:val="00A83D10"/>
    <w:rsid w:val="00A8402A"/>
    <w:rsid w:val="00A84823"/>
    <w:rsid w:val="00A84984"/>
    <w:rsid w:val="00A84A86"/>
    <w:rsid w:val="00A84B3E"/>
    <w:rsid w:val="00A851B5"/>
    <w:rsid w:val="00A854D0"/>
    <w:rsid w:val="00A85728"/>
    <w:rsid w:val="00A85973"/>
    <w:rsid w:val="00A85E88"/>
    <w:rsid w:val="00A86039"/>
    <w:rsid w:val="00A866A3"/>
    <w:rsid w:val="00A86766"/>
    <w:rsid w:val="00A86BBA"/>
    <w:rsid w:val="00A86C93"/>
    <w:rsid w:val="00A86E18"/>
    <w:rsid w:val="00A87040"/>
    <w:rsid w:val="00A875FD"/>
    <w:rsid w:val="00A87A7F"/>
    <w:rsid w:val="00A87F19"/>
    <w:rsid w:val="00A9051A"/>
    <w:rsid w:val="00A90687"/>
    <w:rsid w:val="00A907D9"/>
    <w:rsid w:val="00A9089C"/>
    <w:rsid w:val="00A90C32"/>
    <w:rsid w:val="00A90C9B"/>
    <w:rsid w:val="00A90EE0"/>
    <w:rsid w:val="00A90FA7"/>
    <w:rsid w:val="00A9141D"/>
    <w:rsid w:val="00A915A4"/>
    <w:rsid w:val="00A91652"/>
    <w:rsid w:val="00A923D3"/>
    <w:rsid w:val="00A928B5"/>
    <w:rsid w:val="00A92984"/>
    <w:rsid w:val="00A92A97"/>
    <w:rsid w:val="00A92BEA"/>
    <w:rsid w:val="00A92F33"/>
    <w:rsid w:val="00A92F3D"/>
    <w:rsid w:val="00A93044"/>
    <w:rsid w:val="00A932A3"/>
    <w:rsid w:val="00A932BE"/>
    <w:rsid w:val="00A93327"/>
    <w:rsid w:val="00A936A1"/>
    <w:rsid w:val="00A938AE"/>
    <w:rsid w:val="00A93B7F"/>
    <w:rsid w:val="00A93EE7"/>
    <w:rsid w:val="00A9436F"/>
    <w:rsid w:val="00A9446F"/>
    <w:rsid w:val="00A945DF"/>
    <w:rsid w:val="00A94805"/>
    <w:rsid w:val="00A94B37"/>
    <w:rsid w:val="00A9543B"/>
    <w:rsid w:val="00A9599D"/>
    <w:rsid w:val="00A95C65"/>
    <w:rsid w:val="00A95D47"/>
    <w:rsid w:val="00A960F6"/>
    <w:rsid w:val="00A965E0"/>
    <w:rsid w:val="00A96782"/>
    <w:rsid w:val="00A967BB"/>
    <w:rsid w:val="00A9684B"/>
    <w:rsid w:val="00A968CF"/>
    <w:rsid w:val="00A96A1B"/>
    <w:rsid w:val="00A96BB9"/>
    <w:rsid w:val="00A97292"/>
    <w:rsid w:val="00A97420"/>
    <w:rsid w:val="00A975C0"/>
    <w:rsid w:val="00A97694"/>
    <w:rsid w:val="00A97B33"/>
    <w:rsid w:val="00A97C8E"/>
    <w:rsid w:val="00A97DB7"/>
    <w:rsid w:val="00A97EE8"/>
    <w:rsid w:val="00AA0096"/>
    <w:rsid w:val="00AA055E"/>
    <w:rsid w:val="00AA0993"/>
    <w:rsid w:val="00AA0D29"/>
    <w:rsid w:val="00AA0E6D"/>
    <w:rsid w:val="00AA1354"/>
    <w:rsid w:val="00AA172B"/>
    <w:rsid w:val="00AA1765"/>
    <w:rsid w:val="00AA19F7"/>
    <w:rsid w:val="00AA23B0"/>
    <w:rsid w:val="00AA261B"/>
    <w:rsid w:val="00AA29FE"/>
    <w:rsid w:val="00AA2BFC"/>
    <w:rsid w:val="00AA304D"/>
    <w:rsid w:val="00AA3421"/>
    <w:rsid w:val="00AA4101"/>
    <w:rsid w:val="00AA4E21"/>
    <w:rsid w:val="00AA4F17"/>
    <w:rsid w:val="00AA5139"/>
    <w:rsid w:val="00AA51E8"/>
    <w:rsid w:val="00AA5232"/>
    <w:rsid w:val="00AA540A"/>
    <w:rsid w:val="00AA57C4"/>
    <w:rsid w:val="00AA5A75"/>
    <w:rsid w:val="00AA5C5D"/>
    <w:rsid w:val="00AA5DEE"/>
    <w:rsid w:val="00AA6558"/>
    <w:rsid w:val="00AA65F3"/>
    <w:rsid w:val="00AA6DA9"/>
    <w:rsid w:val="00AA7026"/>
    <w:rsid w:val="00AA7128"/>
    <w:rsid w:val="00AA71CD"/>
    <w:rsid w:val="00AA7346"/>
    <w:rsid w:val="00AA75A0"/>
    <w:rsid w:val="00AA75F1"/>
    <w:rsid w:val="00AA778F"/>
    <w:rsid w:val="00AA77D5"/>
    <w:rsid w:val="00AA794A"/>
    <w:rsid w:val="00AA7AF4"/>
    <w:rsid w:val="00AA7D2B"/>
    <w:rsid w:val="00AA7E2B"/>
    <w:rsid w:val="00AA7E8B"/>
    <w:rsid w:val="00AB0035"/>
    <w:rsid w:val="00AB07A7"/>
    <w:rsid w:val="00AB086F"/>
    <w:rsid w:val="00AB0B2E"/>
    <w:rsid w:val="00AB0C7B"/>
    <w:rsid w:val="00AB0F93"/>
    <w:rsid w:val="00AB0FBD"/>
    <w:rsid w:val="00AB10E8"/>
    <w:rsid w:val="00AB145A"/>
    <w:rsid w:val="00AB14EF"/>
    <w:rsid w:val="00AB1578"/>
    <w:rsid w:val="00AB1B7E"/>
    <w:rsid w:val="00AB1C44"/>
    <w:rsid w:val="00AB1E97"/>
    <w:rsid w:val="00AB2155"/>
    <w:rsid w:val="00AB21FC"/>
    <w:rsid w:val="00AB22DC"/>
    <w:rsid w:val="00AB285A"/>
    <w:rsid w:val="00AB2D5A"/>
    <w:rsid w:val="00AB2E1A"/>
    <w:rsid w:val="00AB2E94"/>
    <w:rsid w:val="00AB32D2"/>
    <w:rsid w:val="00AB38AF"/>
    <w:rsid w:val="00AB3933"/>
    <w:rsid w:val="00AB3B61"/>
    <w:rsid w:val="00AB3F98"/>
    <w:rsid w:val="00AB3FAE"/>
    <w:rsid w:val="00AB44D2"/>
    <w:rsid w:val="00AB469B"/>
    <w:rsid w:val="00AB4CC5"/>
    <w:rsid w:val="00AB4D79"/>
    <w:rsid w:val="00AB51CE"/>
    <w:rsid w:val="00AB547B"/>
    <w:rsid w:val="00AB5758"/>
    <w:rsid w:val="00AB5FF1"/>
    <w:rsid w:val="00AB609D"/>
    <w:rsid w:val="00AB6466"/>
    <w:rsid w:val="00AB6587"/>
    <w:rsid w:val="00AB6A32"/>
    <w:rsid w:val="00AB6CDF"/>
    <w:rsid w:val="00AB6EF8"/>
    <w:rsid w:val="00AB6FD7"/>
    <w:rsid w:val="00AB7468"/>
    <w:rsid w:val="00AB76F7"/>
    <w:rsid w:val="00AC0197"/>
    <w:rsid w:val="00AC04AE"/>
    <w:rsid w:val="00AC05DA"/>
    <w:rsid w:val="00AC0A74"/>
    <w:rsid w:val="00AC0DA1"/>
    <w:rsid w:val="00AC134B"/>
    <w:rsid w:val="00AC1405"/>
    <w:rsid w:val="00AC1524"/>
    <w:rsid w:val="00AC1834"/>
    <w:rsid w:val="00AC1A85"/>
    <w:rsid w:val="00AC1BB3"/>
    <w:rsid w:val="00AC1FB3"/>
    <w:rsid w:val="00AC20BA"/>
    <w:rsid w:val="00AC23A0"/>
    <w:rsid w:val="00AC26AD"/>
    <w:rsid w:val="00AC346D"/>
    <w:rsid w:val="00AC3515"/>
    <w:rsid w:val="00AC35D9"/>
    <w:rsid w:val="00AC38BB"/>
    <w:rsid w:val="00AC3E09"/>
    <w:rsid w:val="00AC43B4"/>
    <w:rsid w:val="00AC440C"/>
    <w:rsid w:val="00AC4DE5"/>
    <w:rsid w:val="00AC5335"/>
    <w:rsid w:val="00AC57ED"/>
    <w:rsid w:val="00AC5F3B"/>
    <w:rsid w:val="00AC6210"/>
    <w:rsid w:val="00AC62C1"/>
    <w:rsid w:val="00AC6945"/>
    <w:rsid w:val="00AC6A29"/>
    <w:rsid w:val="00AC6BE5"/>
    <w:rsid w:val="00AC6E3A"/>
    <w:rsid w:val="00AC72B6"/>
    <w:rsid w:val="00AC7B62"/>
    <w:rsid w:val="00AC7DC5"/>
    <w:rsid w:val="00AD02C3"/>
    <w:rsid w:val="00AD04CD"/>
    <w:rsid w:val="00AD04E6"/>
    <w:rsid w:val="00AD0D25"/>
    <w:rsid w:val="00AD14E2"/>
    <w:rsid w:val="00AD1D93"/>
    <w:rsid w:val="00AD2173"/>
    <w:rsid w:val="00AD2379"/>
    <w:rsid w:val="00AD2588"/>
    <w:rsid w:val="00AD266D"/>
    <w:rsid w:val="00AD2A26"/>
    <w:rsid w:val="00AD2D4C"/>
    <w:rsid w:val="00AD2EA3"/>
    <w:rsid w:val="00AD33DE"/>
    <w:rsid w:val="00AD3506"/>
    <w:rsid w:val="00AD4AB2"/>
    <w:rsid w:val="00AD5911"/>
    <w:rsid w:val="00AD5D8A"/>
    <w:rsid w:val="00AD5E87"/>
    <w:rsid w:val="00AD5FC8"/>
    <w:rsid w:val="00AD6039"/>
    <w:rsid w:val="00AD6111"/>
    <w:rsid w:val="00AD68A1"/>
    <w:rsid w:val="00AD6C9D"/>
    <w:rsid w:val="00AD70DD"/>
    <w:rsid w:val="00AD74A1"/>
    <w:rsid w:val="00AD75F5"/>
    <w:rsid w:val="00AD78E3"/>
    <w:rsid w:val="00AD7F0B"/>
    <w:rsid w:val="00AE00EB"/>
    <w:rsid w:val="00AE04F6"/>
    <w:rsid w:val="00AE05B4"/>
    <w:rsid w:val="00AE06AE"/>
    <w:rsid w:val="00AE0B8D"/>
    <w:rsid w:val="00AE0C08"/>
    <w:rsid w:val="00AE1030"/>
    <w:rsid w:val="00AE11C4"/>
    <w:rsid w:val="00AE12B5"/>
    <w:rsid w:val="00AE145B"/>
    <w:rsid w:val="00AE1548"/>
    <w:rsid w:val="00AE1589"/>
    <w:rsid w:val="00AE1B73"/>
    <w:rsid w:val="00AE1C41"/>
    <w:rsid w:val="00AE1C5B"/>
    <w:rsid w:val="00AE1E8B"/>
    <w:rsid w:val="00AE20C4"/>
    <w:rsid w:val="00AE22BB"/>
    <w:rsid w:val="00AE2A05"/>
    <w:rsid w:val="00AE2AD2"/>
    <w:rsid w:val="00AE2DFF"/>
    <w:rsid w:val="00AE3097"/>
    <w:rsid w:val="00AE3201"/>
    <w:rsid w:val="00AE38BD"/>
    <w:rsid w:val="00AE3D80"/>
    <w:rsid w:val="00AE3ED0"/>
    <w:rsid w:val="00AE494C"/>
    <w:rsid w:val="00AE4A7D"/>
    <w:rsid w:val="00AE4F6D"/>
    <w:rsid w:val="00AE50DF"/>
    <w:rsid w:val="00AE54E7"/>
    <w:rsid w:val="00AE562E"/>
    <w:rsid w:val="00AE5A8D"/>
    <w:rsid w:val="00AE5B8A"/>
    <w:rsid w:val="00AE6154"/>
    <w:rsid w:val="00AE6A83"/>
    <w:rsid w:val="00AE717F"/>
    <w:rsid w:val="00AE7355"/>
    <w:rsid w:val="00AE762E"/>
    <w:rsid w:val="00AE7686"/>
    <w:rsid w:val="00AE77C3"/>
    <w:rsid w:val="00AE77D6"/>
    <w:rsid w:val="00AE7A9C"/>
    <w:rsid w:val="00AE7B7C"/>
    <w:rsid w:val="00AE7EE1"/>
    <w:rsid w:val="00AE7F32"/>
    <w:rsid w:val="00AF0606"/>
    <w:rsid w:val="00AF0902"/>
    <w:rsid w:val="00AF0996"/>
    <w:rsid w:val="00AF09FD"/>
    <w:rsid w:val="00AF0B60"/>
    <w:rsid w:val="00AF100D"/>
    <w:rsid w:val="00AF12F6"/>
    <w:rsid w:val="00AF1448"/>
    <w:rsid w:val="00AF145C"/>
    <w:rsid w:val="00AF2143"/>
    <w:rsid w:val="00AF2555"/>
    <w:rsid w:val="00AF3670"/>
    <w:rsid w:val="00AF41A8"/>
    <w:rsid w:val="00AF427B"/>
    <w:rsid w:val="00AF4A80"/>
    <w:rsid w:val="00AF4A91"/>
    <w:rsid w:val="00AF4AE2"/>
    <w:rsid w:val="00AF4C99"/>
    <w:rsid w:val="00AF50E3"/>
    <w:rsid w:val="00AF52B4"/>
    <w:rsid w:val="00AF5393"/>
    <w:rsid w:val="00AF5480"/>
    <w:rsid w:val="00AF602B"/>
    <w:rsid w:val="00AF641C"/>
    <w:rsid w:val="00AF6432"/>
    <w:rsid w:val="00AF666D"/>
    <w:rsid w:val="00AF6CB1"/>
    <w:rsid w:val="00AF6E9A"/>
    <w:rsid w:val="00AF6F6D"/>
    <w:rsid w:val="00AF6FA7"/>
    <w:rsid w:val="00AF7336"/>
    <w:rsid w:val="00AF79AA"/>
    <w:rsid w:val="00AF7B59"/>
    <w:rsid w:val="00AF7CCA"/>
    <w:rsid w:val="00AF7D97"/>
    <w:rsid w:val="00AF7ECE"/>
    <w:rsid w:val="00B00E0A"/>
    <w:rsid w:val="00B0111E"/>
    <w:rsid w:val="00B01325"/>
    <w:rsid w:val="00B0149C"/>
    <w:rsid w:val="00B0168D"/>
    <w:rsid w:val="00B01952"/>
    <w:rsid w:val="00B021F1"/>
    <w:rsid w:val="00B022D4"/>
    <w:rsid w:val="00B02448"/>
    <w:rsid w:val="00B026E9"/>
    <w:rsid w:val="00B029DC"/>
    <w:rsid w:val="00B02CB7"/>
    <w:rsid w:val="00B03704"/>
    <w:rsid w:val="00B0380C"/>
    <w:rsid w:val="00B03860"/>
    <w:rsid w:val="00B03BFE"/>
    <w:rsid w:val="00B03E9A"/>
    <w:rsid w:val="00B0410A"/>
    <w:rsid w:val="00B0456F"/>
    <w:rsid w:val="00B04603"/>
    <w:rsid w:val="00B04608"/>
    <w:rsid w:val="00B047C4"/>
    <w:rsid w:val="00B04840"/>
    <w:rsid w:val="00B04A29"/>
    <w:rsid w:val="00B054A1"/>
    <w:rsid w:val="00B054FA"/>
    <w:rsid w:val="00B05787"/>
    <w:rsid w:val="00B05927"/>
    <w:rsid w:val="00B062EA"/>
    <w:rsid w:val="00B064EE"/>
    <w:rsid w:val="00B0779A"/>
    <w:rsid w:val="00B1006C"/>
    <w:rsid w:val="00B1008E"/>
    <w:rsid w:val="00B100F9"/>
    <w:rsid w:val="00B10140"/>
    <w:rsid w:val="00B10295"/>
    <w:rsid w:val="00B10381"/>
    <w:rsid w:val="00B10438"/>
    <w:rsid w:val="00B1050F"/>
    <w:rsid w:val="00B10807"/>
    <w:rsid w:val="00B10CE2"/>
    <w:rsid w:val="00B10F86"/>
    <w:rsid w:val="00B10F92"/>
    <w:rsid w:val="00B10F98"/>
    <w:rsid w:val="00B113CC"/>
    <w:rsid w:val="00B114A0"/>
    <w:rsid w:val="00B11579"/>
    <w:rsid w:val="00B11797"/>
    <w:rsid w:val="00B11C22"/>
    <w:rsid w:val="00B11CC1"/>
    <w:rsid w:val="00B11E6C"/>
    <w:rsid w:val="00B12255"/>
    <w:rsid w:val="00B12293"/>
    <w:rsid w:val="00B12647"/>
    <w:rsid w:val="00B1265A"/>
    <w:rsid w:val="00B12B72"/>
    <w:rsid w:val="00B136A1"/>
    <w:rsid w:val="00B137B3"/>
    <w:rsid w:val="00B13883"/>
    <w:rsid w:val="00B138AC"/>
    <w:rsid w:val="00B13919"/>
    <w:rsid w:val="00B14351"/>
    <w:rsid w:val="00B1446B"/>
    <w:rsid w:val="00B1472B"/>
    <w:rsid w:val="00B152BB"/>
    <w:rsid w:val="00B157A4"/>
    <w:rsid w:val="00B15E5A"/>
    <w:rsid w:val="00B1677F"/>
    <w:rsid w:val="00B16EFD"/>
    <w:rsid w:val="00B174B2"/>
    <w:rsid w:val="00B17881"/>
    <w:rsid w:val="00B204BA"/>
    <w:rsid w:val="00B20510"/>
    <w:rsid w:val="00B208AF"/>
    <w:rsid w:val="00B209A5"/>
    <w:rsid w:val="00B20A10"/>
    <w:rsid w:val="00B21454"/>
    <w:rsid w:val="00B2176D"/>
    <w:rsid w:val="00B2199B"/>
    <w:rsid w:val="00B21B00"/>
    <w:rsid w:val="00B21B71"/>
    <w:rsid w:val="00B21C3F"/>
    <w:rsid w:val="00B22489"/>
    <w:rsid w:val="00B227BE"/>
    <w:rsid w:val="00B2283C"/>
    <w:rsid w:val="00B228A2"/>
    <w:rsid w:val="00B2296F"/>
    <w:rsid w:val="00B22A93"/>
    <w:rsid w:val="00B233F6"/>
    <w:rsid w:val="00B2396C"/>
    <w:rsid w:val="00B23A3D"/>
    <w:rsid w:val="00B23B29"/>
    <w:rsid w:val="00B23B9C"/>
    <w:rsid w:val="00B23CA6"/>
    <w:rsid w:val="00B23F2B"/>
    <w:rsid w:val="00B2426F"/>
    <w:rsid w:val="00B2464E"/>
    <w:rsid w:val="00B24985"/>
    <w:rsid w:val="00B24E1F"/>
    <w:rsid w:val="00B25223"/>
    <w:rsid w:val="00B25330"/>
    <w:rsid w:val="00B254BC"/>
    <w:rsid w:val="00B2553B"/>
    <w:rsid w:val="00B25AA5"/>
    <w:rsid w:val="00B25AC4"/>
    <w:rsid w:val="00B269A3"/>
    <w:rsid w:val="00B27606"/>
    <w:rsid w:val="00B27971"/>
    <w:rsid w:val="00B27AAB"/>
    <w:rsid w:val="00B27D0C"/>
    <w:rsid w:val="00B27F2B"/>
    <w:rsid w:val="00B30140"/>
    <w:rsid w:val="00B30685"/>
    <w:rsid w:val="00B308DF"/>
    <w:rsid w:val="00B30D16"/>
    <w:rsid w:val="00B30DB9"/>
    <w:rsid w:val="00B31E4D"/>
    <w:rsid w:val="00B31FF1"/>
    <w:rsid w:val="00B3227F"/>
    <w:rsid w:val="00B322DC"/>
    <w:rsid w:val="00B32865"/>
    <w:rsid w:val="00B32BCF"/>
    <w:rsid w:val="00B32DA0"/>
    <w:rsid w:val="00B32F7A"/>
    <w:rsid w:val="00B32FC5"/>
    <w:rsid w:val="00B3308F"/>
    <w:rsid w:val="00B33AD6"/>
    <w:rsid w:val="00B33B32"/>
    <w:rsid w:val="00B33C84"/>
    <w:rsid w:val="00B340FC"/>
    <w:rsid w:val="00B341FE"/>
    <w:rsid w:val="00B34334"/>
    <w:rsid w:val="00B34D55"/>
    <w:rsid w:val="00B34D9E"/>
    <w:rsid w:val="00B35F41"/>
    <w:rsid w:val="00B36349"/>
    <w:rsid w:val="00B366A6"/>
    <w:rsid w:val="00B366A7"/>
    <w:rsid w:val="00B3685C"/>
    <w:rsid w:val="00B368DA"/>
    <w:rsid w:val="00B36E31"/>
    <w:rsid w:val="00B36F1E"/>
    <w:rsid w:val="00B3753D"/>
    <w:rsid w:val="00B3758D"/>
    <w:rsid w:val="00B400E9"/>
    <w:rsid w:val="00B4013A"/>
    <w:rsid w:val="00B40211"/>
    <w:rsid w:val="00B40221"/>
    <w:rsid w:val="00B405F6"/>
    <w:rsid w:val="00B40B4F"/>
    <w:rsid w:val="00B40BCE"/>
    <w:rsid w:val="00B410FF"/>
    <w:rsid w:val="00B4183B"/>
    <w:rsid w:val="00B420A8"/>
    <w:rsid w:val="00B420E7"/>
    <w:rsid w:val="00B422B6"/>
    <w:rsid w:val="00B42602"/>
    <w:rsid w:val="00B43348"/>
    <w:rsid w:val="00B4373F"/>
    <w:rsid w:val="00B43992"/>
    <w:rsid w:val="00B43B71"/>
    <w:rsid w:val="00B43F6E"/>
    <w:rsid w:val="00B446C0"/>
    <w:rsid w:val="00B44D8D"/>
    <w:rsid w:val="00B44E7F"/>
    <w:rsid w:val="00B44E96"/>
    <w:rsid w:val="00B45217"/>
    <w:rsid w:val="00B45296"/>
    <w:rsid w:val="00B454F9"/>
    <w:rsid w:val="00B45546"/>
    <w:rsid w:val="00B455F9"/>
    <w:rsid w:val="00B45CA1"/>
    <w:rsid w:val="00B45D96"/>
    <w:rsid w:val="00B45E05"/>
    <w:rsid w:val="00B4602E"/>
    <w:rsid w:val="00B461AD"/>
    <w:rsid w:val="00B46476"/>
    <w:rsid w:val="00B4667D"/>
    <w:rsid w:val="00B46D15"/>
    <w:rsid w:val="00B46D2B"/>
    <w:rsid w:val="00B47027"/>
    <w:rsid w:val="00B4713C"/>
    <w:rsid w:val="00B477D4"/>
    <w:rsid w:val="00B47A4D"/>
    <w:rsid w:val="00B47DF8"/>
    <w:rsid w:val="00B503AC"/>
    <w:rsid w:val="00B50B12"/>
    <w:rsid w:val="00B50BE4"/>
    <w:rsid w:val="00B50F13"/>
    <w:rsid w:val="00B51105"/>
    <w:rsid w:val="00B5110C"/>
    <w:rsid w:val="00B512DD"/>
    <w:rsid w:val="00B5130A"/>
    <w:rsid w:val="00B5178B"/>
    <w:rsid w:val="00B519F0"/>
    <w:rsid w:val="00B520F1"/>
    <w:rsid w:val="00B5257A"/>
    <w:rsid w:val="00B526FA"/>
    <w:rsid w:val="00B52AAA"/>
    <w:rsid w:val="00B52AE4"/>
    <w:rsid w:val="00B52BA8"/>
    <w:rsid w:val="00B52D83"/>
    <w:rsid w:val="00B53236"/>
    <w:rsid w:val="00B5356E"/>
    <w:rsid w:val="00B53613"/>
    <w:rsid w:val="00B536CA"/>
    <w:rsid w:val="00B536DE"/>
    <w:rsid w:val="00B53821"/>
    <w:rsid w:val="00B53D67"/>
    <w:rsid w:val="00B54894"/>
    <w:rsid w:val="00B54F0E"/>
    <w:rsid w:val="00B551EA"/>
    <w:rsid w:val="00B552AD"/>
    <w:rsid w:val="00B552DF"/>
    <w:rsid w:val="00B55500"/>
    <w:rsid w:val="00B55C47"/>
    <w:rsid w:val="00B562F5"/>
    <w:rsid w:val="00B5660D"/>
    <w:rsid w:val="00B568F0"/>
    <w:rsid w:val="00B569F5"/>
    <w:rsid w:val="00B57D40"/>
    <w:rsid w:val="00B57F8F"/>
    <w:rsid w:val="00B57FAF"/>
    <w:rsid w:val="00B60670"/>
    <w:rsid w:val="00B60C5E"/>
    <w:rsid w:val="00B60DDE"/>
    <w:rsid w:val="00B61000"/>
    <w:rsid w:val="00B612B2"/>
    <w:rsid w:val="00B6139D"/>
    <w:rsid w:val="00B617EA"/>
    <w:rsid w:val="00B61970"/>
    <w:rsid w:val="00B61ACA"/>
    <w:rsid w:val="00B61D76"/>
    <w:rsid w:val="00B620BD"/>
    <w:rsid w:val="00B62394"/>
    <w:rsid w:val="00B6239B"/>
    <w:rsid w:val="00B62758"/>
    <w:rsid w:val="00B62A5D"/>
    <w:rsid w:val="00B62A86"/>
    <w:rsid w:val="00B62B52"/>
    <w:rsid w:val="00B62F6F"/>
    <w:rsid w:val="00B63211"/>
    <w:rsid w:val="00B63C21"/>
    <w:rsid w:val="00B63C7D"/>
    <w:rsid w:val="00B64158"/>
    <w:rsid w:val="00B64218"/>
    <w:rsid w:val="00B6434C"/>
    <w:rsid w:val="00B6444B"/>
    <w:rsid w:val="00B6513F"/>
    <w:rsid w:val="00B6520E"/>
    <w:rsid w:val="00B65A57"/>
    <w:rsid w:val="00B65B4E"/>
    <w:rsid w:val="00B65BF1"/>
    <w:rsid w:val="00B65C31"/>
    <w:rsid w:val="00B6695D"/>
    <w:rsid w:val="00B66B74"/>
    <w:rsid w:val="00B67264"/>
    <w:rsid w:val="00B676E0"/>
    <w:rsid w:val="00B677ED"/>
    <w:rsid w:val="00B70B4E"/>
    <w:rsid w:val="00B70B64"/>
    <w:rsid w:val="00B718CE"/>
    <w:rsid w:val="00B719CA"/>
    <w:rsid w:val="00B71EC2"/>
    <w:rsid w:val="00B72063"/>
    <w:rsid w:val="00B722EB"/>
    <w:rsid w:val="00B727ED"/>
    <w:rsid w:val="00B72BF7"/>
    <w:rsid w:val="00B72DEE"/>
    <w:rsid w:val="00B733B2"/>
    <w:rsid w:val="00B737CB"/>
    <w:rsid w:val="00B739B5"/>
    <w:rsid w:val="00B73A31"/>
    <w:rsid w:val="00B73A57"/>
    <w:rsid w:val="00B73C7D"/>
    <w:rsid w:val="00B73E91"/>
    <w:rsid w:val="00B7462D"/>
    <w:rsid w:val="00B74641"/>
    <w:rsid w:val="00B74998"/>
    <w:rsid w:val="00B752FD"/>
    <w:rsid w:val="00B75761"/>
    <w:rsid w:val="00B75962"/>
    <w:rsid w:val="00B75B6F"/>
    <w:rsid w:val="00B76583"/>
    <w:rsid w:val="00B76659"/>
    <w:rsid w:val="00B7669C"/>
    <w:rsid w:val="00B7683E"/>
    <w:rsid w:val="00B76FBB"/>
    <w:rsid w:val="00B77007"/>
    <w:rsid w:val="00B77621"/>
    <w:rsid w:val="00B77628"/>
    <w:rsid w:val="00B77BC8"/>
    <w:rsid w:val="00B77BD6"/>
    <w:rsid w:val="00B77DE9"/>
    <w:rsid w:val="00B80925"/>
    <w:rsid w:val="00B80B9C"/>
    <w:rsid w:val="00B80F30"/>
    <w:rsid w:val="00B80F44"/>
    <w:rsid w:val="00B8104F"/>
    <w:rsid w:val="00B810E5"/>
    <w:rsid w:val="00B810E7"/>
    <w:rsid w:val="00B81FE4"/>
    <w:rsid w:val="00B822D4"/>
    <w:rsid w:val="00B82410"/>
    <w:rsid w:val="00B82BA2"/>
    <w:rsid w:val="00B82BB7"/>
    <w:rsid w:val="00B82F59"/>
    <w:rsid w:val="00B831B3"/>
    <w:rsid w:val="00B83535"/>
    <w:rsid w:val="00B8375B"/>
    <w:rsid w:val="00B83B33"/>
    <w:rsid w:val="00B83BDB"/>
    <w:rsid w:val="00B83DCB"/>
    <w:rsid w:val="00B84118"/>
    <w:rsid w:val="00B8430A"/>
    <w:rsid w:val="00B846CB"/>
    <w:rsid w:val="00B84B4D"/>
    <w:rsid w:val="00B84D01"/>
    <w:rsid w:val="00B852B9"/>
    <w:rsid w:val="00B8550F"/>
    <w:rsid w:val="00B8583D"/>
    <w:rsid w:val="00B85E0E"/>
    <w:rsid w:val="00B86092"/>
    <w:rsid w:val="00B862B0"/>
    <w:rsid w:val="00B86538"/>
    <w:rsid w:val="00B86828"/>
    <w:rsid w:val="00B86CAD"/>
    <w:rsid w:val="00B86F9E"/>
    <w:rsid w:val="00B8714C"/>
    <w:rsid w:val="00B87192"/>
    <w:rsid w:val="00B8730F"/>
    <w:rsid w:val="00B8746F"/>
    <w:rsid w:val="00B87BAC"/>
    <w:rsid w:val="00B87BFB"/>
    <w:rsid w:val="00B87C3E"/>
    <w:rsid w:val="00B87F25"/>
    <w:rsid w:val="00B87F2C"/>
    <w:rsid w:val="00B901EE"/>
    <w:rsid w:val="00B9024D"/>
    <w:rsid w:val="00B907CA"/>
    <w:rsid w:val="00B90CB4"/>
    <w:rsid w:val="00B90D8F"/>
    <w:rsid w:val="00B91400"/>
    <w:rsid w:val="00B91524"/>
    <w:rsid w:val="00B9168A"/>
    <w:rsid w:val="00B916D0"/>
    <w:rsid w:val="00B916F5"/>
    <w:rsid w:val="00B9179B"/>
    <w:rsid w:val="00B91842"/>
    <w:rsid w:val="00B91A34"/>
    <w:rsid w:val="00B91DDA"/>
    <w:rsid w:val="00B9231A"/>
    <w:rsid w:val="00B92895"/>
    <w:rsid w:val="00B92934"/>
    <w:rsid w:val="00B932CA"/>
    <w:rsid w:val="00B939D6"/>
    <w:rsid w:val="00B939E5"/>
    <w:rsid w:val="00B93C50"/>
    <w:rsid w:val="00B93C71"/>
    <w:rsid w:val="00B93D84"/>
    <w:rsid w:val="00B93FBD"/>
    <w:rsid w:val="00B94077"/>
    <w:rsid w:val="00B94099"/>
    <w:rsid w:val="00B943E2"/>
    <w:rsid w:val="00B94816"/>
    <w:rsid w:val="00B94D1A"/>
    <w:rsid w:val="00B950AD"/>
    <w:rsid w:val="00B955E0"/>
    <w:rsid w:val="00B95682"/>
    <w:rsid w:val="00B957AF"/>
    <w:rsid w:val="00B95939"/>
    <w:rsid w:val="00B95952"/>
    <w:rsid w:val="00B96445"/>
    <w:rsid w:val="00B964CB"/>
    <w:rsid w:val="00B9685F"/>
    <w:rsid w:val="00B96F35"/>
    <w:rsid w:val="00B96F65"/>
    <w:rsid w:val="00B97412"/>
    <w:rsid w:val="00B97554"/>
    <w:rsid w:val="00B977C9"/>
    <w:rsid w:val="00B97EF8"/>
    <w:rsid w:val="00BA08A6"/>
    <w:rsid w:val="00BA0D62"/>
    <w:rsid w:val="00BA0FCE"/>
    <w:rsid w:val="00BA0FD1"/>
    <w:rsid w:val="00BA101F"/>
    <w:rsid w:val="00BA13BC"/>
    <w:rsid w:val="00BA1477"/>
    <w:rsid w:val="00BA176C"/>
    <w:rsid w:val="00BA184B"/>
    <w:rsid w:val="00BA192B"/>
    <w:rsid w:val="00BA1E45"/>
    <w:rsid w:val="00BA2252"/>
    <w:rsid w:val="00BA2B8D"/>
    <w:rsid w:val="00BA2D23"/>
    <w:rsid w:val="00BA2E64"/>
    <w:rsid w:val="00BA32F1"/>
    <w:rsid w:val="00BA346A"/>
    <w:rsid w:val="00BA34E3"/>
    <w:rsid w:val="00BA3530"/>
    <w:rsid w:val="00BA35C0"/>
    <w:rsid w:val="00BA36A7"/>
    <w:rsid w:val="00BA3BC7"/>
    <w:rsid w:val="00BA3CD7"/>
    <w:rsid w:val="00BA3D0A"/>
    <w:rsid w:val="00BA3FB2"/>
    <w:rsid w:val="00BA40B5"/>
    <w:rsid w:val="00BA40FB"/>
    <w:rsid w:val="00BA42C3"/>
    <w:rsid w:val="00BA4396"/>
    <w:rsid w:val="00BA446F"/>
    <w:rsid w:val="00BA4BCE"/>
    <w:rsid w:val="00BA4BD6"/>
    <w:rsid w:val="00BA4C9F"/>
    <w:rsid w:val="00BA4DF2"/>
    <w:rsid w:val="00BA5004"/>
    <w:rsid w:val="00BA521E"/>
    <w:rsid w:val="00BA5DA3"/>
    <w:rsid w:val="00BA60B4"/>
    <w:rsid w:val="00BA641A"/>
    <w:rsid w:val="00BA68B2"/>
    <w:rsid w:val="00BA6B29"/>
    <w:rsid w:val="00BA6C45"/>
    <w:rsid w:val="00BA6F08"/>
    <w:rsid w:val="00BA735C"/>
    <w:rsid w:val="00BA7681"/>
    <w:rsid w:val="00BA7AC5"/>
    <w:rsid w:val="00BA7BBE"/>
    <w:rsid w:val="00BA7C9D"/>
    <w:rsid w:val="00BB0933"/>
    <w:rsid w:val="00BB0D18"/>
    <w:rsid w:val="00BB0E19"/>
    <w:rsid w:val="00BB1224"/>
    <w:rsid w:val="00BB15DF"/>
    <w:rsid w:val="00BB1790"/>
    <w:rsid w:val="00BB1CF9"/>
    <w:rsid w:val="00BB23EC"/>
    <w:rsid w:val="00BB328F"/>
    <w:rsid w:val="00BB3436"/>
    <w:rsid w:val="00BB44A7"/>
    <w:rsid w:val="00BB45D7"/>
    <w:rsid w:val="00BB4D56"/>
    <w:rsid w:val="00BB4E83"/>
    <w:rsid w:val="00BB5024"/>
    <w:rsid w:val="00BB5AE9"/>
    <w:rsid w:val="00BB5CC7"/>
    <w:rsid w:val="00BB5E78"/>
    <w:rsid w:val="00BB620D"/>
    <w:rsid w:val="00BB6657"/>
    <w:rsid w:val="00BB6673"/>
    <w:rsid w:val="00BB66FA"/>
    <w:rsid w:val="00BB6D15"/>
    <w:rsid w:val="00BB6EBA"/>
    <w:rsid w:val="00BB718F"/>
    <w:rsid w:val="00BB71F9"/>
    <w:rsid w:val="00BB766D"/>
    <w:rsid w:val="00BC082E"/>
    <w:rsid w:val="00BC0855"/>
    <w:rsid w:val="00BC094E"/>
    <w:rsid w:val="00BC0961"/>
    <w:rsid w:val="00BC0CC4"/>
    <w:rsid w:val="00BC163A"/>
    <w:rsid w:val="00BC1703"/>
    <w:rsid w:val="00BC27D9"/>
    <w:rsid w:val="00BC288A"/>
    <w:rsid w:val="00BC2C7E"/>
    <w:rsid w:val="00BC2CBD"/>
    <w:rsid w:val="00BC2DE6"/>
    <w:rsid w:val="00BC2F1F"/>
    <w:rsid w:val="00BC3E05"/>
    <w:rsid w:val="00BC43BB"/>
    <w:rsid w:val="00BC4452"/>
    <w:rsid w:val="00BC44EA"/>
    <w:rsid w:val="00BC464E"/>
    <w:rsid w:val="00BC4902"/>
    <w:rsid w:val="00BC4EA5"/>
    <w:rsid w:val="00BC511C"/>
    <w:rsid w:val="00BC5457"/>
    <w:rsid w:val="00BC59D8"/>
    <w:rsid w:val="00BC5ABB"/>
    <w:rsid w:val="00BC5B33"/>
    <w:rsid w:val="00BC5B3E"/>
    <w:rsid w:val="00BC5BF1"/>
    <w:rsid w:val="00BC678F"/>
    <w:rsid w:val="00BC6958"/>
    <w:rsid w:val="00BC6B70"/>
    <w:rsid w:val="00BC6C30"/>
    <w:rsid w:val="00BC6E62"/>
    <w:rsid w:val="00BC7009"/>
    <w:rsid w:val="00BD0257"/>
    <w:rsid w:val="00BD0764"/>
    <w:rsid w:val="00BD083E"/>
    <w:rsid w:val="00BD08AE"/>
    <w:rsid w:val="00BD0A85"/>
    <w:rsid w:val="00BD0E29"/>
    <w:rsid w:val="00BD0F15"/>
    <w:rsid w:val="00BD1C98"/>
    <w:rsid w:val="00BD1DF1"/>
    <w:rsid w:val="00BD1EE2"/>
    <w:rsid w:val="00BD220A"/>
    <w:rsid w:val="00BD22B6"/>
    <w:rsid w:val="00BD24FB"/>
    <w:rsid w:val="00BD2CA2"/>
    <w:rsid w:val="00BD2D43"/>
    <w:rsid w:val="00BD2E32"/>
    <w:rsid w:val="00BD3147"/>
    <w:rsid w:val="00BD35ED"/>
    <w:rsid w:val="00BD3696"/>
    <w:rsid w:val="00BD3A22"/>
    <w:rsid w:val="00BD3B22"/>
    <w:rsid w:val="00BD408C"/>
    <w:rsid w:val="00BD4241"/>
    <w:rsid w:val="00BD4645"/>
    <w:rsid w:val="00BD475F"/>
    <w:rsid w:val="00BD4774"/>
    <w:rsid w:val="00BD47C4"/>
    <w:rsid w:val="00BD4C8A"/>
    <w:rsid w:val="00BD4EF5"/>
    <w:rsid w:val="00BD5233"/>
    <w:rsid w:val="00BD5403"/>
    <w:rsid w:val="00BD55FA"/>
    <w:rsid w:val="00BD59F5"/>
    <w:rsid w:val="00BD60B2"/>
    <w:rsid w:val="00BD6273"/>
    <w:rsid w:val="00BD630D"/>
    <w:rsid w:val="00BD66B7"/>
    <w:rsid w:val="00BD6B26"/>
    <w:rsid w:val="00BD708F"/>
    <w:rsid w:val="00BD7164"/>
    <w:rsid w:val="00BD7714"/>
    <w:rsid w:val="00BD7B94"/>
    <w:rsid w:val="00BD7C99"/>
    <w:rsid w:val="00BD7DA7"/>
    <w:rsid w:val="00BE0212"/>
    <w:rsid w:val="00BE0586"/>
    <w:rsid w:val="00BE0A73"/>
    <w:rsid w:val="00BE0E65"/>
    <w:rsid w:val="00BE11F8"/>
    <w:rsid w:val="00BE122F"/>
    <w:rsid w:val="00BE1507"/>
    <w:rsid w:val="00BE1528"/>
    <w:rsid w:val="00BE1981"/>
    <w:rsid w:val="00BE198F"/>
    <w:rsid w:val="00BE1EE0"/>
    <w:rsid w:val="00BE25A6"/>
    <w:rsid w:val="00BE2856"/>
    <w:rsid w:val="00BE2926"/>
    <w:rsid w:val="00BE2C3A"/>
    <w:rsid w:val="00BE2D1B"/>
    <w:rsid w:val="00BE34EA"/>
    <w:rsid w:val="00BE37DE"/>
    <w:rsid w:val="00BE37E7"/>
    <w:rsid w:val="00BE398B"/>
    <w:rsid w:val="00BE4204"/>
    <w:rsid w:val="00BE4537"/>
    <w:rsid w:val="00BE4B44"/>
    <w:rsid w:val="00BE501A"/>
    <w:rsid w:val="00BE52CF"/>
    <w:rsid w:val="00BE5317"/>
    <w:rsid w:val="00BE5327"/>
    <w:rsid w:val="00BE55E5"/>
    <w:rsid w:val="00BE57C0"/>
    <w:rsid w:val="00BE62A0"/>
    <w:rsid w:val="00BE66F5"/>
    <w:rsid w:val="00BE699B"/>
    <w:rsid w:val="00BE6B32"/>
    <w:rsid w:val="00BE6C66"/>
    <w:rsid w:val="00BE6EF0"/>
    <w:rsid w:val="00BE70A8"/>
    <w:rsid w:val="00BE7220"/>
    <w:rsid w:val="00BE72E4"/>
    <w:rsid w:val="00BE75C4"/>
    <w:rsid w:val="00BE76DC"/>
    <w:rsid w:val="00BE76EF"/>
    <w:rsid w:val="00BE7CD2"/>
    <w:rsid w:val="00BE7FCC"/>
    <w:rsid w:val="00BF00A0"/>
    <w:rsid w:val="00BF00EC"/>
    <w:rsid w:val="00BF0B02"/>
    <w:rsid w:val="00BF16F6"/>
    <w:rsid w:val="00BF1722"/>
    <w:rsid w:val="00BF1835"/>
    <w:rsid w:val="00BF1AEC"/>
    <w:rsid w:val="00BF1E35"/>
    <w:rsid w:val="00BF1FDD"/>
    <w:rsid w:val="00BF2496"/>
    <w:rsid w:val="00BF269C"/>
    <w:rsid w:val="00BF2E56"/>
    <w:rsid w:val="00BF33CF"/>
    <w:rsid w:val="00BF3C42"/>
    <w:rsid w:val="00BF4C32"/>
    <w:rsid w:val="00BF4CDA"/>
    <w:rsid w:val="00BF5191"/>
    <w:rsid w:val="00BF55FD"/>
    <w:rsid w:val="00BF570C"/>
    <w:rsid w:val="00BF5A0B"/>
    <w:rsid w:val="00BF6156"/>
    <w:rsid w:val="00BF63D3"/>
    <w:rsid w:val="00BF64BD"/>
    <w:rsid w:val="00BF679E"/>
    <w:rsid w:val="00BF6D62"/>
    <w:rsid w:val="00BF6E6E"/>
    <w:rsid w:val="00BF7445"/>
    <w:rsid w:val="00BF74B5"/>
    <w:rsid w:val="00BF7D7A"/>
    <w:rsid w:val="00C00187"/>
    <w:rsid w:val="00C00600"/>
    <w:rsid w:val="00C00A5C"/>
    <w:rsid w:val="00C00D3C"/>
    <w:rsid w:val="00C00EDC"/>
    <w:rsid w:val="00C0178E"/>
    <w:rsid w:val="00C01ECB"/>
    <w:rsid w:val="00C029EF"/>
    <w:rsid w:val="00C02E3D"/>
    <w:rsid w:val="00C02FF2"/>
    <w:rsid w:val="00C03447"/>
    <w:rsid w:val="00C0369B"/>
    <w:rsid w:val="00C03915"/>
    <w:rsid w:val="00C039E8"/>
    <w:rsid w:val="00C0476A"/>
    <w:rsid w:val="00C04942"/>
    <w:rsid w:val="00C04B4F"/>
    <w:rsid w:val="00C04CE2"/>
    <w:rsid w:val="00C04EC9"/>
    <w:rsid w:val="00C050AC"/>
    <w:rsid w:val="00C05309"/>
    <w:rsid w:val="00C05953"/>
    <w:rsid w:val="00C06AAA"/>
    <w:rsid w:val="00C07060"/>
    <w:rsid w:val="00C07147"/>
    <w:rsid w:val="00C07AFB"/>
    <w:rsid w:val="00C07BBF"/>
    <w:rsid w:val="00C07F41"/>
    <w:rsid w:val="00C10054"/>
    <w:rsid w:val="00C1027F"/>
    <w:rsid w:val="00C1091F"/>
    <w:rsid w:val="00C116B6"/>
    <w:rsid w:val="00C116D2"/>
    <w:rsid w:val="00C11846"/>
    <w:rsid w:val="00C11E1B"/>
    <w:rsid w:val="00C11E93"/>
    <w:rsid w:val="00C12457"/>
    <w:rsid w:val="00C124D6"/>
    <w:rsid w:val="00C12971"/>
    <w:rsid w:val="00C12B5F"/>
    <w:rsid w:val="00C12BA6"/>
    <w:rsid w:val="00C12E0A"/>
    <w:rsid w:val="00C130F3"/>
    <w:rsid w:val="00C1361C"/>
    <w:rsid w:val="00C13853"/>
    <w:rsid w:val="00C13D3E"/>
    <w:rsid w:val="00C13E95"/>
    <w:rsid w:val="00C13FD9"/>
    <w:rsid w:val="00C1406B"/>
    <w:rsid w:val="00C1442A"/>
    <w:rsid w:val="00C149E9"/>
    <w:rsid w:val="00C14CF6"/>
    <w:rsid w:val="00C14D0B"/>
    <w:rsid w:val="00C15415"/>
    <w:rsid w:val="00C157E6"/>
    <w:rsid w:val="00C15F47"/>
    <w:rsid w:val="00C16188"/>
    <w:rsid w:val="00C16455"/>
    <w:rsid w:val="00C16732"/>
    <w:rsid w:val="00C16B3E"/>
    <w:rsid w:val="00C17C40"/>
    <w:rsid w:val="00C17DAA"/>
    <w:rsid w:val="00C2005A"/>
    <w:rsid w:val="00C201BF"/>
    <w:rsid w:val="00C20220"/>
    <w:rsid w:val="00C20B38"/>
    <w:rsid w:val="00C20C47"/>
    <w:rsid w:val="00C20F6D"/>
    <w:rsid w:val="00C210C9"/>
    <w:rsid w:val="00C212B2"/>
    <w:rsid w:val="00C21458"/>
    <w:rsid w:val="00C21A42"/>
    <w:rsid w:val="00C21C44"/>
    <w:rsid w:val="00C21F74"/>
    <w:rsid w:val="00C22ABC"/>
    <w:rsid w:val="00C22CCB"/>
    <w:rsid w:val="00C23302"/>
    <w:rsid w:val="00C233EA"/>
    <w:rsid w:val="00C23455"/>
    <w:rsid w:val="00C235C2"/>
    <w:rsid w:val="00C2368B"/>
    <w:rsid w:val="00C23763"/>
    <w:rsid w:val="00C239EF"/>
    <w:rsid w:val="00C23A2D"/>
    <w:rsid w:val="00C23BEA"/>
    <w:rsid w:val="00C23C25"/>
    <w:rsid w:val="00C24689"/>
    <w:rsid w:val="00C24F6D"/>
    <w:rsid w:val="00C25713"/>
    <w:rsid w:val="00C257B6"/>
    <w:rsid w:val="00C25B21"/>
    <w:rsid w:val="00C25D60"/>
    <w:rsid w:val="00C261DC"/>
    <w:rsid w:val="00C266A7"/>
    <w:rsid w:val="00C2690B"/>
    <w:rsid w:val="00C26E34"/>
    <w:rsid w:val="00C279A1"/>
    <w:rsid w:val="00C27CB7"/>
    <w:rsid w:val="00C27EDF"/>
    <w:rsid w:val="00C305C2"/>
    <w:rsid w:val="00C3078D"/>
    <w:rsid w:val="00C30821"/>
    <w:rsid w:val="00C30C63"/>
    <w:rsid w:val="00C30D40"/>
    <w:rsid w:val="00C3196B"/>
    <w:rsid w:val="00C31D04"/>
    <w:rsid w:val="00C31DD2"/>
    <w:rsid w:val="00C31E47"/>
    <w:rsid w:val="00C32081"/>
    <w:rsid w:val="00C32493"/>
    <w:rsid w:val="00C32B3A"/>
    <w:rsid w:val="00C32BB4"/>
    <w:rsid w:val="00C32C02"/>
    <w:rsid w:val="00C32FE5"/>
    <w:rsid w:val="00C336D0"/>
    <w:rsid w:val="00C33A2E"/>
    <w:rsid w:val="00C33A31"/>
    <w:rsid w:val="00C33A65"/>
    <w:rsid w:val="00C33C3A"/>
    <w:rsid w:val="00C341DE"/>
    <w:rsid w:val="00C34880"/>
    <w:rsid w:val="00C3516C"/>
    <w:rsid w:val="00C352BF"/>
    <w:rsid w:val="00C35493"/>
    <w:rsid w:val="00C35517"/>
    <w:rsid w:val="00C35564"/>
    <w:rsid w:val="00C3563B"/>
    <w:rsid w:val="00C357EA"/>
    <w:rsid w:val="00C35FD2"/>
    <w:rsid w:val="00C36294"/>
    <w:rsid w:val="00C3778E"/>
    <w:rsid w:val="00C3787F"/>
    <w:rsid w:val="00C3789C"/>
    <w:rsid w:val="00C4011A"/>
    <w:rsid w:val="00C4031B"/>
    <w:rsid w:val="00C40602"/>
    <w:rsid w:val="00C40AD2"/>
    <w:rsid w:val="00C40EB1"/>
    <w:rsid w:val="00C40EBA"/>
    <w:rsid w:val="00C4118C"/>
    <w:rsid w:val="00C4180C"/>
    <w:rsid w:val="00C41CD6"/>
    <w:rsid w:val="00C41CE6"/>
    <w:rsid w:val="00C41EDB"/>
    <w:rsid w:val="00C42032"/>
    <w:rsid w:val="00C422ED"/>
    <w:rsid w:val="00C42373"/>
    <w:rsid w:val="00C429D5"/>
    <w:rsid w:val="00C42A98"/>
    <w:rsid w:val="00C42CC9"/>
    <w:rsid w:val="00C43046"/>
    <w:rsid w:val="00C430DE"/>
    <w:rsid w:val="00C43528"/>
    <w:rsid w:val="00C43563"/>
    <w:rsid w:val="00C439DB"/>
    <w:rsid w:val="00C43B10"/>
    <w:rsid w:val="00C44061"/>
    <w:rsid w:val="00C441EB"/>
    <w:rsid w:val="00C44250"/>
    <w:rsid w:val="00C44756"/>
    <w:rsid w:val="00C44785"/>
    <w:rsid w:val="00C453F7"/>
    <w:rsid w:val="00C4551C"/>
    <w:rsid w:val="00C4551D"/>
    <w:rsid w:val="00C4570A"/>
    <w:rsid w:val="00C45A05"/>
    <w:rsid w:val="00C46095"/>
    <w:rsid w:val="00C4616D"/>
    <w:rsid w:val="00C461C6"/>
    <w:rsid w:val="00C469BA"/>
    <w:rsid w:val="00C46BDA"/>
    <w:rsid w:val="00C46E39"/>
    <w:rsid w:val="00C47B33"/>
    <w:rsid w:val="00C47D8B"/>
    <w:rsid w:val="00C47F70"/>
    <w:rsid w:val="00C5035B"/>
    <w:rsid w:val="00C5097E"/>
    <w:rsid w:val="00C509BF"/>
    <w:rsid w:val="00C50AB9"/>
    <w:rsid w:val="00C50F98"/>
    <w:rsid w:val="00C51462"/>
    <w:rsid w:val="00C51719"/>
    <w:rsid w:val="00C51F5F"/>
    <w:rsid w:val="00C51FFE"/>
    <w:rsid w:val="00C52245"/>
    <w:rsid w:val="00C5229D"/>
    <w:rsid w:val="00C5233C"/>
    <w:rsid w:val="00C523B7"/>
    <w:rsid w:val="00C524D2"/>
    <w:rsid w:val="00C52F28"/>
    <w:rsid w:val="00C536BA"/>
    <w:rsid w:val="00C53953"/>
    <w:rsid w:val="00C53A1F"/>
    <w:rsid w:val="00C53A8D"/>
    <w:rsid w:val="00C5402B"/>
    <w:rsid w:val="00C54141"/>
    <w:rsid w:val="00C54243"/>
    <w:rsid w:val="00C545D0"/>
    <w:rsid w:val="00C54795"/>
    <w:rsid w:val="00C547D3"/>
    <w:rsid w:val="00C55148"/>
    <w:rsid w:val="00C55348"/>
    <w:rsid w:val="00C55742"/>
    <w:rsid w:val="00C55E90"/>
    <w:rsid w:val="00C5603C"/>
    <w:rsid w:val="00C5621C"/>
    <w:rsid w:val="00C564AC"/>
    <w:rsid w:val="00C56916"/>
    <w:rsid w:val="00C569AB"/>
    <w:rsid w:val="00C56BB8"/>
    <w:rsid w:val="00C56E23"/>
    <w:rsid w:val="00C5722E"/>
    <w:rsid w:val="00C5798A"/>
    <w:rsid w:val="00C57A2C"/>
    <w:rsid w:val="00C57E94"/>
    <w:rsid w:val="00C57FD9"/>
    <w:rsid w:val="00C604C5"/>
    <w:rsid w:val="00C604DA"/>
    <w:rsid w:val="00C60FAB"/>
    <w:rsid w:val="00C61307"/>
    <w:rsid w:val="00C6169B"/>
    <w:rsid w:val="00C61AEA"/>
    <w:rsid w:val="00C62146"/>
    <w:rsid w:val="00C6218A"/>
    <w:rsid w:val="00C621C2"/>
    <w:rsid w:val="00C62379"/>
    <w:rsid w:val="00C6238D"/>
    <w:rsid w:val="00C62493"/>
    <w:rsid w:val="00C629C3"/>
    <w:rsid w:val="00C63160"/>
    <w:rsid w:val="00C632BC"/>
    <w:rsid w:val="00C633FF"/>
    <w:rsid w:val="00C634D4"/>
    <w:rsid w:val="00C63712"/>
    <w:rsid w:val="00C6392B"/>
    <w:rsid w:val="00C63E7F"/>
    <w:rsid w:val="00C6421B"/>
    <w:rsid w:val="00C646C0"/>
    <w:rsid w:val="00C64A17"/>
    <w:rsid w:val="00C64B32"/>
    <w:rsid w:val="00C64DC4"/>
    <w:rsid w:val="00C65087"/>
    <w:rsid w:val="00C6530C"/>
    <w:rsid w:val="00C65CD3"/>
    <w:rsid w:val="00C65E79"/>
    <w:rsid w:val="00C6664A"/>
    <w:rsid w:val="00C66C80"/>
    <w:rsid w:val="00C66EE5"/>
    <w:rsid w:val="00C66FC8"/>
    <w:rsid w:val="00C67360"/>
    <w:rsid w:val="00C67AB5"/>
    <w:rsid w:val="00C67FCA"/>
    <w:rsid w:val="00C70474"/>
    <w:rsid w:val="00C7048C"/>
    <w:rsid w:val="00C712CC"/>
    <w:rsid w:val="00C71B16"/>
    <w:rsid w:val="00C71B19"/>
    <w:rsid w:val="00C71BF8"/>
    <w:rsid w:val="00C71F5D"/>
    <w:rsid w:val="00C721F0"/>
    <w:rsid w:val="00C72346"/>
    <w:rsid w:val="00C72A5A"/>
    <w:rsid w:val="00C72BAE"/>
    <w:rsid w:val="00C72C26"/>
    <w:rsid w:val="00C73C20"/>
    <w:rsid w:val="00C73DC7"/>
    <w:rsid w:val="00C744FA"/>
    <w:rsid w:val="00C7468C"/>
    <w:rsid w:val="00C74946"/>
    <w:rsid w:val="00C74A1A"/>
    <w:rsid w:val="00C74CD2"/>
    <w:rsid w:val="00C75199"/>
    <w:rsid w:val="00C75683"/>
    <w:rsid w:val="00C7573D"/>
    <w:rsid w:val="00C7632D"/>
    <w:rsid w:val="00C76646"/>
    <w:rsid w:val="00C76802"/>
    <w:rsid w:val="00C768C7"/>
    <w:rsid w:val="00C76BDF"/>
    <w:rsid w:val="00C76DA0"/>
    <w:rsid w:val="00C775FB"/>
    <w:rsid w:val="00C77B57"/>
    <w:rsid w:val="00C80285"/>
    <w:rsid w:val="00C804E9"/>
    <w:rsid w:val="00C807A6"/>
    <w:rsid w:val="00C807F3"/>
    <w:rsid w:val="00C80DBF"/>
    <w:rsid w:val="00C81264"/>
    <w:rsid w:val="00C8131B"/>
    <w:rsid w:val="00C814E4"/>
    <w:rsid w:val="00C816C1"/>
    <w:rsid w:val="00C81804"/>
    <w:rsid w:val="00C818D1"/>
    <w:rsid w:val="00C81D81"/>
    <w:rsid w:val="00C81DDE"/>
    <w:rsid w:val="00C81E9D"/>
    <w:rsid w:val="00C81F20"/>
    <w:rsid w:val="00C824EB"/>
    <w:rsid w:val="00C82BB2"/>
    <w:rsid w:val="00C82F4A"/>
    <w:rsid w:val="00C831A9"/>
    <w:rsid w:val="00C831CB"/>
    <w:rsid w:val="00C83253"/>
    <w:rsid w:val="00C8327C"/>
    <w:rsid w:val="00C832DE"/>
    <w:rsid w:val="00C83599"/>
    <w:rsid w:val="00C835CB"/>
    <w:rsid w:val="00C83734"/>
    <w:rsid w:val="00C83F1C"/>
    <w:rsid w:val="00C83F54"/>
    <w:rsid w:val="00C8450A"/>
    <w:rsid w:val="00C84F45"/>
    <w:rsid w:val="00C85426"/>
    <w:rsid w:val="00C85455"/>
    <w:rsid w:val="00C8549B"/>
    <w:rsid w:val="00C85886"/>
    <w:rsid w:val="00C859FF"/>
    <w:rsid w:val="00C85AE6"/>
    <w:rsid w:val="00C863DE"/>
    <w:rsid w:val="00C86448"/>
    <w:rsid w:val="00C866AD"/>
    <w:rsid w:val="00C86C40"/>
    <w:rsid w:val="00C86FE7"/>
    <w:rsid w:val="00C8751F"/>
    <w:rsid w:val="00C87574"/>
    <w:rsid w:val="00C875D1"/>
    <w:rsid w:val="00C87640"/>
    <w:rsid w:val="00C87D67"/>
    <w:rsid w:val="00C90344"/>
    <w:rsid w:val="00C90AB4"/>
    <w:rsid w:val="00C90BF4"/>
    <w:rsid w:val="00C90C75"/>
    <w:rsid w:val="00C9105F"/>
    <w:rsid w:val="00C9134A"/>
    <w:rsid w:val="00C914EE"/>
    <w:rsid w:val="00C9189D"/>
    <w:rsid w:val="00C91A5B"/>
    <w:rsid w:val="00C91AA4"/>
    <w:rsid w:val="00C91C0C"/>
    <w:rsid w:val="00C91DED"/>
    <w:rsid w:val="00C91E86"/>
    <w:rsid w:val="00C9262A"/>
    <w:rsid w:val="00C92FCA"/>
    <w:rsid w:val="00C9321A"/>
    <w:rsid w:val="00C93443"/>
    <w:rsid w:val="00C937E0"/>
    <w:rsid w:val="00C93D96"/>
    <w:rsid w:val="00C93E27"/>
    <w:rsid w:val="00C93ECD"/>
    <w:rsid w:val="00C943AB"/>
    <w:rsid w:val="00C9485E"/>
    <w:rsid w:val="00C95BED"/>
    <w:rsid w:val="00C964F3"/>
    <w:rsid w:val="00C9683A"/>
    <w:rsid w:val="00C96A37"/>
    <w:rsid w:val="00C97A51"/>
    <w:rsid w:val="00C97B97"/>
    <w:rsid w:val="00CA0EF3"/>
    <w:rsid w:val="00CA1126"/>
    <w:rsid w:val="00CA11A9"/>
    <w:rsid w:val="00CA15CC"/>
    <w:rsid w:val="00CA15E3"/>
    <w:rsid w:val="00CA1F72"/>
    <w:rsid w:val="00CA2080"/>
    <w:rsid w:val="00CA21E9"/>
    <w:rsid w:val="00CA296D"/>
    <w:rsid w:val="00CA29ED"/>
    <w:rsid w:val="00CA2AAB"/>
    <w:rsid w:val="00CA2C11"/>
    <w:rsid w:val="00CA2E95"/>
    <w:rsid w:val="00CA2EAC"/>
    <w:rsid w:val="00CA2FC7"/>
    <w:rsid w:val="00CA384F"/>
    <w:rsid w:val="00CA3BC9"/>
    <w:rsid w:val="00CA4048"/>
    <w:rsid w:val="00CA42EC"/>
    <w:rsid w:val="00CA4506"/>
    <w:rsid w:val="00CA456A"/>
    <w:rsid w:val="00CA477C"/>
    <w:rsid w:val="00CA4C59"/>
    <w:rsid w:val="00CA4CB9"/>
    <w:rsid w:val="00CA4E0A"/>
    <w:rsid w:val="00CA53F6"/>
    <w:rsid w:val="00CA63AA"/>
    <w:rsid w:val="00CA63B2"/>
    <w:rsid w:val="00CA6870"/>
    <w:rsid w:val="00CA6913"/>
    <w:rsid w:val="00CA6A3E"/>
    <w:rsid w:val="00CA6BA9"/>
    <w:rsid w:val="00CA6D37"/>
    <w:rsid w:val="00CA6EA1"/>
    <w:rsid w:val="00CA7BC1"/>
    <w:rsid w:val="00CB08E7"/>
    <w:rsid w:val="00CB0EBC"/>
    <w:rsid w:val="00CB1334"/>
    <w:rsid w:val="00CB17C8"/>
    <w:rsid w:val="00CB215B"/>
    <w:rsid w:val="00CB2350"/>
    <w:rsid w:val="00CB23FE"/>
    <w:rsid w:val="00CB2748"/>
    <w:rsid w:val="00CB2827"/>
    <w:rsid w:val="00CB2A8D"/>
    <w:rsid w:val="00CB2B5A"/>
    <w:rsid w:val="00CB2BE5"/>
    <w:rsid w:val="00CB3625"/>
    <w:rsid w:val="00CB3640"/>
    <w:rsid w:val="00CB3B23"/>
    <w:rsid w:val="00CB3C3D"/>
    <w:rsid w:val="00CB3C61"/>
    <w:rsid w:val="00CB3FA2"/>
    <w:rsid w:val="00CB427D"/>
    <w:rsid w:val="00CB4413"/>
    <w:rsid w:val="00CB526F"/>
    <w:rsid w:val="00CB52BC"/>
    <w:rsid w:val="00CB5612"/>
    <w:rsid w:val="00CB589A"/>
    <w:rsid w:val="00CB58E2"/>
    <w:rsid w:val="00CB5CD3"/>
    <w:rsid w:val="00CB5E79"/>
    <w:rsid w:val="00CB630A"/>
    <w:rsid w:val="00CB674B"/>
    <w:rsid w:val="00CB6A27"/>
    <w:rsid w:val="00CB6A55"/>
    <w:rsid w:val="00CB6BCC"/>
    <w:rsid w:val="00CB6C09"/>
    <w:rsid w:val="00CB720D"/>
    <w:rsid w:val="00CB7689"/>
    <w:rsid w:val="00CB77F1"/>
    <w:rsid w:val="00CB7C08"/>
    <w:rsid w:val="00CB7E83"/>
    <w:rsid w:val="00CC02DC"/>
    <w:rsid w:val="00CC0466"/>
    <w:rsid w:val="00CC0952"/>
    <w:rsid w:val="00CC09F3"/>
    <w:rsid w:val="00CC107C"/>
    <w:rsid w:val="00CC139D"/>
    <w:rsid w:val="00CC176F"/>
    <w:rsid w:val="00CC20D0"/>
    <w:rsid w:val="00CC20E3"/>
    <w:rsid w:val="00CC2165"/>
    <w:rsid w:val="00CC21BF"/>
    <w:rsid w:val="00CC24D6"/>
    <w:rsid w:val="00CC2ADA"/>
    <w:rsid w:val="00CC2AFC"/>
    <w:rsid w:val="00CC2BF4"/>
    <w:rsid w:val="00CC3833"/>
    <w:rsid w:val="00CC3C5D"/>
    <w:rsid w:val="00CC4136"/>
    <w:rsid w:val="00CC4628"/>
    <w:rsid w:val="00CC4BD9"/>
    <w:rsid w:val="00CC4D03"/>
    <w:rsid w:val="00CC4D6C"/>
    <w:rsid w:val="00CC5A1C"/>
    <w:rsid w:val="00CC6368"/>
    <w:rsid w:val="00CC6497"/>
    <w:rsid w:val="00CC659E"/>
    <w:rsid w:val="00CC6691"/>
    <w:rsid w:val="00CC7083"/>
    <w:rsid w:val="00CC71C7"/>
    <w:rsid w:val="00CC772E"/>
    <w:rsid w:val="00CC7DC0"/>
    <w:rsid w:val="00CC7FAA"/>
    <w:rsid w:val="00CD03DB"/>
    <w:rsid w:val="00CD0482"/>
    <w:rsid w:val="00CD06C2"/>
    <w:rsid w:val="00CD0D05"/>
    <w:rsid w:val="00CD12B3"/>
    <w:rsid w:val="00CD134B"/>
    <w:rsid w:val="00CD13C7"/>
    <w:rsid w:val="00CD14B5"/>
    <w:rsid w:val="00CD18A7"/>
    <w:rsid w:val="00CD1B24"/>
    <w:rsid w:val="00CD1D4A"/>
    <w:rsid w:val="00CD1FB2"/>
    <w:rsid w:val="00CD2200"/>
    <w:rsid w:val="00CD230D"/>
    <w:rsid w:val="00CD27F5"/>
    <w:rsid w:val="00CD28E9"/>
    <w:rsid w:val="00CD2990"/>
    <w:rsid w:val="00CD2F5A"/>
    <w:rsid w:val="00CD3218"/>
    <w:rsid w:val="00CD328A"/>
    <w:rsid w:val="00CD3459"/>
    <w:rsid w:val="00CD3884"/>
    <w:rsid w:val="00CD3CAD"/>
    <w:rsid w:val="00CD3CC3"/>
    <w:rsid w:val="00CD43DB"/>
    <w:rsid w:val="00CD4DAA"/>
    <w:rsid w:val="00CD51C9"/>
    <w:rsid w:val="00CD51F3"/>
    <w:rsid w:val="00CD5906"/>
    <w:rsid w:val="00CD5FF8"/>
    <w:rsid w:val="00CD6617"/>
    <w:rsid w:val="00CD6D09"/>
    <w:rsid w:val="00CD6EE8"/>
    <w:rsid w:val="00CD721B"/>
    <w:rsid w:val="00CD77BC"/>
    <w:rsid w:val="00CD7865"/>
    <w:rsid w:val="00CD79BF"/>
    <w:rsid w:val="00CD7BFD"/>
    <w:rsid w:val="00CD7D1F"/>
    <w:rsid w:val="00CE003D"/>
    <w:rsid w:val="00CE00B0"/>
    <w:rsid w:val="00CE0BCC"/>
    <w:rsid w:val="00CE0C1D"/>
    <w:rsid w:val="00CE1133"/>
    <w:rsid w:val="00CE15B8"/>
    <w:rsid w:val="00CE170F"/>
    <w:rsid w:val="00CE187D"/>
    <w:rsid w:val="00CE1982"/>
    <w:rsid w:val="00CE19F5"/>
    <w:rsid w:val="00CE1B1A"/>
    <w:rsid w:val="00CE1F0F"/>
    <w:rsid w:val="00CE1FAE"/>
    <w:rsid w:val="00CE2F5F"/>
    <w:rsid w:val="00CE31DC"/>
    <w:rsid w:val="00CE336E"/>
    <w:rsid w:val="00CE33F1"/>
    <w:rsid w:val="00CE3663"/>
    <w:rsid w:val="00CE3793"/>
    <w:rsid w:val="00CE38B9"/>
    <w:rsid w:val="00CE3FEB"/>
    <w:rsid w:val="00CE40A3"/>
    <w:rsid w:val="00CE4161"/>
    <w:rsid w:val="00CE420C"/>
    <w:rsid w:val="00CE46B9"/>
    <w:rsid w:val="00CE4912"/>
    <w:rsid w:val="00CE4AD4"/>
    <w:rsid w:val="00CE4BB6"/>
    <w:rsid w:val="00CE4CE8"/>
    <w:rsid w:val="00CE5766"/>
    <w:rsid w:val="00CE583E"/>
    <w:rsid w:val="00CE5A85"/>
    <w:rsid w:val="00CE5AEE"/>
    <w:rsid w:val="00CE6993"/>
    <w:rsid w:val="00CE6C08"/>
    <w:rsid w:val="00CE6C71"/>
    <w:rsid w:val="00CE6F3E"/>
    <w:rsid w:val="00CE6F7F"/>
    <w:rsid w:val="00CE7362"/>
    <w:rsid w:val="00CE776F"/>
    <w:rsid w:val="00CE7B0C"/>
    <w:rsid w:val="00CE7B69"/>
    <w:rsid w:val="00CE7C41"/>
    <w:rsid w:val="00CF0B76"/>
    <w:rsid w:val="00CF0D2A"/>
    <w:rsid w:val="00CF0D6B"/>
    <w:rsid w:val="00CF1164"/>
    <w:rsid w:val="00CF178A"/>
    <w:rsid w:val="00CF185B"/>
    <w:rsid w:val="00CF206F"/>
    <w:rsid w:val="00CF2154"/>
    <w:rsid w:val="00CF2734"/>
    <w:rsid w:val="00CF2A37"/>
    <w:rsid w:val="00CF2D31"/>
    <w:rsid w:val="00CF3217"/>
    <w:rsid w:val="00CF3228"/>
    <w:rsid w:val="00CF32C0"/>
    <w:rsid w:val="00CF35B1"/>
    <w:rsid w:val="00CF3CEA"/>
    <w:rsid w:val="00CF5082"/>
    <w:rsid w:val="00CF5B98"/>
    <w:rsid w:val="00CF611E"/>
    <w:rsid w:val="00CF6554"/>
    <w:rsid w:val="00CF65C6"/>
    <w:rsid w:val="00CF66AA"/>
    <w:rsid w:val="00CF66AC"/>
    <w:rsid w:val="00CF6958"/>
    <w:rsid w:val="00CF6D14"/>
    <w:rsid w:val="00CF6E5B"/>
    <w:rsid w:val="00CF6F17"/>
    <w:rsid w:val="00CF7777"/>
    <w:rsid w:val="00CF7883"/>
    <w:rsid w:val="00CF7DCE"/>
    <w:rsid w:val="00CF7F48"/>
    <w:rsid w:val="00D0014E"/>
    <w:rsid w:val="00D00192"/>
    <w:rsid w:val="00D004A8"/>
    <w:rsid w:val="00D00677"/>
    <w:rsid w:val="00D00A6A"/>
    <w:rsid w:val="00D00A82"/>
    <w:rsid w:val="00D00B82"/>
    <w:rsid w:val="00D00D1F"/>
    <w:rsid w:val="00D011A9"/>
    <w:rsid w:val="00D01230"/>
    <w:rsid w:val="00D014EB"/>
    <w:rsid w:val="00D01827"/>
    <w:rsid w:val="00D01A88"/>
    <w:rsid w:val="00D01BAB"/>
    <w:rsid w:val="00D01FC6"/>
    <w:rsid w:val="00D0286C"/>
    <w:rsid w:val="00D02AFD"/>
    <w:rsid w:val="00D02B35"/>
    <w:rsid w:val="00D02CA4"/>
    <w:rsid w:val="00D02DAD"/>
    <w:rsid w:val="00D0342D"/>
    <w:rsid w:val="00D03696"/>
    <w:rsid w:val="00D037BA"/>
    <w:rsid w:val="00D03B78"/>
    <w:rsid w:val="00D03BC3"/>
    <w:rsid w:val="00D03F05"/>
    <w:rsid w:val="00D046DB"/>
    <w:rsid w:val="00D04793"/>
    <w:rsid w:val="00D0479E"/>
    <w:rsid w:val="00D0497B"/>
    <w:rsid w:val="00D0529B"/>
    <w:rsid w:val="00D05454"/>
    <w:rsid w:val="00D05C47"/>
    <w:rsid w:val="00D05F24"/>
    <w:rsid w:val="00D0624A"/>
    <w:rsid w:val="00D06491"/>
    <w:rsid w:val="00D07121"/>
    <w:rsid w:val="00D07188"/>
    <w:rsid w:val="00D076C3"/>
    <w:rsid w:val="00D07DEE"/>
    <w:rsid w:val="00D10271"/>
    <w:rsid w:val="00D105DF"/>
    <w:rsid w:val="00D10DF7"/>
    <w:rsid w:val="00D114CD"/>
    <w:rsid w:val="00D118D4"/>
    <w:rsid w:val="00D11914"/>
    <w:rsid w:val="00D119F2"/>
    <w:rsid w:val="00D11FD6"/>
    <w:rsid w:val="00D12371"/>
    <w:rsid w:val="00D12410"/>
    <w:rsid w:val="00D12C02"/>
    <w:rsid w:val="00D12F26"/>
    <w:rsid w:val="00D1331A"/>
    <w:rsid w:val="00D13BE8"/>
    <w:rsid w:val="00D13D79"/>
    <w:rsid w:val="00D14112"/>
    <w:rsid w:val="00D14A5C"/>
    <w:rsid w:val="00D15440"/>
    <w:rsid w:val="00D156E8"/>
    <w:rsid w:val="00D15972"/>
    <w:rsid w:val="00D162AD"/>
    <w:rsid w:val="00D163DE"/>
    <w:rsid w:val="00D163FE"/>
    <w:rsid w:val="00D16477"/>
    <w:rsid w:val="00D1648D"/>
    <w:rsid w:val="00D166BA"/>
    <w:rsid w:val="00D16D9C"/>
    <w:rsid w:val="00D16F6D"/>
    <w:rsid w:val="00D174EC"/>
    <w:rsid w:val="00D1761E"/>
    <w:rsid w:val="00D177F0"/>
    <w:rsid w:val="00D17927"/>
    <w:rsid w:val="00D17A8A"/>
    <w:rsid w:val="00D17AAE"/>
    <w:rsid w:val="00D17D78"/>
    <w:rsid w:val="00D20041"/>
    <w:rsid w:val="00D2004B"/>
    <w:rsid w:val="00D2080F"/>
    <w:rsid w:val="00D20A86"/>
    <w:rsid w:val="00D20D85"/>
    <w:rsid w:val="00D20FEA"/>
    <w:rsid w:val="00D21386"/>
    <w:rsid w:val="00D2164F"/>
    <w:rsid w:val="00D21663"/>
    <w:rsid w:val="00D2168C"/>
    <w:rsid w:val="00D2193C"/>
    <w:rsid w:val="00D21BFB"/>
    <w:rsid w:val="00D21C04"/>
    <w:rsid w:val="00D22C86"/>
    <w:rsid w:val="00D23046"/>
    <w:rsid w:val="00D2316B"/>
    <w:rsid w:val="00D232C6"/>
    <w:rsid w:val="00D236D8"/>
    <w:rsid w:val="00D23F29"/>
    <w:rsid w:val="00D242F7"/>
    <w:rsid w:val="00D254B6"/>
    <w:rsid w:val="00D254FC"/>
    <w:rsid w:val="00D25862"/>
    <w:rsid w:val="00D2595C"/>
    <w:rsid w:val="00D2636D"/>
    <w:rsid w:val="00D26386"/>
    <w:rsid w:val="00D26492"/>
    <w:rsid w:val="00D2665C"/>
    <w:rsid w:val="00D26A05"/>
    <w:rsid w:val="00D26A80"/>
    <w:rsid w:val="00D26D3F"/>
    <w:rsid w:val="00D26E02"/>
    <w:rsid w:val="00D2701D"/>
    <w:rsid w:val="00D27164"/>
    <w:rsid w:val="00D2731B"/>
    <w:rsid w:val="00D27663"/>
    <w:rsid w:val="00D27C9D"/>
    <w:rsid w:val="00D302FC"/>
    <w:rsid w:val="00D3044B"/>
    <w:rsid w:val="00D30B8E"/>
    <w:rsid w:val="00D30E12"/>
    <w:rsid w:val="00D311C5"/>
    <w:rsid w:val="00D314C3"/>
    <w:rsid w:val="00D32409"/>
    <w:rsid w:val="00D32714"/>
    <w:rsid w:val="00D32C30"/>
    <w:rsid w:val="00D32D1E"/>
    <w:rsid w:val="00D3382E"/>
    <w:rsid w:val="00D33A47"/>
    <w:rsid w:val="00D33A6E"/>
    <w:rsid w:val="00D3451B"/>
    <w:rsid w:val="00D35096"/>
    <w:rsid w:val="00D35399"/>
    <w:rsid w:val="00D3605D"/>
    <w:rsid w:val="00D3621C"/>
    <w:rsid w:val="00D367CD"/>
    <w:rsid w:val="00D369E5"/>
    <w:rsid w:val="00D36C1C"/>
    <w:rsid w:val="00D36E2C"/>
    <w:rsid w:val="00D36FC2"/>
    <w:rsid w:val="00D37269"/>
    <w:rsid w:val="00D373C7"/>
    <w:rsid w:val="00D37606"/>
    <w:rsid w:val="00D378C9"/>
    <w:rsid w:val="00D37E45"/>
    <w:rsid w:val="00D404A9"/>
    <w:rsid w:val="00D40533"/>
    <w:rsid w:val="00D4056F"/>
    <w:rsid w:val="00D407FF"/>
    <w:rsid w:val="00D409DB"/>
    <w:rsid w:val="00D40CFE"/>
    <w:rsid w:val="00D40DB1"/>
    <w:rsid w:val="00D40ECC"/>
    <w:rsid w:val="00D412F0"/>
    <w:rsid w:val="00D418AE"/>
    <w:rsid w:val="00D41C8B"/>
    <w:rsid w:val="00D41F3B"/>
    <w:rsid w:val="00D42657"/>
    <w:rsid w:val="00D42781"/>
    <w:rsid w:val="00D42C21"/>
    <w:rsid w:val="00D43092"/>
    <w:rsid w:val="00D432CE"/>
    <w:rsid w:val="00D43AD8"/>
    <w:rsid w:val="00D43EED"/>
    <w:rsid w:val="00D4450C"/>
    <w:rsid w:val="00D44FB6"/>
    <w:rsid w:val="00D4544E"/>
    <w:rsid w:val="00D45825"/>
    <w:rsid w:val="00D45911"/>
    <w:rsid w:val="00D45990"/>
    <w:rsid w:val="00D45CE0"/>
    <w:rsid w:val="00D45D3F"/>
    <w:rsid w:val="00D45F6A"/>
    <w:rsid w:val="00D461DF"/>
    <w:rsid w:val="00D46209"/>
    <w:rsid w:val="00D462EA"/>
    <w:rsid w:val="00D46401"/>
    <w:rsid w:val="00D464D9"/>
    <w:rsid w:val="00D4659E"/>
    <w:rsid w:val="00D465CA"/>
    <w:rsid w:val="00D46CD7"/>
    <w:rsid w:val="00D46F4E"/>
    <w:rsid w:val="00D47470"/>
    <w:rsid w:val="00D47F15"/>
    <w:rsid w:val="00D5069E"/>
    <w:rsid w:val="00D50981"/>
    <w:rsid w:val="00D50B06"/>
    <w:rsid w:val="00D510BA"/>
    <w:rsid w:val="00D512B4"/>
    <w:rsid w:val="00D515C9"/>
    <w:rsid w:val="00D51617"/>
    <w:rsid w:val="00D5173B"/>
    <w:rsid w:val="00D5181C"/>
    <w:rsid w:val="00D51FEB"/>
    <w:rsid w:val="00D52268"/>
    <w:rsid w:val="00D52597"/>
    <w:rsid w:val="00D52614"/>
    <w:rsid w:val="00D52B8E"/>
    <w:rsid w:val="00D52DDB"/>
    <w:rsid w:val="00D52F53"/>
    <w:rsid w:val="00D53184"/>
    <w:rsid w:val="00D531B7"/>
    <w:rsid w:val="00D536E5"/>
    <w:rsid w:val="00D5399F"/>
    <w:rsid w:val="00D53B05"/>
    <w:rsid w:val="00D5408F"/>
    <w:rsid w:val="00D543E2"/>
    <w:rsid w:val="00D54436"/>
    <w:rsid w:val="00D544AE"/>
    <w:rsid w:val="00D54C9D"/>
    <w:rsid w:val="00D54E95"/>
    <w:rsid w:val="00D55439"/>
    <w:rsid w:val="00D55522"/>
    <w:rsid w:val="00D555D7"/>
    <w:rsid w:val="00D5599B"/>
    <w:rsid w:val="00D55B0F"/>
    <w:rsid w:val="00D55D36"/>
    <w:rsid w:val="00D55DB7"/>
    <w:rsid w:val="00D55DDC"/>
    <w:rsid w:val="00D55FF8"/>
    <w:rsid w:val="00D56495"/>
    <w:rsid w:val="00D56668"/>
    <w:rsid w:val="00D569F3"/>
    <w:rsid w:val="00D56FE8"/>
    <w:rsid w:val="00D57453"/>
    <w:rsid w:val="00D578E7"/>
    <w:rsid w:val="00D57B62"/>
    <w:rsid w:val="00D57B9A"/>
    <w:rsid w:val="00D57BBC"/>
    <w:rsid w:val="00D60049"/>
    <w:rsid w:val="00D602AB"/>
    <w:rsid w:val="00D60AC5"/>
    <w:rsid w:val="00D60DEE"/>
    <w:rsid w:val="00D61215"/>
    <w:rsid w:val="00D61246"/>
    <w:rsid w:val="00D613AD"/>
    <w:rsid w:val="00D6179E"/>
    <w:rsid w:val="00D61949"/>
    <w:rsid w:val="00D61DFE"/>
    <w:rsid w:val="00D61F23"/>
    <w:rsid w:val="00D622DC"/>
    <w:rsid w:val="00D62754"/>
    <w:rsid w:val="00D627EB"/>
    <w:rsid w:val="00D629BD"/>
    <w:rsid w:val="00D62CE2"/>
    <w:rsid w:val="00D62D3F"/>
    <w:rsid w:val="00D62E3A"/>
    <w:rsid w:val="00D62EE5"/>
    <w:rsid w:val="00D62FAD"/>
    <w:rsid w:val="00D63070"/>
    <w:rsid w:val="00D64290"/>
    <w:rsid w:val="00D6431B"/>
    <w:rsid w:val="00D64886"/>
    <w:rsid w:val="00D6495D"/>
    <w:rsid w:val="00D64A95"/>
    <w:rsid w:val="00D64D34"/>
    <w:rsid w:val="00D64ED7"/>
    <w:rsid w:val="00D65130"/>
    <w:rsid w:val="00D65437"/>
    <w:rsid w:val="00D656CB"/>
    <w:rsid w:val="00D6589A"/>
    <w:rsid w:val="00D658DD"/>
    <w:rsid w:val="00D65969"/>
    <w:rsid w:val="00D66D7B"/>
    <w:rsid w:val="00D673C4"/>
    <w:rsid w:val="00D679B4"/>
    <w:rsid w:val="00D67FA0"/>
    <w:rsid w:val="00D70345"/>
    <w:rsid w:val="00D704CC"/>
    <w:rsid w:val="00D70787"/>
    <w:rsid w:val="00D7088C"/>
    <w:rsid w:val="00D70EE4"/>
    <w:rsid w:val="00D711B1"/>
    <w:rsid w:val="00D7160E"/>
    <w:rsid w:val="00D71649"/>
    <w:rsid w:val="00D71837"/>
    <w:rsid w:val="00D71E8D"/>
    <w:rsid w:val="00D72042"/>
    <w:rsid w:val="00D72469"/>
    <w:rsid w:val="00D724DD"/>
    <w:rsid w:val="00D72716"/>
    <w:rsid w:val="00D72754"/>
    <w:rsid w:val="00D72D86"/>
    <w:rsid w:val="00D72F31"/>
    <w:rsid w:val="00D73530"/>
    <w:rsid w:val="00D741F9"/>
    <w:rsid w:val="00D7428A"/>
    <w:rsid w:val="00D742E5"/>
    <w:rsid w:val="00D74338"/>
    <w:rsid w:val="00D7453F"/>
    <w:rsid w:val="00D74722"/>
    <w:rsid w:val="00D74E1B"/>
    <w:rsid w:val="00D76262"/>
    <w:rsid w:val="00D76622"/>
    <w:rsid w:val="00D76811"/>
    <w:rsid w:val="00D76D1E"/>
    <w:rsid w:val="00D76DC6"/>
    <w:rsid w:val="00D76DEB"/>
    <w:rsid w:val="00D76FF4"/>
    <w:rsid w:val="00D77007"/>
    <w:rsid w:val="00D77022"/>
    <w:rsid w:val="00D77231"/>
    <w:rsid w:val="00D77B8A"/>
    <w:rsid w:val="00D77EB3"/>
    <w:rsid w:val="00D801FC"/>
    <w:rsid w:val="00D802C7"/>
    <w:rsid w:val="00D804F8"/>
    <w:rsid w:val="00D80C84"/>
    <w:rsid w:val="00D81C5E"/>
    <w:rsid w:val="00D81FDA"/>
    <w:rsid w:val="00D825BC"/>
    <w:rsid w:val="00D82632"/>
    <w:rsid w:val="00D82719"/>
    <w:rsid w:val="00D83065"/>
    <w:rsid w:val="00D835C3"/>
    <w:rsid w:val="00D8387A"/>
    <w:rsid w:val="00D839D1"/>
    <w:rsid w:val="00D83A6A"/>
    <w:rsid w:val="00D83E12"/>
    <w:rsid w:val="00D8411B"/>
    <w:rsid w:val="00D84234"/>
    <w:rsid w:val="00D8475D"/>
    <w:rsid w:val="00D84C11"/>
    <w:rsid w:val="00D84D8F"/>
    <w:rsid w:val="00D85067"/>
    <w:rsid w:val="00D85519"/>
    <w:rsid w:val="00D85622"/>
    <w:rsid w:val="00D856E0"/>
    <w:rsid w:val="00D858CA"/>
    <w:rsid w:val="00D85A52"/>
    <w:rsid w:val="00D85FE9"/>
    <w:rsid w:val="00D860D0"/>
    <w:rsid w:val="00D86415"/>
    <w:rsid w:val="00D8659F"/>
    <w:rsid w:val="00D86785"/>
    <w:rsid w:val="00D86D0B"/>
    <w:rsid w:val="00D90549"/>
    <w:rsid w:val="00D908FD"/>
    <w:rsid w:val="00D90970"/>
    <w:rsid w:val="00D909EA"/>
    <w:rsid w:val="00D90BA1"/>
    <w:rsid w:val="00D90C25"/>
    <w:rsid w:val="00D91013"/>
    <w:rsid w:val="00D91281"/>
    <w:rsid w:val="00D913C9"/>
    <w:rsid w:val="00D91588"/>
    <w:rsid w:val="00D91B41"/>
    <w:rsid w:val="00D91E60"/>
    <w:rsid w:val="00D92440"/>
    <w:rsid w:val="00D92860"/>
    <w:rsid w:val="00D9290A"/>
    <w:rsid w:val="00D9332E"/>
    <w:rsid w:val="00D935CE"/>
    <w:rsid w:val="00D93704"/>
    <w:rsid w:val="00D94178"/>
    <w:rsid w:val="00D942E2"/>
    <w:rsid w:val="00D945B2"/>
    <w:rsid w:val="00D9485A"/>
    <w:rsid w:val="00D94C85"/>
    <w:rsid w:val="00D94F33"/>
    <w:rsid w:val="00D9509E"/>
    <w:rsid w:val="00D9529C"/>
    <w:rsid w:val="00D953CB"/>
    <w:rsid w:val="00D95601"/>
    <w:rsid w:val="00D95B39"/>
    <w:rsid w:val="00D95BE5"/>
    <w:rsid w:val="00D9612C"/>
    <w:rsid w:val="00D969B7"/>
    <w:rsid w:val="00D96E04"/>
    <w:rsid w:val="00D970AE"/>
    <w:rsid w:val="00D97C0A"/>
    <w:rsid w:val="00DA0101"/>
    <w:rsid w:val="00DA04DF"/>
    <w:rsid w:val="00DA0766"/>
    <w:rsid w:val="00DA195A"/>
    <w:rsid w:val="00DA1987"/>
    <w:rsid w:val="00DA1CB3"/>
    <w:rsid w:val="00DA204D"/>
    <w:rsid w:val="00DA2055"/>
    <w:rsid w:val="00DA2344"/>
    <w:rsid w:val="00DA2815"/>
    <w:rsid w:val="00DA298C"/>
    <w:rsid w:val="00DA2B58"/>
    <w:rsid w:val="00DA2DF9"/>
    <w:rsid w:val="00DA33DE"/>
    <w:rsid w:val="00DA346D"/>
    <w:rsid w:val="00DA34A5"/>
    <w:rsid w:val="00DA385E"/>
    <w:rsid w:val="00DA4303"/>
    <w:rsid w:val="00DA44A8"/>
    <w:rsid w:val="00DA45D6"/>
    <w:rsid w:val="00DA45EF"/>
    <w:rsid w:val="00DA4C2E"/>
    <w:rsid w:val="00DA500B"/>
    <w:rsid w:val="00DA5349"/>
    <w:rsid w:val="00DA60E0"/>
    <w:rsid w:val="00DA629C"/>
    <w:rsid w:val="00DA6C6D"/>
    <w:rsid w:val="00DA700C"/>
    <w:rsid w:val="00DA75B4"/>
    <w:rsid w:val="00DA772F"/>
    <w:rsid w:val="00DA79A3"/>
    <w:rsid w:val="00DA7F9C"/>
    <w:rsid w:val="00DB011A"/>
    <w:rsid w:val="00DB0359"/>
    <w:rsid w:val="00DB05C6"/>
    <w:rsid w:val="00DB05CE"/>
    <w:rsid w:val="00DB1640"/>
    <w:rsid w:val="00DB199C"/>
    <w:rsid w:val="00DB1E46"/>
    <w:rsid w:val="00DB1FDC"/>
    <w:rsid w:val="00DB20D8"/>
    <w:rsid w:val="00DB2144"/>
    <w:rsid w:val="00DB222F"/>
    <w:rsid w:val="00DB24C1"/>
    <w:rsid w:val="00DB2543"/>
    <w:rsid w:val="00DB265D"/>
    <w:rsid w:val="00DB2864"/>
    <w:rsid w:val="00DB288E"/>
    <w:rsid w:val="00DB2A6A"/>
    <w:rsid w:val="00DB30B1"/>
    <w:rsid w:val="00DB3434"/>
    <w:rsid w:val="00DB3468"/>
    <w:rsid w:val="00DB346D"/>
    <w:rsid w:val="00DB3C17"/>
    <w:rsid w:val="00DB3F4E"/>
    <w:rsid w:val="00DB4FAA"/>
    <w:rsid w:val="00DB51FE"/>
    <w:rsid w:val="00DB5258"/>
    <w:rsid w:val="00DB5285"/>
    <w:rsid w:val="00DB5A7A"/>
    <w:rsid w:val="00DB620A"/>
    <w:rsid w:val="00DB62F0"/>
    <w:rsid w:val="00DB63AC"/>
    <w:rsid w:val="00DB6631"/>
    <w:rsid w:val="00DB6742"/>
    <w:rsid w:val="00DB7086"/>
    <w:rsid w:val="00DB71EB"/>
    <w:rsid w:val="00DB7516"/>
    <w:rsid w:val="00DB779E"/>
    <w:rsid w:val="00DB7A9D"/>
    <w:rsid w:val="00DB7EAE"/>
    <w:rsid w:val="00DB7FAD"/>
    <w:rsid w:val="00DB7FE7"/>
    <w:rsid w:val="00DC00FA"/>
    <w:rsid w:val="00DC0749"/>
    <w:rsid w:val="00DC0813"/>
    <w:rsid w:val="00DC08B5"/>
    <w:rsid w:val="00DC14F2"/>
    <w:rsid w:val="00DC24DC"/>
    <w:rsid w:val="00DC2677"/>
    <w:rsid w:val="00DC2846"/>
    <w:rsid w:val="00DC2C4C"/>
    <w:rsid w:val="00DC2DF4"/>
    <w:rsid w:val="00DC31A3"/>
    <w:rsid w:val="00DC31F3"/>
    <w:rsid w:val="00DC3316"/>
    <w:rsid w:val="00DC3584"/>
    <w:rsid w:val="00DC44BF"/>
    <w:rsid w:val="00DC4BE3"/>
    <w:rsid w:val="00DC4F78"/>
    <w:rsid w:val="00DC50BB"/>
    <w:rsid w:val="00DC5211"/>
    <w:rsid w:val="00DC563A"/>
    <w:rsid w:val="00DC5821"/>
    <w:rsid w:val="00DC5A7F"/>
    <w:rsid w:val="00DC5D4D"/>
    <w:rsid w:val="00DC5F03"/>
    <w:rsid w:val="00DC62EF"/>
    <w:rsid w:val="00DC6A06"/>
    <w:rsid w:val="00DC6AAD"/>
    <w:rsid w:val="00DC6AD7"/>
    <w:rsid w:val="00DC6BAC"/>
    <w:rsid w:val="00DC6FAD"/>
    <w:rsid w:val="00DC705D"/>
    <w:rsid w:val="00DC7E9E"/>
    <w:rsid w:val="00DD0189"/>
    <w:rsid w:val="00DD04C3"/>
    <w:rsid w:val="00DD05DC"/>
    <w:rsid w:val="00DD07AB"/>
    <w:rsid w:val="00DD09BD"/>
    <w:rsid w:val="00DD0B61"/>
    <w:rsid w:val="00DD0BAE"/>
    <w:rsid w:val="00DD0CA3"/>
    <w:rsid w:val="00DD1611"/>
    <w:rsid w:val="00DD1654"/>
    <w:rsid w:val="00DD17C7"/>
    <w:rsid w:val="00DD1E5B"/>
    <w:rsid w:val="00DD24FA"/>
    <w:rsid w:val="00DD258A"/>
    <w:rsid w:val="00DD26D6"/>
    <w:rsid w:val="00DD273B"/>
    <w:rsid w:val="00DD2818"/>
    <w:rsid w:val="00DD2B61"/>
    <w:rsid w:val="00DD2B82"/>
    <w:rsid w:val="00DD30F4"/>
    <w:rsid w:val="00DD32E3"/>
    <w:rsid w:val="00DD37F1"/>
    <w:rsid w:val="00DD39C7"/>
    <w:rsid w:val="00DD39CA"/>
    <w:rsid w:val="00DD459B"/>
    <w:rsid w:val="00DD4646"/>
    <w:rsid w:val="00DD46EE"/>
    <w:rsid w:val="00DD53C4"/>
    <w:rsid w:val="00DD5646"/>
    <w:rsid w:val="00DD5698"/>
    <w:rsid w:val="00DD5925"/>
    <w:rsid w:val="00DD5C3E"/>
    <w:rsid w:val="00DD5DCE"/>
    <w:rsid w:val="00DD61A8"/>
    <w:rsid w:val="00DD641C"/>
    <w:rsid w:val="00DD64B8"/>
    <w:rsid w:val="00DD6676"/>
    <w:rsid w:val="00DD6AAB"/>
    <w:rsid w:val="00DD6B2A"/>
    <w:rsid w:val="00DD6C97"/>
    <w:rsid w:val="00DD6E60"/>
    <w:rsid w:val="00DD709C"/>
    <w:rsid w:val="00DD75D7"/>
    <w:rsid w:val="00DD7643"/>
    <w:rsid w:val="00DD7690"/>
    <w:rsid w:val="00DD76A3"/>
    <w:rsid w:val="00DD77A3"/>
    <w:rsid w:val="00DD7CDE"/>
    <w:rsid w:val="00DD7E68"/>
    <w:rsid w:val="00DD7FD1"/>
    <w:rsid w:val="00DE0096"/>
    <w:rsid w:val="00DE02EC"/>
    <w:rsid w:val="00DE0745"/>
    <w:rsid w:val="00DE080F"/>
    <w:rsid w:val="00DE0977"/>
    <w:rsid w:val="00DE0B13"/>
    <w:rsid w:val="00DE0E4A"/>
    <w:rsid w:val="00DE0ED5"/>
    <w:rsid w:val="00DE10BB"/>
    <w:rsid w:val="00DE120A"/>
    <w:rsid w:val="00DE1291"/>
    <w:rsid w:val="00DE172D"/>
    <w:rsid w:val="00DE19B0"/>
    <w:rsid w:val="00DE19CF"/>
    <w:rsid w:val="00DE1E1E"/>
    <w:rsid w:val="00DE217F"/>
    <w:rsid w:val="00DE26EF"/>
    <w:rsid w:val="00DE2740"/>
    <w:rsid w:val="00DE2D64"/>
    <w:rsid w:val="00DE2DF1"/>
    <w:rsid w:val="00DE2E51"/>
    <w:rsid w:val="00DE3476"/>
    <w:rsid w:val="00DE35AD"/>
    <w:rsid w:val="00DE385F"/>
    <w:rsid w:val="00DE3B9C"/>
    <w:rsid w:val="00DE3CA2"/>
    <w:rsid w:val="00DE3D3B"/>
    <w:rsid w:val="00DE3DB6"/>
    <w:rsid w:val="00DE410E"/>
    <w:rsid w:val="00DE419D"/>
    <w:rsid w:val="00DE42A3"/>
    <w:rsid w:val="00DE4632"/>
    <w:rsid w:val="00DE47D2"/>
    <w:rsid w:val="00DE5474"/>
    <w:rsid w:val="00DE5C64"/>
    <w:rsid w:val="00DE5D1E"/>
    <w:rsid w:val="00DE5D74"/>
    <w:rsid w:val="00DE6060"/>
    <w:rsid w:val="00DE6534"/>
    <w:rsid w:val="00DE6E31"/>
    <w:rsid w:val="00DE6F22"/>
    <w:rsid w:val="00DE70F5"/>
    <w:rsid w:val="00DE7E1F"/>
    <w:rsid w:val="00DF0044"/>
    <w:rsid w:val="00DF092A"/>
    <w:rsid w:val="00DF094B"/>
    <w:rsid w:val="00DF0D11"/>
    <w:rsid w:val="00DF121A"/>
    <w:rsid w:val="00DF15FD"/>
    <w:rsid w:val="00DF1C55"/>
    <w:rsid w:val="00DF21AC"/>
    <w:rsid w:val="00DF21D0"/>
    <w:rsid w:val="00DF2487"/>
    <w:rsid w:val="00DF2633"/>
    <w:rsid w:val="00DF2CEC"/>
    <w:rsid w:val="00DF2D19"/>
    <w:rsid w:val="00DF2E8C"/>
    <w:rsid w:val="00DF2EA1"/>
    <w:rsid w:val="00DF2EEC"/>
    <w:rsid w:val="00DF3615"/>
    <w:rsid w:val="00DF39CB"/>
    <w:rsid w:val="00DF3A66"/>
    <w:rsid w:val="00DF3B3C"/>
    <w:rsid w:val="00DF3D0A"/>
    <w:rsid w:val="00DF402F"/>
    <w:rsid w:val="00DF4386"/>
    <w:rsid w:val="00DF4865"/>
    <w:rsid w:val="00DF49F2"/>
    <w:rsid w:val="00DF5363"/>
    <w:rsid w:val="00DF58B4"/>
    <w:rsid w:val="00DF58F5"/>
    <w:rsid w:val="00DF5C45"/>
    <w:rsid w:val="00DF5C71"/>
    <w:rsid w:val="00DF5CE7"/>
    <w:rsid w:val="00DF5DBF"/>
    <w:rsid w:val="00DF5EA8"/>
    <w:rsid w:val="00DF5EB1"/>
    <w:rsid w:val="00DF61DE"/>
    <w:rsid w:val="00DF6D92"/>
    <w:rsid w:val="00DF6D93"/>
    <w:rsid w:val="00DF6DD4"/>
    <w:rsid w:val="00DF6E8F"/>
    <w:rsid w:val="00DF7219"/>
    <w:rsid w:val="00DF7286"/>
    <w:rsid w:val="00DF7572"/>
    <w:rsid w:val="00DF7C90"/>
    <w:rsid w:val="00E00211"/>
    <w:rsid w:val="00E007F4"/>
    <w:rsid w:val="00E00AD2"/>
    <w:rsid w:val="00E00BFC"/>
    <w:rsid w:val="00E00DFE"/>
    <w:rsid w:val="00E00E04"/>
    <w:rsid w:val="00E0118D"/>
    <w:rsid w:val="00E01321"/>
    <w:rsid w:val="00E01655"/>
    <w:rsid w:val="00E016CB"/>
    <w:rsid w:val="00E01768"/>
    <w:rsid w:val="00E01C92"/>
    <w:rsid w:val="00E01E49"/>
    <w:rsid w:val="00E0231B"/>
    <w:rsid w:val="00E027FC"/>
    <w:rsid w:val="00E02AD2"/>
    <w:rsid w:val="00E0422A"/>
    <w:rsid w:val="00E044FC"/>
    <w:rsid w:val="00E0479C"/>
    <w:rsid w:val="00E04BFA"/>
    <w:rsid w:val="00E04C34"/>
    <w:rsid w:val="00E04DF7"/>
    <w:rsid w:val="00E054F2"/>
    <w:rsid w:val="00E05E3B"/>
    <w:rsid w:val="00E05E96"/>
    <w:rsid w:val="00E06246"/>
    <w:rsid w:val="00E06724"/>
    <w:rsid w:val="00E0695E"/>
    <w:rsid w:val="00E06F88"/>
    <w:rsid w:val="00E06FA7"/>
    <w:rsid w:val="00E07059"/>
    <w:rsid w:val="00E07410"/>
    <w:rsid w:val="00E07426"/>
    <w:rsid w:val="00E07455"/>
    <w:rsid w:val="00E07583"/>
    <w:rsid w:val="00E07D14"/>
    <w:rsid w:val="00E10D39"/>
    <w:rsid w:val="00E118BC"/>
    <w:rsid w:val="00E118D2"/>
    <w:rsid w:val="00E11C74"/>
    <w:rsid w:val="00E11CF0"/>
    <w:rsid w:val="00E12790"/>
    <w:rsid w:val="00E128CE"/>
    <w:rsid w:val="00E12BB3"/>
    <w:rsid w:val="00E1338A"/>
    <w:rsid w:val="00E13A25"/>
    <w:rsid w:val="00E13E7C"/>
    <w:rsid w:val="00E141CD"/>
    <w:rsid w:val="00E145D8"/>
    <w:rsid w:val="00E1487B"/>
    <w:rsid w:val="00E14900"/>
    <w:rsid w:val="00E14C5E"/>
    <w:rsid w:val="00E155DA"/>
    <w:rsid w:val="00E157E2"/>
    <w:rsid w:val="00E15872"/>
    <w:rsid w:val="00E15A37"/>
    <w:rsid w:val="00E163FB"/>
    <w:rsid w:val="00E1651F"/>
    <w:rsid w:val="00E16BD8"/>
    <w:rsid w:val="00E17334"/>
    <w:rsid w:val="00E173A9"/>
    <w:rsid w:val="00E176D8"/>
    <w:rsid w:val="00E2026C"/>
    <w:rsid w:val="00E20333"/>
    <w:rsid w:val="00E20395"/>
    <w:rsid w:val="00E2067B"/>
    <w:rsid w:val="00E208B4"/>
    <w:rsid w:val="00E21035"/>
    <w:rsid w:val="00E21043"/>
    <w:rsid w:val="00E2152D"/>
    <w:rsid w:val="00E2159B"/>
    <w:rsid w:val="00E2275B"/>
    <w:rsid w:val="00E22A48"/>
    <w:rsid w:val="00E22D63"/>
    <w:rsid w:val="00E22ED7"/>
    <w:rsid w:val="00E2379C"/>
    <w:rsid w:val="00E238BD"/>
    <w:rsid w:val="00E2393D"/>
    <w:rsid w:val="00E23C81"/>
    <w:rsid w:val="00E23ED3"/>
    <w:rsid w:val="00E242B0"/>
    <w:rsid w:val="00E246D4"/>
    <w:rsid w:val="00E249F9"/>
    <w:rsid w:val="00E254A9"/>
    <w:rsid w:val="00E25B75"/>
    <w:rsid w:val="00E25ECE"/>
    <w:rsid w:val="00E261A4"/>
    <w:rsid w:val="00E26778"/>
    <w:rsid w:val="00E26861"/>
    <w:rsid w:val="00E26971"/>
    <w:rsid w:val="00E26B71"/>
    <w:rsid w:val="00E270AA"/>
    <w:rsid w:val="00E27440"/>
    <w:rsid w:val="00E27DA0"/>
    <w:rsid w:val="00E27DE3"/>
    <w:rsid w:val="00E3026E"/>
    <w:rsid w:val="00E302AC"/>
    <w:rsid w:val="00E3056A"/>
    <w:rsid w:val="00E3128C"/>
    <w:rsid w:val="00E313BA"/>
    <w:rsid w:val="00E313BC"/>
    <w:rsid w:val="00E3169C"/>
    <w:rsid w:val="00E31A2A"/>
    <w:rsid w:val="00E31D10"/>
    <w:rsid w:val="00E32F45"/>
    <w:rsid w:val="00E334C4"/>
    <w:rsid w:val="00E339E8"/>
    <w:rsid w:val="00E33BCA"/>
    <w:rsid w:val="00E34012"/>
    <w:rsid w:val="00E34126"/>
    <w:rsid w:val="00E3424A"/>
    <w:rsid w:val="00E342D6"/>
    <w:rsid w:val="00E3480A"/>
    <w:rsid w:val="00E3554E"/>
    <w:rsid w:val="00E35B11"/>
    <w:rsid w:val="00E35BFC"/>
    <w:rsid w:val="00E35D2D"/>
    <w:rsid w:val="00E35E05"/>
    <w:rsid w:val="00E362EA"/>
    <w:rsid w:val="00E366E1"/>
    <w:rsid w:val="00E369A6"/>
    <w:rsid w:val="00E3792E"/>
    <w:rsid w:val="00E37995"/>
    <w:rsid w:val="00E379D4"/>
    <w:rsid w:val="00E40411"/>
    <w:rsid w:val="00E40476"/>
    <w:rsid w:val="00E404DC"/>
    <w:rsid w:val="00E40E52"/>
    <w:rsid w:val="00E4107E"/>
    <w:rsid w:val="00E41135"/>
    <w:rsid w:val="00E41326"/>
    <w:rsid w:val="00E41746"/>
    <w:rsid w:val="00E41ACE"/>
    <w:rsid w:val="00E41D2D"/>
    <w:rsid w:val="00E41E0B"/>
    <w:rsid w:val="00E4219E"/>
    <w:rsid w:val="00E42541"/>
    <w:rsid w:val="00E4285B"/>
    <w:rsid w:val="00E42FCB"/>
    <w:rsid w:val="00E43E3E"/>
    <w:rsid w:val="00E43FF2"/>
    <w:rsid w:val="00E4417B"/>
    <w:rsid w:val="00E442E4"/>
    <w:rsid w:val="00E442F1"/>
    <w:rsid w:val="00E44EEA"/>
    <w:rsid w:val="00E44F94"/>
    <w:rsid w:val="00E45054"/>
    <w:rsid w:val="00E45385"/>
    <w:rsid w:val="00E454E4"/>
    <w:rsid w:val="00E45580"/>
    <w:rsid w:val="00E45699"/>
    <w:rsid w:val="00E4575D"/>
    <w:rsid w:val="00E45E91"/>
    <w:rsid w:val="00E45F4A"/>
    <w:rsid w:val="00E46179"/>
    <w:rsid w:val="00E46415"/>
    <w:rsid w:val="00E46A83"/>
    <w:rsid w:val="00E46DC3"/>
    <w:rsid w:val="00E472AA"/>
    <w:rsid w:val="00E474F7"/>
    <w:rsid w:val="00E47A33"/>
    <w:rsid w:val="00E47F70"/>
    <w:rsid w:val="00E505B8"/>
    <w:rsid w:val="00E50CB1"/>
    <w:rsid w:val="00E51495"/>
    <w:rsid w:val="00E515E9"/>
    <w:rsid w:val="00E5169F"/>
    <w:rsid w:val="00E517A9"/>
    <w:rsid w:val="00E51C36"/>
    <w:rsid w:val="00E52256"/>
    <w:rsid w:val="00E5226F"/>
    <w:rsid w:val="00E523BF"/>
    <w:rsid w:val="00E526C1"/>
    <w:rsid w:val="00E5292F"/>
    <w:rsid w:val="00E52D54"/>
    <w:rsid w:val="00E53451"/>
    <w:rsid w:val="00E5345B"/>
    <w:rsid w:val="00E5385B"/>
    <w:rsid w:val="00E53BE5"/>
    <w:rsid w:val="00E53DF7"/>
    <w:rsid w:val="00E5421F"/>
    <w:rsid w:val="00E5426D"/>
    <w:rsid w:val="00E542B4"/>
    <w:rsid w:val="00E54D23"/>
    <w:rsid w:val="00E554D3"/>
    <w:rsid w:val="00E55E75"/>
    <w:rsid w:val="00E55ED1"/>
    <w:rsid w:val="00E55FC1"/>
    <w:rsid w:val="00E56087"/>
    <w:rsid w:val="00E5626C"/>
    <w:rsid w:val="00E56748"/>
    <w:rsid w:val="00E567B7"/>
    <w:rsid w:val="00E56BB6"/>
    <w:rsid w:val="00E56D6A"/>
    <w:rsid w:val="00E56D7A"/>
    <w:rsid w:val="00E57328"/>
    <w:rsid w:val="00E57604"/>
    <w:rsid w:val="00E57635"/>
    <w:rsid w:val="00E57B0B"/>
    <w:rsid w:val="00E57E13"/>
    <w:rsid w:val="00E57FEF"/>
    <w:rsid w:val="00E60360"/>
    <w:rsid w:val="00E6091A"/>
    <w:rsid w:val="00E60BFB"/>
    <w:rsid w:val="00E60CDC"/>
    <w:rsid w:val="00E60D4A"/>
    <w:rsid w:val="00E61090"/>
    <w:rsid w:val="00E61714"/>
    <w:rsid w:val="00E61724"/>
    <w:rsid w:val="00E61D40"/>
    <w:rsid w:val="00E61ED1"/>
    <w:rsid w:val="00E61F6A"/>
    <w:rsid w:val="00E6248A"/>
    <w:rsid w:val="00E625ED"/>
    <w:rsid w:val="00E62A76"/>
    <w:rsid w:val="00E63195"/>
    <w:rsid w:val="00E635A6"/>
    <w:rsid w:val="00E63D11"/>
    <w:rsid w:val="00E64DF9"/>
    <w:rsid w:val="00E656BF"/>
    <w:rsid w:val="00E6581A"/>
    <w:rsid w:val="00E65FD0"/>
    <w:rsid w:val="00E66160"/>
    <w:rsid w:val="00E6618D"/>
    <w:rsid w:val="00E669C3"/>
    <w:rsid w:val="00E66F93"/>
    <w:rsid w:val="00E67191"/>
    <w:rsid w:val="00E6758F"/>
    <w:rsid w:val="00E67C98"/>
    <w:rsid w:val="00E700EA"/>
    <w:rsid w:val="00E70C89"/>
    <w:rsid w:val="00E70DAC"/>
    <w:rsid w:val="00E70FD1"/>
    <w:rsid w:val="00E71380"/>
    <w:rsid w:val="00E7199F"/>
    <w:rsid w:val="00E71A9E"/>
    <w:rsid w:val="00E71C95"/>
    <w:rsid w:val="00E71D23"/>
    <w:rsid w:val="00E72000"/>
    <w:rsid w:val="00E724FF"/>
    <w:rsid w:val="00E725CE"/>
    <w:rsid w:val="00E72663"/>
    <w:rsid w:val="00E7296E"/>
    <w:rsid w:val="00E72CFD"/>
    <w:rsid w:val="00E72DDC"/>
    <w:rsid w:val="00E72E0E"/>
    <w:rsid w:val="00E7321B"/>
    <w:rsid w:val="00E7334B"/>
    <w:rsid w:val="00E73755"/>
    <w:rsid w:val="00E73B40"/>
    <w:rsid w:val="00E74312"/>
    <w:rsid w:val="00E744D1"/>
    <w:rsid w:val="00E744EB"/>
    <w:rsid w:val="00E74590"/>
    <w:rsid w:val="00E7499C"/>
    <w:rsid w:val="00E74B8F"/>
    <w:rsid w:val="00E75009"/>
    <w:rsid w:val="00E75268"/>
    <w:rsid w:val="00E75B69"/>
    <w:rsid w:val="00E75EBB"/>
    <w:rsid w:val="00E75F18"/>
    <w:rsid w:val="00E76438"/>
    <w:rsid w:val="00E7666C"/>
    <w:rsid w:val="00E7667E"/>
    <w:rsid w:val="00E767FF"/>
    <w:rsid w:val="00E76CB6"/>
    <w:rsid w:val="00E76CEB"/>
    <w:rsid w:val="00E772AC"/>
    <w:rsid w:val="00E77353"/>
    <w:rsid w:val="00E77594"/>
    <w:rsid w:val="00E77AE5"/>
    <w:rsid w:val="00E77BEF"/>
    <w:rsid w:val="00E8019E"/>
    <w:rsid w:val="00E8060B"/>
    <w:rsid w:val="00E8067B"/>
    <w:rsid w:val="00E80F13"/>
    <w:rsid w:val="00E81040"/>
    <w:rsid w:val="00E81092"/>
    <w:rsid w:val="00E81177"/>
    <w:rsid w:val="00E81253"/>
    <w:rsid w:val="00E813B7"/>
    <w:rsid w:val="00E81694"/>
    <w:rsid w:val="00E817D4"/>
    <w:rsid w:val="00E81835"/>
    <w:rsid w:val="00E818BC"/>
    <w:rsid w:val="00E8196E"/>
    <w:rsid w:val="00E81C66"/>
    <w:rsid w:val="00E82212"/>
    <w:rsid w:val="00E8263E"/>
    <w:rsid w:val="00E82A1C"/>
    <w:rsid w:val="00E82C83"/>
    <w:rsid w:val="00E82D03"/>
    <w:rsid w:val="00E830EA"/>
    <w:rsid w:val="00E8356D"/>
    <w:rsid w:val="00E835F9"/>
    <w:rsid w:val="00E837EF"/>
    <w:rsid w:val="00E83933"/>
    <w:rsid w:val="00E83A75"/>
    <w:rsid w:val="00E83BA3"/>
    <w:rsid w:val="00E83D47"/>
    <w:rsid w:val="00E84180"/>
    <w:rsid w:val="00E842D7"/>
    <w:rsid w:val="00E8491E"/>
    <w:rsid w:val="00E84C37"/>
    <w:rsid w:val="00E859EC"/>
    <w:rsid w:val="00E85D58"/>
    <w:rsid w:val="00E86369"/>
    <w:rsid w:val="00E865B5"/>
    <w:rsid w:val="00E865D2"/>
    <w:rsid w:val="00E86884"/>
    <w:rsid w:val="00E86916"/>
    <w:rsid w:val="00E86A27"/>
    <w:rsid w:val="00E86AEE"/>
    <w:rsid w:val="00E86B0E"/>
    <w:rsid w:val="00E86CC5"/>
    <w:rsid w:val="00E86D93"/>
    <w:rsid w:val="00E87258"/>
    <w:rsid w:val="00E873EB"/>
    <w:rsid w:val="00E874C9"/>
    <w:rsid w:val="00E87955"/>
    <w:rsid w:val="00E87A47"/>
    <w:rsid w:val="00E87B4B"/>
    <w:rsid w:val="00E90042"/>
    <w:rsid w:val="00E90206"/>
    <w:rsid w:val="00E916E3"/>
    <w:rsid w:val="00E9174E"/>
    <w:rsid w:val="00E91CED"/>
    <w:rsid w:val="00E91D57"/>
    <w:rsid w:val="00E91F56"/>
    <w:rsid w:val="00E92143"/>
    <w:rsid w:val="00E92623"/>
    <w:rsid w:val="00E92BE8"/>
    <w:rsid w:val="00E92C34"/>
    <w:rsid w:val="00E92E8F"/>
    <w:rsid w:val="00E93638"/>
    <w:rsid w:val="00E9378A"/>
    <w:rsid w:val="00E939EC"/>
    <w:rsid w:val="00E93AD5"/>
    <w:rsid w:val="00E93CF8"/>
    <w:rsid w:val="00E93F1F"/>
    <w:rsid w:val="00E9402D"/>
    <w:rsid w:val="00E943C0"/>
    <w:rsid w:val="00E94620"/>
    <w:rsid w:val="00E94B9C"/>
    <w:rsid w:val="00E95CF7"/>
    <w:rsid w:val="00E95FF2"/>
    <w:rsid w:val="00E96220"/>
    <w:rsid w:val="00E9695A"/>
    <w:rsid w:val="00E96ABB"/>
    <w:rsid w:val="00E96DAE"/>
    <w:rsid w:val="00E96DF9"/>
    <w:rsid w:val="00E96F4C"/>
    <w:rsid w:val="00E9709C"/>
    <w:rsid w:val="00E97336"/>
    <w:rsid w:val="00E974F0"/>
    <w:rsid w:val="00E978EA"/>
    <w:rsid w:val="00E97BBE"/>
    <w:rsid w:val="00EA03C5"/>
    <w:rsid w:val="00EA07D5"/>
    <w:rsid w:val="00EA0B08"/>
    <w:rsid w:val="00EA1202"/>
    <w:rsid w:val="00EA1467"/>
    <w:rsid w:val="00EA155C"/>
    <w:rsid w:val="00EA1572"/>
    <w:rsid w:val="00EA18B6"/>
    <w:rsid w:val="00EA2139"/>
    <w:rsid w:val="00EA21F9"/>
    <w:rsid w:val="00EA2806"/>
    <w:rsid w:val="00EA2C05"/>
    <w:rsid w:val="00EA2C43"/>
    <w:rsid w:val="00EA2FC7"/>
    <w:rsid w:val="00EA30C7"/>
    <w:rsid w:val="00EA3377"/>
    <w:rsid w:val="00EA3517"/>
    <w:rsid w:val="00EA3584"/>
    <w:rsid w:val="00EA36AB"/>
    <w:rsid w:val="00EA3925"/>
    <w:rsid w:val="00EA3CAC"/>
    <w:rsid w:val="00EA3F52"/>
    <w:rsid w:val="00EA401F"/>
    <w:rsid w:val="00EA4131"/>
    <w:rsid w:val="00EA4425"/>
    <w:rsid w:val="00EA46A0"/>
    <w:rsid w:val="00EA4991"/>
    <w:rsid w:val="00EA49BC"/>
    <w:rsid w:val="00EA4AA7"/>
    <w:rsid w:val="00EA4EF4"/>
    <w:rsid w:val="00EA564E"/>
    <w:rsid w:val="00EA56A6"/>
    <w:rsid w:val="00EA5750"/>
    <w:rsid w:val="00EA593C"/>
    <w:rsid w:val="00EA5A0A"/>
    <w:rsid w:val="00EA5F18"/>
    <w:rsid w:val="00EA6053"/>
    <w:rsid w:val="00EA6562"/>
    <w:rsid w:val="00EA66A5"/>
    <w:rsid w:val="00EA677E"/>
    <w:rsid w:val="00EA6F1B"/>
    <w:rsid w:val="00EA7391"/>
    <w:rsid w:val="00EA7A1A"/>
    <w:rsid w:val="00EA7AA4"/>
    <w:rsid w:val="00EB05DA"/>
    <w:rsid w:val="00EB0688"/>
    <w:rsid w:val="00EB06D2"/>
    <w:rsid w:val="00EB08E5"/>
    <w:rsid w:val="00EB1645"/>
    <w:rsid w:val="00EB172B"/>
    <w:rsid w:val="00EB1971"/>
    <w:rsid w:val="00EB1D42"/>
    <w:rsid w:val="00EB2295"/>
    <w:rsid w:val="00EB262C"/>
    <w:rsid w:val="00EB2A69"/>
    <w:rsid w:val="00EB321A"/>
    <w:rsid w:val="00EB3356"/>
    <w:rsid w:val="00EB3539"/>
    <w:rsid w:val="00EB3B54"/>
    <w:rsid w:val="00EB3BD8"/>
    <w:rsid w:val="00EB3FA2"/>
    <w:rsid w:val="00EB41B5"/>
    <w:rsid w:val="00EB4233"/>
    <w:rsid w:val="00EB44BF"/>
    <w:rsid w:val="00EB45B5"/>
    <w:rsid w:val="00EB475E"/>
    <w:rsid w:val="00EB477D"/>
    <w:rsid w:val="00EB4984"/>
    <w:rsid w:val="00EB4B9E"/>
    <w:rsid w:val="00EB4F8C"/>
    <w:rsid w:val="00EB4FD4"/>
    <w:rsid w:val="00EB5009"/>
    <w:rsid w:val="00EB5426"/>
    <w:rsid w:val="00EB591E"/>
    <w:rsid w:val="00EB6011"/>
    <w:rsid w:val="00EB70A1"/>
    <w:rsid w:val="00EB75B9"/>
    <w:rsid w:val="00EB76A6"/>
    <w:rsid w:val="00EB7D53"/>
    <w:rsid w:val="00EC033C"/>
    <w:rsid w:val="00EC08F5"/>
    <w:rsid w:val="00EC0AC4"/>
    <w:rsid w:val="00EC0D3E"/>
    <w:rsid w:val="00EC147E"/>
    <w:rsid w:val="00EC15C8"/>
    <w:rsid w:val="00EC19A1"/>
    <w:rsid w:val="00EC1A6A"/>
    <w:rsid w:val="00EC1F3E"/>
    <w:rsid w:val="00EC21E2"/>
    <w:rsid w:val="00EC24B6"/>
    <w:rsid w:val="00EC2DB4"/>
    <w:rsid w:val="00EC3085"/>
    <w:rsid w:val="00EC3271"/>
    <w:rsid w:val="00EC3393"/>
    <w:rsid w:val="00EC3688"/>
    <w:rsid w:val="00EC3808"/>
    <w:rsid w:val="00EC391B"/>
    <w:rsid w:val="00EC3982"/>
    <w:rsid w:val="00EC3F35"/>
    <w:rsid w:val="00EC3F84"/>
    <w:rsid w:val="00EC4363"/>
    <w:rsid w:val="00EC47BC"/>
    <w:rsid w:val="00EC4A23"/>
    <w:rsid w:val="00EC4EDC"/>
    <w:rsid w:val="00EC5059"/>
    <w:rsid w:val="00EC5092"/>
    <w:rsid w:val="00EC51B2"/>
    <w:rsid w:val="00EC5487"/>
    <w:rsid w:val="00EC5815"/>
    <w:rsid w:val="00EC598D"/>
    <w:rsid w:val="00EC5A9B"/>
    <w:rsid w:val="00EC5C29"/>
    <w:rsid w:val="00EC5CE1"/>
    <w:rsid w:val="00EC5D59"/>
    <w:rsid w:val="00EC5E0F"/>
    <w:rsid w:val="00EC5E4E"/>
    <w:rsid w:val="00EC5E5E"/>
    <w:rsid w:val="00EC5E69"/>
    <w:rsid w:val="00EC60E8"/>
    <w:rsid w:val="00EC61C1"/>
    <w:rsid w:val="00EC70B3"/>
    <w:rsid w:val="00EC7289"/>
    <w:rsid w:val="00EC7585"/>
    <w:rsid w:val="00EC7725"/>
    <w:rsid w:val="00EC778C"/>
    <w:rsid w:val="00EC7A73"/>
    <w:rsid w:val="00EC7B78"/>
    <w:rsid w:val="00EC7F42"/>
    <w:rsid w:val="00ED0524"/>
    <w:rsid w:val="00ED0D31"/>
    <w:rsid w:val="00ED0F11"/>
    <w:rsid w:val="00ED15A3"/>
    <w:rsid w:val="00ED1A6D"/>
    <w:rsid w:val="00ED2AB1"/>
    <w:rsid w:val="00ED3016"/>
    <w:rsid w:val="00ED3120"/>
    <w:rsid w:val="00ED389C"/>
    <w:rsid w:val="00ED3B67"/>
    <w:rsid w:val="00ED3CDC"/>
    <w:rsid w:val="00ED3F97"/>
    <w:rsid w:val="00ED3FA4"/>
    <w:rsid w:val="00ED44BB"/>
    <w:rsid w:val="00ED45FC"/>
    <w:rsid w:val="00ED4AF0"/>
    <w:rsid w:val="00ED4B0B"/>
    <w:rsid w:val="00ED4C0D"/>
    <w:rsid w:val="00ED4F67"/>
    <w:rsid w:val="00ED574E"/>
    <w:rsid w:val="00ED5BAC"/>
    <w:rsid w:val="00ED5C0B"/>
    <w:rsid w:val="00ED5D78"/>
    <w:rsid w:val="00ED5F12"/>
    <w:rsid w:val="00ED62C7"/>
    <w:rsid w:val="00ED66D2"/>
    <w:rsid w:val="00ED6E44"/>
    <w:rsid w:val="00ED6F1A"/>
    <w:rsid w:val="00ED757A"/>
    <w:rsid w:val="00ED760E"/>
    <w:rsid w:val="00ED7874"/>
    <w:rsid w:val="00ED78A6"/>
    <w:rsid w:val="00ED7A16"/>
    <w:rsid w:val="00ED7B39"/>
    <w:rsid w:val="00EE04A2"/>
    <w:rsid w:val="00EE07D5"/>
    <w:rsid w:val="00EE091A"/>
    <w:rsid w:val="00EE143B"/>
    <w:rsid w:val="00EE18CD"/>
    <w:rsid w:val="00EE19F5"/>
    <w:rsid w:val="00EE1ADD"/>
    <w:rsid w:val="00EE1C08"/>
    <w:rsid w:val="00EE1C4D"/>
    <w:rsid w:val="00EE1D9F"/>
    <w:rsid w:val="00EE1E10"/>
    <w:rsid w:val="00EE2053"/>
    <w:rsid w:val="00EE23E9"/>
    <w:rsid w:val="00EE23F4"/>
    <w:rsid w:val="00EE241A"/>
    <w:rsid w:val="00EE2BAA"/>
    <w:rsid w:val="00EE2D68"/>
    <w:rsid w:val="00EE2FDD"/>
    <w:rsid w:val="00EE3193"/>
    <w:rsid w:val="00EE35EA"/>
    <w:rsid w:val="00EE37E4"/>
    <w:rsid w:val="00EE3B41"/>
    <w:rsid w:val="00EE4320"/>
    <w:rsid w:val="00EE4573"/>
    <w:rsid w:val="00EE4613"/>
    <w:rsid w:val="00EE468B"/>
    <w:rsid w:val="00EE46D9"/>
    <w:rsid w:val="00EE4AE8"/>
    <w:rsid w:val="00EE4F08"/>
    <w:rsid w:val="00EE56DC"/>
    <w:rsid w:val="00EE59AB"/>
    <w:rsid w:val="00EE5CF9"/>
    <w:rsid w:val="00EE5EBC"/>
    <w:rsid w:val="00EE6297"/>
    <w:rsid w:val="00EE6346"/>
    <w:rsid w:val="00EE6538"/>
    <w:rsid w:val="00EE67B7"/>
    <w:rsid w:val="00EE6B8E"/>
    <w:rsid w:val="00EE76B5"/>
    <w:rsid w:val="00EE7E6D"/>
    <w:rsid w:val="00EF01D8"/>
    <w:rsid w:val="00EF0B36"/>
    <w:rsid w:val="00EF0D98"/>
    <w:rsid w:val="00EF0DEA"/>
    <w:rsid w:val="00EF0EA0"/>
    <w:rsid w:val="00EF12DF"/>
    <w:rsid w:val="00EF15C7"/>
    <w:rsid w:val="00EF1682"/>
    <w:rsid w:val="00EF17C3"/>
    <w:rsid w:val="00EF27A4"/>
    <w:rsid w:val="00EF297E"/>
    <w:rsid w:val="00EF3039"/>
    <w:rsid w:val="00EF330C"/>
    <w:rsid w:val="00EF368E"/>
    <w:rsid w:val="00EF381A"/>
    <w:rsid w:val="00EF3931"/>
    <w:rsid w:val="00EF428C"/>
    <w:rsid w:val="00EF4701"/>
    <w:rsid w:val="00EF4B7B"/>
    <w:rsid w:val="00EF4C28"/>
    <w:rsid w:val="00EF4EC8"/>
    <w:rsid w:val="00EF5771"/>
    <w:rsid w:val="00EF5789"/>
    <w:rsid w:val="00EF58DF"/>
    <w:rsid w:val="00EF5CFF"/>
    <w:rsid w:val="00EF5D23"/>
    <w:rsid w:val="00EF6146"/>
    <w:rsid w:val="00EF6175"/>
    <w:rsid w:val="00EF6263"/>
    <w:rsid w:val="00EF6365"/>
    <w:rsid w:val="00EF65D0"/>
    <w:rsid w:val="00EF66F8"/>
    <w:rsid w:val="00EF6735"/>
    <w:rsid w:val="00EF6953"/>
    <w:rsid w:val="00EF6A6D"/>
    <w:rsid w:val="00EF6D6B"/>
    <w:rsid w:val="00EF6EDD"/>
    <w:rsid w:val="00EF7ED2"/>
    <w:rsid w:val="00EF7EEE"/>
    <w:rsid w:val="00F0018B"/>
    <w:rsid w:val="00F006F4"/>
    <w:rsid w:val="00F007D4"/>
    <w:rsid w:val="00F0121A"/>
    <w:rsid w:val="00F0182D"/>
    <w:rsid w:val="00F01CC2"/>
    <w:rsid w:val="00F01D97"/>
    <w:rsid w:val="00F0232F"/>
    <w:rsid w:val="00F02541"/>
    <w:rsid w:val="00F02E39"/>
    <w:rsid w:val="00F0333B"/>
    <w:rsid w:val="00F038DF"/>
    <w:rsid w:val="00F03DCA"/>
    <w:rsid w:val="00F040CC"/>
    <w:rsid w:val="00F0411D"/>
    <w:rsid w:val="00F041E5"/>
    <w:rsid w:val="00F047B4"/>
    <w:rsid w:val="00F04829"/>
    <w:rsid w:val="00F04C7E"/>
    <w:rsid w:val="00F04DC2"/>
    <w:rsid w:val="00F04E4D"/>
    <w:rsid w:val="00F051F5"/>
    <w:rsid w:val="00F054D3"/>
    <w:rsid w:val="00F0555D"/>
    <w:rsid w:val="00F05609"/>
    <w:rsid w:val="00F05B36"/>
    <w:rsid w:val="00F0663C"/>
    <w:rsid w:val="00F0671E"/>
    <w:rsid w:val="00F068FD"/>
    <w:rsid w:val="00F06E58"/>
    <w:rsid w:val="00F072A7"/>
    <w:rsid w:val="00F073C2"/>
    <w:rsid w:val="00F076AD"/>
    <w:rsid w:val="00F0771E"/>
    <w:rsid w:val="00F07809"/>
    <w:rsid w:val="00F07A67"/>
    <w:rsid w:val="00F10185"/>
    <w:rsid w:val="00F10240"/>
    <w:rsid w:val="00F10414"/>
    <w:rsid w:val="00F10815"/>
    <w:rsid w:val="00F1082B"/>
    <w:rsid w:val="00F10C19"/>
    <w:rsid w:val="00F10C9B"/>
    <w:rsid w:val="00F10CDB"/>
    <w:rsid w:val="00F111B7"/>
    <w:rsid w:val="00F1159C"/>
    <w:rsid w:val="00F1181D"/>
    <w:rsid w:val="00F119D3"/>
    <w:rsid w:val="00F11CCF"/>
    <w:rsid w:val="00F122A6"/>
    <w:rsid w:val="00F12ACB"/>
    <w:rsid w:val="00F12B8D"/>
    <w:rsid w:val="00F130E6"/>
    <w:rsid w:val="00F13101"/>
    <w:rsid w:val="00F13251"/>
    <w:rsid w:val="00F13587"/>
    <w:rsid w:val="00F1358D"/>
    <w:rsid w:val="00F13853"/>
    <w:rsid w:val="00F13D90"/>
    <w:rsid w:val="00F14126"/>
    <w:rsid w:val="00F14414"/>
    <w:rsid w:val="00F147B9"/>
    <w:rsid w:val="00F14812"/>
    <w:rsid w:val="00F14C51"/>
    <w:rsid w:val="00F14E7F"/>
    <w:rsid w:val="00F1533C"/>
    <w:rsid w:val="00F158BA"/>
    <w:rsid w:val="00F15B9F"/>
    <w:rsid w:val="00F16232"/>
    <w:rsid w:val="00F16C35"/>
    <w:rsid w:val="00F16E5F"/>
    <w:rsid w:val="00F17113"/>
    <w:rsid w:val="00F172A0"/>
    <w:rsid w:val="00F17393"/>
    <w:rsid w:val="00F177E5"/>
    <w:rsid w:val="00F179C6"/>
    <w:rsid w:val="00F17A44"/>
    <w:rsid w:val="00F17AB8"/>
    <w:rsid w:val="00F17B89"/>
    <w:rsid w:val="00F17F4E"/>
    <w:rsid w:val="00F20023"/>
    <w:rsid w:val="00F200D7"/>
    <w:rsid w:val="00F203B7"/>
    <w:rsid w:val="00F2043C"/>
    <w:rsid w:val="00F2068E"/>
    <w:rsid w:val="00F213E8"/>
    <w:rsid w:val="00F215E2"/>
    <w:rsid w:val="00F216B7"/>
    <w:rsid w:val="00F21732"/>
    <w:rsid w:val="00F21788"/>
    <w:rsid w:val="00F21807"/>
    <w:rsid w:val="00F21860"/>
    <w:rsid w:val="00F21861"/>
    <w:rsid w:val="00F21B88"/>
    <w:rsid w:val="00F21F05"/>
    <w:rsid w:val="00F21F99"/>
    <w:rsid w:val="00F22819"/>
    <w:rsid w:val="00F22881"/>
    <w:rsid w:val="00F22954"/>
    <w:rsid w:val="00F22E53"/>
    <w:rsid w:val="00F23047"/>
    <w:rsid w:val="00F23569"/>
    <w:rsid w:val="00F23660"/>
    <w:rsid w:val="00F236D7"/>
    <w:rsid w:val="00F239A0"/>
    <w:rsid w:val="00F239FE"/>
    <w:rsid w:val="00F23CC7"/>
    <w:rsid w:val="00F24383"/>
    <w:rsid w:val="00F24BE2"/>
    <w:rsid w:val="00F24DA0"/>
    <w:rsid w:val="00F24F9D"/>
    <w:rsid w:val="00F251BE"/>
    <w:rsid w:val="00F25205"/>
    <w:rsid w:val="00F2522A"/>
    <w:rsid w:val="00F25256"/>
    <w:rsid w:val="00F2547A"/>
    <w:rsid w:val="00F25D07"/>
    <w:rsid w:val="00F25D3B"/>
    <w:rsid w:val="00F26638"/>
    <w:rsid w:val="00F26A32"/>
    <w:rsid w:val="00F26B42"/>
    <w:rsid w:val="00F26BC2"/>
    <w:rsid w:val="00F2701D"/>
    <w:rsid w:val="00F2716B"/>
    <w:rsid w:val="00F27240"/>
    <w:rsid w:val="00F27444"/>
    <w:rsid w:val="00F27592"/>
    <w:rsid w:val="00F302FC"/>
    <w:rsid w:val="00F30309"/>
    <w:rsid w:val="00F3062E"/>
    <w:rsid w:val="00F306F1"/>
    <w:rsid w:val="00F30754"/>
    <w:rsid w:val="00F30817"/>
    <w:rsid w:val="00F30AC8"/>
    <w:rsid w:val="00F30B2E"/>
    <w:rsid w:val="00F30BDC"/>
    <w:rsid w:val="00F30D0D"/>
    <w:rsid w:val="00F3156D"/>
    <w:rsid w:val="00F3271F"/>
    <w:rsid w:val="00F32DAE"/>
    <w:rsid w:val="00F33188"/>
    <w:rsid w:val="00F332C5"/>
    <w:rsid w:val="00F33C69"/>
    <w:rsid w:val="00F33E83"/>
    <w:rsid w:val="00F340A5"/>
    <w:rsid w:val="00F34894"/>
    <w:rsid w:val="00F34BE2"/>
    <w:rsid w:val="00F34DD6"/>
    <w:rsid w:val="00F3517E"/>
    <w:rsid w:val="00F35544"/>
    <w:rsid w:val="00F3575B"/>
    <w:rsid w:val="00F35D97"/>
    <w:rsid w:val="00F35F8E"/>
    <w:rsid w:val="00F36000"/>
    <w:rsid w:val="00F36395"/>
    <w:rsid w:val="00F363A5"/>
    <w:rsid w:val="00F36497"/>
    <w:rsid w:val="00F36E12"/>
    <w:rsid w:val="00F37694"/>
    <w:rsid w:val="00F37E95"/>
    <w:rsid w:val="00F40237"/>
    <w:rsid w:val="00F4039D"/>
    <w:rsid w:val="00F403AA"/>
    <w:rsid w:val="00F409D1"/>
    <w:rsid w:val="00F40A38"/>
    <w:rsid w:val="00F40BA5"/>
    <w:rsid w:val="00F40BE3"/>
    <w:rsid w:val="00F41587"/>
    <w:rsid w:val="00F4173D"/>
    <w:rsid w:val="00F41F15"/>
    <w:rsid w:val="00F42129"/>
    <w:rsid w:val="00F422AF"/>
    <w:rsid w:val="00F42330"/>
    <w:rsid w:val="00F4274F"/>
    <w:rsid w:val="00F4297D"/>
    <w:rsid w:val="00F42CF1"/>
    <w:rsid w:val="00F433D7"/>
    <w:rsid w:val="00F43638"/>
    <w:rsid w:val="00F43812"/>
    <w:rsid w:val="00F43FFA"/>
    <w:rsid w:val="00F44221"/>
    <w:rsid w:val="00F4424B"/>
    <w:rsid w:val="00F446E6"/>
    <w:rsid w:val="00F455D6"/>
    <w:rsid w:val="00F4562C"/>
    <w:rsid w:val="00F45A13"/>
    <w:rsid w:val="00F45B02"/>
    <w:rsid w:val="00F463B8"/>
    <w:rsid w:val="00F4653F"/>
    <w:rsid w:val="00F46774"/>
    <w:rsid w:val="00F47548"/>
    <w:rsid w:val="00F47556"/>
    <w:rsid w:val="00F47832"/>
    <w:rsid w:val="00F47870"/>
    <w:rsid w:val="00F478EB"/>
    <w:rsid w:val="00F47C68"/>
    <w:rsid w:val="00F5019E"/>
    <w:rsid w:val="00F50579"/>
    <w:rsid w:val="00F50AE6"/>
    <w:rsid w:val="00F50E8E"/>
    <w:rsid w:val="00F51027"/>
    <w:rsid w:val="00F510CF"/>
    <w:rsid w:val="00F51432"/>
    <w:rsid w:val="00F5161D"/>
    <w:rsid w:val="00F5191C"/>
    <w:rsid w:val="00F51FB3"/>
    <w:rsid w:val="00F51FB6"/>
    <w:rsid w:val="00F522EC"/>
    <w:rsid w:val="00F52573"/>
    <w:rsid w:val="00F52B6B"/>
    <w:rsid w:val="00F535AB"/>
    <w:rsid w:val="00F53847"/>
    <w:rsid w:val="00F5385F"/>
    <w:rsid w:val="00F53B6C"/>
    <w:rsid w:val="00F545AB"/>
    <w:rsid w:val="00F5468C"/>
    <w:rsid w:val="00F5475D"/>
    <w:rsid w:val="00F5494F"/>
    <w:rsid w:val="00F54B14"/>
    <w:rsid w:val="00F54CAB"/>
    <w:rsid w:val="00F54EC0"/>
    <w:rsid w:val="00F55088"/>
    <w:rsid w:val="00F551BE"/>
    <w:rsid w:val="00F555DC"/>
    <w:rsid w:val="00F559E6"/>
    <w:rsid w:val="00F55EB8"/>
    <w:rsid w:val="00F55FF6"/>
    <w:rsid w:val="00F5655A"/>
    <w:rsid w:val="00F566B8"/>
    <w:rsid w:val="00F56716"/>
    <w:rsid w:val="00F5693C"/>
    <w:rsid w:val="00F56946"/>
    <w:rsid w:val="00F56C3A"/>
    <w:rsid w:val="00F5726E"/>
    <w:rsid w:val="00F577DE"/>
    <w:rsid w:val="00F6003C"/>
    <w:rsid w:val="00F603A3"/>
    <w:rsid w:val="00F605E7"/>
    <w:rsid w:val="00F6092C"/>
    <w:rsid w:val="00F60A80"/>
    <w:rsid w:val="00F60EB6"/>
    <w:rsid w:val="00F61A7A"/>
    <w:rsid w:val="00F61C7F"/>
    <w:rsid w:val="00F61F69"/>
    <w:rsid w:val="00F627CA"/>
    <w:rsid w:val="00F627F6"/>
    <w:rsid w:val="00F628E9"/>
    <w:rsid w:val="00F62BA3"/>
    <w:rsid w:val="00F62C23"/>
    <w:rsid w:val="00F63259"/>
    <w:rsid w:val="00F6359C"/>
    <w:rsid w:val="00F636E1"/>
    <w:rsid w:val="00F63785"/>
    <w:rsid w:val="00F6436C"/>
    <w:rsid w:val="00F646B7"/>
    <w:rsid w:val="00F650B1"/>
    <w:rsid w:val="00F6510E"/>
    <w:rsid w:val="00F651A6"/>
    <w:rsid w:val="00F652F8"/>
    <w:rsid w:val="00F655CB"/>
    <w:rsid w:val="00F65F7F"/>
    <w:rsid w:val="00F66364"/>
    <w:rsid w:val="00F66377"/>
    <w:rsid w:val="00F66807"/>
    <w:rsid w:val="00F66AEE"/>
    <w:rsid w:val="00F66BB2"/>
    <w:rsid w:val="00F66F9A"/>
    <w:rsid w:val="00F672E1"/>
    <w:rsid w:val="00F676E4"/>
    <w:rsid w:val="00F67745"/>
    <w:rsid w:val="00F677B9"/>
    <w:rsid w:val="00F6782E"/>
    <w:rsid w:val="00F702C3"/>
    <w:rsid w:val="00F70393"/>
    <w:rsid w:val="00F70605"/>
    <w:rsid w:val="00F70BD7"/>
    <w:rsid w:val="00F70D34"/>
    <w:rsid w:val="00F71196"/>
    <w:rsid w:val="00F71364"/>
    <w:rsid w:val="00F71395"/>
    <w:rsid w:val="00F718A1"/>
    <w:rsid w:val="00F71F67"/>
    <w:rsid w:val="00F7235E"/>
    <w:rsid w:val="00F72913"/>
    <w:rsid w:val="00F72B0C"/>
    <w:rsid w:val="00F72DD6"/>
    <w:rsid w:val="00F72E86"/>
    <w:rsid w:val="00F730D7"/>
    <w:rsid w:val="00F73711"/>
    <w:rsid w:val="00F739A7"/>
    <w:rsid w:val="00F74B8A"/>
    <w:rsid w:val="00F7597C"/>
    <w:rsid w:val="00F75A9B"/>
    <w:rsid w:val="00F75B29"/>
    <w:rsid w:val="00F76388"/>
    <w:rsid w:val="00F767F2"/>
    <w:rsid w:val="00F76862"/>
    <w:rsid w:val="00F769C3"/>
    <w:rsid w:val="00F76BBB"/>
    <w:rsid w:val="00F76FFF"/>
    <w:rsid w:val="00F777AC"/>
    <w:rsid w:val="00F77EE1"/>
    <w:rsid w:val="00F80795"/>
    <w:rsid w:val="00F8093C"/>
    <w:rsid w:val="00F80954"/>
    <w:rsid w:val="00F80E1D"/>
    <w:rsid w:val="00F80E8B"/>
    <w:rsid w:val="00F80F76"/>
    <w:rsid w:val="00F81736"/>
    <w:rsid w:val="00F81D1A"/>
    <w:rsid w:val="00F81F81"/>
    <w:rsid w:val="00F821A9"/>
    <w:rsid w:val="00F8235F"/>
    <w:rsid w:val="00F8248E"/>
    <w:rsid w:val="00F82C17"/>
    <w:rsid w:val="00F832A5"/>
    <w:rsid w:val="00F83526"/>
    <w:rsid w:val="00F8359F"/>
    <w:rsid w:val="00F83882"/>
    <w:rsid w:val="00F8457B"/>
    <w:rsid w:val="00F8492D"/>
    <w:rsid w:val="00F84A54"/>
    <w:rsid w:val="00F84DAB"/>
    <w:rsid w:val="00F850C7"/>
    <w:rsid w:val="00F85199"/>
    <w:rsid w:val="00F85991"/>
    <w:rsid w:val="00F8613F"/>
    <w:rsid w:val="00F86500"/>
    <w:rsid w:val="00F86832"/>
    <w:rsid w:val="00F870E9"/>
    <w:rsid w:val="00F872E4"/>
    <w:rsid w:val="00F8730F"/>
    <w:rsid w:val="00F8747E"/>
    <w:rsid w:val="00F876A9"/>
    <w:rsid w:val="00F87AD0"/>
    <w:rsid w:val="00F90BB4"/>
    <w:rsid w:val="00F9148F"/>
    <w:rsid w:val="00F9159B"/>
    <w:rsid w:val="00F91707"/>
    <w:rsid w:val="00F91993"/>
    <w:rsid w:val="00F91C04"/>
    <w:rsid w:val="00F91F46"/>
    <w:rsid w:val="00F92411"/>
    <w:rsid w:val="00F924DC"/>
    <w:rsid w:val="00F92F05"/>
    <w:rsid w:val="00F935F7"/>
    <w:rsid w:val="00F93727"/>
    <w:rsid w:val="00F93B65"/>
    <w:rsid w:val="00F93DCA"/>
    <w:rsid w:val="00F94EFB"/>
    <w:rsid w:val="00F950E6"/>
    <w:rsid w:val="00F9569E"/>
    <w:rsid w:val="00F959CD"/>
    <w:rsid w:val="00F95A49"/>
    <w:rsid w:val="00F95B43"/>
    <w:rsid w:val="00F95DE0"/>
    <w:rsid w:val="00F96C02"/>
    <w:rsid w:val="00F96D9C"/>
    <w:rsid w:val="00F96DE3"/>
    <w:rsid w:val="00F97A2C"/>
    <w:rsid w:val="00F97C89"/>
    <w:rsid w:val="00FA03D9"/>
    <w:rsid w:val="00FA084A"/>
    <w:rsid w:val="00FA0858"/>
    <w:rsid w:val="00FA08E5"/>
    <w:rsid w:val="00FA1362"/>
    <w:rsid w:val="00FA1592"/>
    <w:rsid w:val="00FA1713"/>
    <w:rsid w:val="00FA1872"/>
    <w:rsid w:val="00FA1921"/>
    <w:rsid w:val="00FA1B4A"/>
    <w:rsid w:val="00FA25A1"/>
    <w:rsid w:val="00FA27E7"/>
    <w:rsid w:val="00FA2A4A"/>
    <w:rsid w:val="00FA2E20"/>
    <w:rsid w:val="00FA2F2E"/>
    <w:rsid w:val="00FA2FB7"/>
    <w:rsid w:val="00FA36C1"/>
    <w:rsid w:val="00FA3825"/>
    <w:rsid w:val="00FA387B"/>
    <w:rsid w:val="00FA3E75"/>
    <w:rsid w:val="00FA41B2"/>
    <w:rsid w:val="00FA42EC"/>
    <w:rsid w:val="00FA4717"/>
    <w:rsid w:val="00FA48A1"/>
    <w:rsid w:val="00FA4A12"/>
    <w:rsid w:val="00FA4B21"/>
    <w:rsid w:val="00FA4D87"/>
    <w:rsid w:val="00FA51CD"/>
    <w:rsid w:val="00FA569B"/>
    <w:rsid w:val="00FA5E5E"/>
    <w:rsid w:val="00FA6365"/>
    <w:rsid w:val="00FA6366"/>
    <w:rsid w:val="00FA679D"/>
    <w:rsid w:val="00FA6833"/>
    <w:rsid w:val="00FA6943"/>
    <w:rsid w:val="00FA696A"/>
    <w:rsid w:val="00FA6A87"/>
    <w:rsid w:val="00FA7464"/>
    <w:rsid w:val="00FA7791"/>
    <w:rsid w:val="00FA7A7A"/>
    <w:rsid w:val="00FA7C93"/>
    <w:rsid w:val="00FB0251"/>
    <w:rsid w:val="00FB026A"/>
    <w:rsid w:val="00FB0677"/>
    <w:rsid w:val="00FB06EB"/>
    <w:rsid w:val="00FB0801"/>
    <w:rsid w:val="00FB0863"/>
    <w:rsid w:val="00FB0D62"/>
    <w:rsid w:val="00FB0EBE"/>
    <w:rsid w:val="00FB1290"/>
    <w:rsid w:val="00FB1513"/>
    <w:rsid w:val="00FB164A"/>
    <w:rsid w:val="00FB17FC"/>
    <w:rsid w:val="00FB1967"/>
    <w:rsid w:val="00FB1AC6"/>
    <w:rsid w:val="00FB1D65"/>
    <w:rsid w:val="00FB1D8B"/>
    <w:rsid w:val="00FB23B9"/>
    <w:rsid w:val="00FB23F5"/>
    <w:rsid w:val="00FB247A"/>
    <w:rsid w:val="00FB29A4"/>
    <w:rsid w:val="00FB2E26"/>
    <w:rsid w:val="00FB31F8"/>
    <w:rsid w:val="00FB324E"/>
    <w:rsid w:val="00FB349A"/>
    <w:rsid w:val="00FB3A61"/>
    <w:rsid w:val="00FB3ACF"/>
    <w:rsid w:val="00FB3D21"/>
    <w:rsid w:val="00FB3D7E"/>
    <w:rsid w:val="00FB46A5"/>
    <w:rsid w:val="00FB47B0"/>
    <w:rsid w:val="00FB4A29"/>
    <w:rsid w:val="00FB53EF"/>
    <w:rsid w:val="00FB53FE"/>
    <w:rsid w:val="00FB554C"/>
    <w:rsid w:val="00FB58EE"/>
    <w:rsid w:val="00FB5914"/>
    <w:rsid w:val="00FB5C47"/>
    <w:rsid w:val="00FB5F09"/>
    <w:rsid w:val="00FB5FE4"/>
    <w:rsid w:val="00FB60E0"/>
    <w:rsid w:val="00FB6173"/>
    <w:rsid w:val="00FB61F4"/>
    <w:rsid w:val="00FB62AC"/>
    <w:rsid w:val="00FB67D4"/>
    <w:rsid w:val="00FB6A86"/>
    <w:rsid w:val="00FB6BB8"/>
    <w:rsid w:val="00FB6C2A"/>
    <w:rsid w:val="00FB6E86"/>
    <w:rsid w:val="00FB7757"/>
    <w:rsid w:val="00FB7D21"/>
    <w:rsid w:val="00FB7D92"/>
    <w:rsid w:val="00FB7DD5"/>
    <w:rsid w:val="00FB7DF9"/>
    <w:rsid w:val="00FB7E18"/>
    <w:rsid w:val="00FC0464"/>
    <w:rsid w:val="00FC0660"/>
    <w:rsid w:val="00FC0BDB"/>
    <w:rsid w:val="00FC1573"/>
    <w:rsid w:val="00FC161D"/>
    <w:rsid w:val="00FC1DB9"/>
    <w:rsid w:val="00FC217A"/>
    <w:rsid w:val="00FC2640"/>
    <w:rsid w:val="00FC30D9"/>
    <w:rsid w:val="00FC323E"/>
    <w:rsid w:val="00FC35C6"/>
    <w:rsid w:val="00FC3911"/>
    <w:rsid w:val="00FC3B64"/>
    <w:rsid w:val="00FC3D71"/>
    <w:rsid w:val="00FC3FD8"/>
    <w:rsid w:val="00FC424D"/>
    <w:rsid w:val="00FC4F76"/>
    <w:rsid w:val="00FC513F"/>
    <w:rsid w:val="00FC5439"/>
    <w:rsid w:val="00FC5538"/>
    <w:rsid w:val="00FC5675"/>
    <w:rsid w:val="00FC56DF"/>
    <w:rsid w:val="00FC5AF4"/>
    <w:rsid w:val="00FC675D"/>
    <w:rsid w:val="00FC6D19"/>
    <w:rsid w:val="00FC7082"/>
    <w:rsid w:val="00FC7151"/>
    <w:rsid w:val="00FC71FB"/>
    <w:rsid w:val="00FC74BD"/>
    <w:rsid w:val="00FC759D"/>
    <w:rsid w:val="00FC77EC"/>
    <w:rsid w:val="00FC77ED"/>
    <w:rsid w:val="00FC7927"/>
    <w:rsid w:val="00FC7983"/>
    <w:rsid w:val="00FC7998"/>
    <w:rsid w:val="00FC7CEA"/>
    <w:rsid w:val="00FD0693"/>
    <w:rsid w:val="00FD0799"/>
    <w:rsid w:val="00FD0A6B"/>
    <w:rsid w:val="00FD0B44"/>
    <w:rsid w:val="00FD0FE3"/>
    <w:rsid w:val="00FD13C9"/>
    <w:rsid w:val="00FD13EC"/>
    <w:rsid w:val="00FD1D7B"/>
    <w:rsid w:val="00FD1DCA"/>
    <w:rsid w:val="00FD1F49"/>
    <w:rsid w:val="00FD275E"/>
    <w:rsid w:val="00FD285F"/>
    <w:rsid w:val="00FD2F88"/>
    <w:rsid w:val="00FD3181"/>
    <w:rsid w:val="00FD35F8"/>
    <w:rsid w:val="00FD36E5"/>
    <w:rsid w:val="00FD373B"/>
    <w:rsid w:val="00FD3AB8"/>
    <w:rsid w:val="00FD3C7A"/>
    <w:rsid w:val="00FD3C89"/>
    <w:rsid w:val="00FD4079"/>
    <w:rsid w:val="00FD421D"/>
    <w:rsid w:val="00FD4542"/>
    <w:rsid w:val="00FD47E7"/>
    <w:rsid w:val="00FD4E81"/>
    <w:rsid w:val="00FD4F34"/>
    <w:rsid w:val="00FD5095"/>
    <w:rsid w:val="00FD53B2"/>
    <w:rsid w:val="00FD561C"/>
    <w:rsid w:val="00FD57D1"/>
    <w:rsid w:val="00FD585C"/>
    <w:rsid w:val="00FD59B6"/>
    <w:rsid w:val="00FD60E3"/>
    <w:rsid w:val="00FD61D6"/>
    <w:rsid w:val="00FD651D"/>
    <w:rsid w:val="00FD66DB"/>
    <w:rsid w:val="00FD69AC"/>
    <w:rsid w:val="00FD6D17"/>
    <w:rsid w:val="00FD6DA2"/>
    <w:rsid w:val="00FD712D"/>
    <w:rsid w:val="00FD736A"/>
    <w:rsid w:val="00FD7566"/>
    <w:rsid w:val="00FD7687"/>
    <w:rsid w:val="00FD77E8"/>
    <w:rsid w:val="00FD7D41"/>
    <w:rsid w:val="00FD7D8F"/>
    <w:rsid w:val="00FE0809"/>
    <w:rsid w:val="00FE135F"/>
    <w:rsid w:val="00FE1576"/>
    <w:rsid w:val="00FE15AC"/>
    <w:rsid w:val="00FE1705"/>
    <w:rsid w:val="00FE1A43"/>
    <w:rsid w:val="00FE1FF0"/>
    <w:rsid w:val="00FE2143"/>
    <w:rsid w:val="00FE21CA"/>
    <w:rsid w:val="00FE223C"/>
    <w:rsid w:val="00FE25F9"/>
    <w:rsid w:val="00FE26ED"/>
    <w:rsid w:val="00FE2C8C"/>
    <w:rsid w:val="00FE2CFB"/>
    <w:rsid w:val="00FE2EFA"/>
    <w:rsid w:val="00FE300F"/>
    <w:rsid w:val="00FE319C"/>
    <w:rsid w:val="00FE36DF"/>
    <w:rsid w:val="00FE4020"/>
    <w:rsid w:val="00FE42E1"/>
    <w:rsid w:val="00FE4462"/>
    <w:rsid w:val="00FE487C"/>
    <w:rsid w:val="00FE4AF5"/>
    <w:rsid w:val="00FE4C54"/>
    <w:rsid w:val="00FE51F0"/>
    <w:rsid w:val="00FE5555"/>
    <w:rsid w:val="00FE5652"/>
    <w:rsid w:val="00FE585E"/>
    <w:rsid w:val="00FE5C59"/>
    <w:rsid w:val="00FE6610"/>
    <w:rsid w:val="00FE66F0"/>
    <w:rsid w:val="00FE6941"/>
    <w:rsid w:val="00FE6B4C"/>
    <w:rsid w:val="00FE6C29"/>
    <w:rsid w:val="00FE708F"/>
    <w:rsid w:val="00FE7138"/>
    <w:rsid w:val="00FE7170"/>
    <w:rsid w:val="00FE73AE"/>
    <w:rsid w:val="00FE7476"/>
    <w:rsid w:val="00FE7992"/>
    <w:rsid w:val="00FF0444"/>
    <w:rsid w:val="00FF0593"/>
    <w:rsid w:val="00FF09A9"/>
    <w:rsid w:val="00FF0C66"/>
    <w:rsid w:val="00FF0DFE"/>
    <w:rsid w:val="00FF1235"/>
    <w:rsid w:val="00FF140F"/>
    <w:rsid w:val="00FF1C0A"/>
    <w:rsid w:val="00FF1EA5"/>
    <w:rsid w:val="00FF2206"/>
    <w:rsid w:val="00FF2300"/>
    <w:rsid w:val="00FF23A6"/>
    <w:rsid w:val="00FF24FF"/>
    <w:rsid w:val="00FF25A5"/>
    <w:rsid w:val="00FF26B9"/>
    <w:rsid w:val="00FF3081"/>
    <w:rsid w:val="00FF3106"/>
    <w:rsid w:val="00FF3242"/>
    <w:rsid w:val="00FF3375"/>
    <w:rsid w:val="00FF37F5"/>
    <w:rsid w:val="00FF3F4D"/>
    <w:rsid w:val="00FF45FE"/>
    <w:rsid w:val="00FF4647"/>
    <w:rsid w:val="00FF49F0"/>
    <w:rsid w:val="00FF4A64"/>
    <w:rsid w:val="00FF4DDB"/>
    <w:rsid w:val="00FF53A1"/>
    <w:rsid w:val="00FF543F"/>
    <w:rsid w:val="00FF549B"/>
    <w:rsid w:val="00FF5BE4"/>
    <w:rsid w:val="00FF5BEB"/>
    <w:rsid w:val="00FF5C11"/>
    <w:rsid w:val="00FF5CCC"/>
    <w:rsid w:val="00FF5DAA"/>
    <w:rsid w:val="00FF608B"/>
    <w:rsid w:val="00FF6BBB"/>
    <w:rsid w:val="00FF6C48"/>
    <w:rsid w:val="00FF6C5F"/>
    <w:rsid w:val="00FF6CD9"/>
    <w:rsid w:val="00FF6F9C"/>
    <w:rsid w:val="00FF6FD5"/>
    <w:rsid w:val="00FF7767"/>
    <w:rsid w:val="00FF78B8"/>
    <w:rsid w:val="00FF7930"/>
    <w:rsid w:val="00FF7D7F"/>
    <w:rsid w:val="00FF7D86"/>
    <w:rsid w:val="01E2DEA7"/>
    <w:rsid w:val="02E4CF28"/>
    <w:rsid w:val="08665100"/>
    <w:rsid w:val="087D3CAA"/>
    <w:rsid w:val="088D7B71"/>
    <w:rsid w:val="089428B4"/>
    <w:rsid w:val="096BBF96"/>
    <w:rsid w:val="09FD859D"/>
    <w:rsid w:val="0B934DB1"/>
    <w:rsid w:val="0D53091F"/>
    <w:rsid w:val="0E4E8795"/>
    <w:rsid w:val="0F13CDE3"/>
    <w:rsid w:val="0F4AAAB7"/>
    <w:rsid w:val="0F75B3FD"/>
    <w:rsid w:val="0FE6D446"/>
    <w:rsid w:val="10540E63"/>
    <w:rsid w:val="10667E7D"/>
    <w:rsid w:val="13B7A0B7"/>
    <w:rsid w:val="1620FD1F"/>
    <w:rsid w:val="164994A2"/>
    <w:rsid w:val="18DCE429"/>
    <w:rsid w:val="1A390636"/>
    <w:rsid w:val="1B58C743"/>
    <w:rsid w:val="1BD9BEFD"/>
    <w:rsid w:val="1BEE59C2"/>
    <w:rsid w:val="1D1C1BA2"/>
    <w:rsid w:val="22761E4A"/>
    <w:rsid w:val="2332EE0D"/>
    <w:rsid w:val="258D030D"/>
    <w:rsid w:val="264BC6E5"/>
    <w:rsid w:val="265BB5B4"/>
    <w:rsid w:val="2A56028C"/>
    <w:rsid w:val="2E9E4BFF"/>
    <w:rsid w:val="2F155D46"/>
    <w:rsid w:val="30D1EF8F"/>
    <w:rsid w:val="3215C46A"/>
    <w:rsid w:val="32C726CD"/>
    <w:rsid w:val="32C9818E"/>
    <w:rsid w:val="32EE28BD"/>
    <w:rsid w:val="347E2DA6"/>
    <w:rsid w:val="363B761D"/>
    <w:rsid w:val="36C4F211"/>
    <w:rsid w:val="37F390E4"/>
    <w:rsid w:val="391D0A2F"/>
    <w:rsid w:val="391E04F0"/>
    <w:rsid w:val="396A2A5A"/>
    <w:rsid w:val="3B0D501A"/>
    <w:rsid w:val="3B19C988"/>
    <w:rsid w:val="3BA0F559"/>
    <w:rsid w:val="3D8AAB4E"/>
    <w:rsid w:val="3D960239"/>
    <w:rsid w:val="3DC2D429"/>
    <w:rsid w:val="3F742DD9"/>
    <w:rsid w:val="3F7E6555"/>
    <w:rsid w:val="3FF1A99F"/>
    <w:rsid w:val="43C5385D"/>
    <w:rsid w:val="4610F8BA"/>
    <w:rsid w:val="47015612"/>
    <w:rsid w:val="498EEAE4"/>
    <w:rsid w:val="4AE1E71B"/>
    <w:rsid w:val="4D7A40F8"/>
    <w:rsid w:val="4E279791"/>
    <w:rsid w:val="5280F61B"/>
    <w:rsid w:val="551959A6"/>
    <w:rsid w:val="555DB88D"/>
    <w:rsid w:val="55685678"/>
    <w:rsid w:val="558E51FD"/>
    <w:rsid w:val="56260C7E"/>
    <w:rsid w:val="566055E8"/>
    <w:rsid w:val="58CD887F"/>
    <w:rsid w:val="58FD1D91"/>
    <w:rsid w:val="5ABF0AA8"/>
    <w:rsid w:val="5BF39259"/>
    <w:rsid w:val="5C463511"/>
    <w:rsid w:val="5E77B040"/>
    <w:rsid w:val="5EDD8FEC"/>
    <w:rsid w:val="5FA76106"/>
    <w:rsid w:val="61805354"/>
    <w:rsid w:val="63B13599"/>
    <w:rsid w:val="653DFAEA"/>
    <w:rsid w:val="681BBB07"/>
    <w:rsid w:val="68CD857E"/>
    <w:rsid w:val="69E905CB"/>
    <w:rsid w:val="6A43638B"/>
    <w:rsid w:val="6BB4EC77"/>
    <w:rsid w:val="6C299EC2"/>
    <w:rsid w:val="6C9A3117"/>
    <w:rsid w:val="6FB41849"/>
    <w:rsid w:val="6FC6F11E"/>
    <w:rsid w:val="701E602C"/>
    <w:rsid w:val="7039CECB"/>
    <w:rsid w:val="782D7F27"/>
    <w:rsid w:val="79715B30"/>
    <w:rsid w:val="79E09C31"/>
    <w:rsid w:val="7A0CFDB8"/>
    <w:rsid w:val="7A378B85"/>
    <w:rsid w:val="7ABC2613"/>
    <w:rsid w:val="7B4F8F92"/>
    <w:rsid w:val="7B583C1F"/>
    <w:rsid w:val="7D3DF9E8"/>
    <w:rsid w:val="7ED374DF"/>
    <w:rsid w:val="7F900490"/>
  </w:rsids>
  <m:mathPr>
    <m:mathFont m:val="Cambria Math"/>
    <m:brkBin m:val="before"/>
    <m:brkBinSub m:val="--"/>
    <m:smallFrac m:val="0"/>
    <m:dispDef/>
    <m:lMargin m:val="0"/>
    <m:rMargin m:val="0"/>
    <m:defJc m:val="centerGroup"/>
    <m:wrapIndent m:val="1440"/>
    <m:intLim m:val="subSup"/>
    <m:naryLim m:val="undOvr"/>
  </m:mathPr>
  <w:themeFontLang w:val="en-AU"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53F3A8"/>
  <w15:chartTrackingRefBased/>
  <w15:docId w15:val="{1BC6A291-EA20-47B1-8FD0-C15B7551F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3"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qFormat="1"/>
    <w:lsdException w:name="List Number" w:semiHidden="1" w:unhideWhenUsed="1"/>
    <w:lsdException w:name="List 2" w:qFormat="1"/>
    <w:lsdException w:name="List 3" w:qFormat="1"/>
    <w:lsdException w:name="List 4" w:semiHidden="1" w:unhideWhenUsed="1"/>
    <w:lsdException w:name="List 5" w:semiHidden="1" w:unhideWhenUsed="1"/>
    <w:lsdException w:name="List Bullet 2" w:semiHidden="1" w:unhideWhenUsed="1" w:qFormat="1"/>
    <w:lsdException w:name="List Bullet 3"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380B"/>
    <w:pPr>
      <w:spacing w:after="120"/>
      <w:jc w:val="both"/>
    </w:pPr>
    <w:rPr>
      <w:sz w:val="20"/>
      <w:szCs w:val="20"/>
    </w:rPr>
  </w:style>
  <w:style w:type="paragraph" w:styleId="Heading1">
    <w:name w:val="heading 1"/>
    <w:aliases w:val="Num heading 1"/>
    <w:basedOn w:val="ListParagraph"/>
    <w:next w:val="Normal"/>
    <w:link w:val="Heading1Char"/>
    <w:uiPriority w:val="3"/>
    <w:qFormat/>
    <w:rsid w:val="001F3634"/>
    <w:pPr>
      <w:numPr>
        <w:numId w:val="33"/>
      </w:numPr>
      <w:outlineLvl w:val="0"/>
    </w:pPr>
    <w:rPr>
      <w:rFonts w:cstheme="minorHAnsi"/>
      <w:b/>
      <w:bCs/>
      <w:sz w:val="21"/>
      <w:szCs w:val="21"/>
    </w:rPr>
  </w:style>
  <w:style w:type="paragraph" w:styleId="Heading2">
    <w:name w:val="heading 2"/>
    <w:aliases w:val="Num heading 2"/>
    <w:basedOn w:val="Normal"/>
    <w:next w:val="Normal"/>
    <w:link w:val="Heading2Char"/>
    <w:uiPriority w:val="3"/>
    <w:unhideWhenUsed/>
    <w:qFormat/>
    <w:rsid w:val="0025245A"/>
    <w:pPr>
      <w:keepNext/>
      <w:keepLines/>
      <w:numPr>
        <w:ilvl w:val="1"/>
        <w:numId w:val="20"/>
      </w:numPr>
      <w:spacing w:after="240"/>
      <w:outlineLvl w:val="1"/>
    </w:pPr>
    <w:rPr>
      <w:rFonts w:ascii="CBA Beacon Sans Extra Bold" w:hAnsi="CBA Beacon Sans Extra Bold"/>
      <w:sz w:val="28"/>
      <w:szCs w:val="36"/>
    </w:rPr>
  </w:style>
  <w:style w:type="paragraph" w:styleId="Heading3">
    <w:name w:val="heading 3"/>
    <w:aliases w:val="Num heading 3"/>
    <w:basedOn w:val="Normal"/>
    <w:next w:val="Normal"/>
    <w:link w:val="Heading3Char"/>
    <w:uiPriority w:val="3"/>
    <w:unhideWhenUsed/>
    <w:qFormat/>
    <w:rsid w:val="0025245A"/>
    <w:pPr>
      <w:keepNext/>
      <w:keepLines/>
      <w:numPr>
        <w:ilvl w:val="2"/>
        <w:numId w:val="20"/>
      </w:numPr>
      <w:spacing w:after="240"/>
      <w:outlineLvl w:val="2"/>
    </w:pPr>
    <w:rPr>
      <w:rFonts w:asciiTheme="majorHAnsi" w:hAnsiTheme="majorHAnsi"/>
      <w:b/>
      <w:bCs/>
      <w:sz w:val="24"/>
      <w:szCs w:val="24"/>
    </w:rPr>
  </w:style>
  <w:style w:type="paragraph" w:styleId="Heading4">
    <w:name w:val="heading 4"/>
    <w:aliases w:val="Num heading 4"/>
    <w:basedOn w:val="Heading3"/>
    <w:next w:val="Normal"/>
    <w:link w:val="Heading4Char"/>
    <w:uiPriority w:val="3"/>
    <w:unhideWhenUsed/>
    <w:qFormat/>
    <w:rsid w:val="00E56748"/>
    <w:pPr>
      <w:numPr>
        <w:ilvl w:val="3"/>
      </w:numPr>
      <w:spacing w:after="160"/>
      <w:outlineLvl w:val="3"/>
    </w:pPr>
    <w:rPr>
      <w:b w:val="0"/>
      <w:bCs w:val="0"/>
      <w:sz w:val="20"/>
      <w:szCs w:val="20"/>
    </w:rPr>
  </w:style>
  <w:style w:type="paragraph" w:styleId="Heading5">
    <w:name w:val="heading 5"/>
    <w:aliases w:val="Subpara 1"/>
    <w:basedOn w:val="Normal"/>
    <w:next w:val="Normal"/>
    <w:link w:val="Heading5Char"/>
    <w:uiPriority w:val="3"/>
    <w:unhideWhenUsed/>
    <w:qFormat/>
    <w:rsid w:val="00F81D1A"/>
    <w:pPr>
      <w:numPr>
        <w:ilvl w:val="4"/>
        <w:numId w:val="20"/>
      </w:numPr>
      <w:outlineLvl w:val="4"/>
    </w:pPr>
    <w:rPr>
      <w:rFonts w:eastAsiaTheme="majorEastAsia" w:cstheme="majorBidi"/>
      <w:color w:val="1E1E1E" w:themeColor="text1"/>
    </w:rPr>
  </w:style>
  <w:style w:type="paragraph" w:styleId="Heading6">
    <w:name w:val="heading 6"/>
    <w:aliases w:val="Subpara 2"/>
    <w:basedOn w:val="Normal"/>
    <w:next w:val="Normal"/>
    <w:link w:val="Heading6Char"/>
    <w:uiPriority w:val="3"/>
    <w:unhideWhenUsed/>
    <w:qFormat/>
    <w:rsid w:val="00F81D1A"/>
    <w:pPr>
      <w:numPr>
        <w:ilvl w:val="5"/>
        <w:numId w:val="20"/>
      </w:numPr>
      <w:outlineLvl w:val="5"/>
    </w:pPr>
    <w:rPr>
      <w:rFonts w:eastAsiaTheme="majorEastAsia" w:cstheme="majorBidi"/>
      <w:color w:val="1E1E1E" w:themeColor="text1"/>
    </w:rPr>
  </w:style>
  <w:style w:type="paragraph" w:styleId="Heading7">
    <w:name w:val="heading 7"/>
    <w:aliases w:val="Subpara 3"/>
    <w:basedOn w:val="Normal"/>
    <w:next w:val="Normal"/>
    <w:link w:val="Heading7Char"/>
    <w:uiPriority w:val="3"/>
    <w:unhideWhenUsed/>
    <w:qFormat/>
    <w:rsid w:val="00F81D1A"/>
    <w:pPr>
      <w:numPr>
        <w:ilvl w:val="6"/>
        <w:numId w:val="20"/>
      </w:numPr>
      <w:outlineLvl w:val="6"/>
    </w:pPr>
    <w:rPr>
      <w:rFonts w:eastAsiaTheme="majorEastAsia" w:cstheme="majorBidi"/>
      <w:color w:val="1E1E1E" w:themeColor="text1"/>
    </w:rPr>
  </w:style>
  <w:style w:type="paragraph" w:styleId="Heading8">
    <w:name w:val="heading 8"/>
    <w:basedOn w:val="Normal"/>
    <w:next w:val="Normal"/>
    <w:link w:val="Heading8Char"/>
    <w:uiPriority w:val="9"/>
    <w:semiHidden/>
    <w:qFormat/>
    <w:rsid w:val="0006045D"/>
    <w:pPr>
      <w:outlineLvl w:val="7"/>
    </w:pPr>
  </w:style>
  <w:style w:type="paragraph" w:styleId="Heading9">
    <w:name w:val="heading 9"/>
    <w:basedOn w:val="Normal"/>
    <w:next w:val="Normal"/>
    <w:link w:val="Heading9Char"/>
    <w:uiPriority w:val="9"/>
    <w:semiHidden/>
    <w:qFormat/>
    <w:rsid w:val="0006045D"/>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F7D86"/>
    <w:rPr>
      <w:color w:val="808080"/>
    </w:rPr>
  </w:style>
  <w:style w:type="table" w:styleId="TableGrid">
    <w:name w:val="Table Grid"/>
    <w:basedOn w:val="TableNormal"/>
    <w:uiPriority w:val="39"/>
    <w:rsid w:val="005126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rFonts w:asciiTheme="minorHAnsi" w:hAnsiTheme="minorHAnsi"/>
        <w:b/>
        <w:sz w:val="22"/>
      </w:rPr>
    </w:tblStylePr>
  </w:style>
  <w:style w:type="paragraph" w:styleId="Header">
    <w:name w:val="header"/>
    <w:basedOn w:val="Normal"/>
    <w:link w:val="HeaderChar"/>
    <w:uiPriority w:val="99"/>
    <w:unhideWhenUsed/>
    <w:rsid w:val="0068203C"/>
    <w:pPr>
      <w:tabs>
        <w:tab w:val="center" w:pos="4513"/>
        <w:tab w:val="right" w:pos="9026"/>
      </w:tabs>
      <w:spacing w:after="1440" w:line="240" w:lineRule="auto"/>
    </w:pPr>
  </w:style>
  <w:style w:type="character" w:customStyle="1" w:styleId="HeaderChar">
    <w:name w:val="Header Char"/>
    <w:basedOn w:val="DefaultParagraphFont"/>
    <w:link w:val="Header"/>
    <w:uiPriority w:val="99"/>
    <w:rsid w:val="0068203C"/>
    <w:rPr>
      <w:sz w:val="20"/>
      <w:szCs w:val="20"/>
    </w:rPr>
  </w:style>
  <w:style w:type="paragraph" w:styleId="Footer">
    <w:name w:val="footer"/>
    <w:link w:val="FooterChar"/>
    <w:uiPriority w:val="99"/>
    <w:unhideWhenUsed/>
    <w:rsid w:val="00EA30C7"/>
    <w:pPr>
      <w:tabs>
        <w:tab w:val="center" w:pos="4513"/>
        <w:tab w:val="right" w:pos="9026"/>
      </w:tabs>
      <w:spacing w:after="0" w:line="240" w:lineRule="auto"/>
    </w:pPr>
    <w:rPr>
      <w:sz w:val="16"/>
      <w:szCs w:val="20"/>
    </w:rPr>
  </w:style>
  <w:style w:type="character" w:customStyle="1" w:styleId="FooterChar">
    <w:name w:val="Footer Char"/>
    <w:basedOn w:val="DefaultParagraphFont"/>
    <w:link w:val="Footer"/>
    <w:uiPriority w:val="99"/>
    <w:rsid w:val="00EA30C7"/>
    <w:rPr>
      <w:sz w:val="16"/>
      <w:szCs w:val="20"/>
    </w:rPr>
  </w:style>
  <w:style w:type="paragraph" w:styleId="Salutation">
    <w:name w:val="Salutation"/>
    <w:aliases w:val="Letter_Salutation"/>
    <w:basedOn w:val="Normal"/>
    <w:next w:val="Normal"/>
    <w:link w:val="SalutationChar"/>
    <w:qFormat/>
    <w:rsid w:val="0068203C"/>
  </w:style>
  <w:style w:type="character" w:customStyle="1" w:styleId="SalutationChar">
    <w:name w:val="Salutation Char"/>
    <w:aliases w:val="Letter_Salutation Char"/>
    <w:basedOn w:val="DefaultParagraphFont"/>
    <w:link w:val="Salutation"/>
    <w:rsid w:val="00AA2BFC"/>
    <w:rPr>
      <w:sz w:val="20"/>
      <w:szCs w:val="20"/>
    </w:rPr>
  </w:style>
  <w:style w:type="table" w:customStyle="1" w:styleId="CBAAgendatable">
    <w:name w:val="CBA Agenda table"/>
    <w:basedOn w:val="TableNormal"/>
    <w:uiPriority w:val="99"/>
    <w:rsid w:val="00F10185"/>
    <w:pPr>
      <w:spacing w:after="0" w:line="240" w:lineRule="auto"/>
    </w:pPr>
    <w:tblPr>
      <w:tblCellMar>
        <w:top w:w="57" w:type="dxa"/>
        <w:bottom w:w="57" w:type="dxa"/>
      </w:tblCellMar>
    </w:tblPr>
    <w:tblStylePr w:type="firstRow">
      <w:rPr>
        <w:rFonts w:asciiTheme="majorHAnsi" w:hAnsiTheme="majorHAnsi"/>
      </w:rPr>
      <w:tblPr/>
      <w:trPr>
        <w:tblHeader/>
      </w:trPr>
      <w:tcPr>
        <w:tcBorders>
          <w:top w:val="nil"/>
          <w:left w:val="nil"/>
          <w:bottom w:val="single" w:sz="8" w:space="0" w:color="auto"/>
          <w:right w:val="nil"/>
          <w:insideH w:val="nil"/>
          <w:insideV w:val="nil"/>
          <w:tl2br w:val="nil"/>
          <w:tr2bl w:val="nil"/>
        </w:tcBorders>
      </w:tcPr>
    </w:tblStylePr>
  </w:style>
  <w:style w:type="paragraph" w:styleId="Caption">
    <w:name w:val="caption"/>
    <w:basedOn w:val="Normal"/>
    <w:next w:val="Normal"/>
    <w:uiPriority w:val="2"/>
    <w:qFormat/>
    <w:rsid w:val="00777CC7"/>
    <w:pPr>
      <w:keepNext/>
      <w:keepLines/>
      <w:spacing w:after="200" w:line="240" w:lineRule="auto"/>
    </w:pPr>
    <w:rPr>
      <w:rFonts w:ascii="CBA Beacon Sans Extra Bold" w:hAnsi="CBA Beacon Sans Extra Bold"/>
      <w:iCs/>
      <w:szCs w:val="18"/>
    </w:rPr>
  </w:style>
  <w:style w:type="paragraph" w:styleId="ListBullet3">
    <w:name w:val="List Bullet 3"/>
    <w:basedOn w:val="Normal"/>
    <w:uiPriority w:val="1"/>
    <w:qFormat/>
    <w:rsid w:val="007C5965"/>
    <w:pPr>
      <w:numPr>
        <w:ilvl w:val="2"/>
        <w:numId w:val="11"/>
      </w:numPr>
      <w:contextualSpacing/>
    </w:pPr>
  </w:style>
  <w:style w:type="character" w:customStyle="1" w:styleId="Heading1Char">
    <w:name w:val="Heading 1 Char"/>
    <w:aliases w:val="Num heading 1 Char"/>
    <w:basedOn w:val="DefaultParagraphFont"/>
    <w:link w:val="Heading1"/>
    <w:uiPriority w:val="3"/>
    <w:rsid w:val="00DA34A5"/>
    <w:rPr>
      <w:rFonts w:cstheme="minorHAnsi"/>
      <w:b/>
      <w:bCs/>
      <w:sz w:val="21"/>
      <w:szCs w:val="21"/>
    </w:rPr>
  </w:style>
  <w:style w:type="paragraph" w:styleId="BalloonText">
    <w:name w:val="Balloon Text"/>
    <w:basedOn w:val="Normal"/>
    <w:link w:val="BalloonTextChar"/>
    <w:uiPriority w:val="99"/>
    <w:semiHidden/>
    <w:unhideWhenUsed/>
    <w:rsid w:val="00064101"/>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064101"/>
    <w:rPr>
      <w:rFonts w:ascii="Segoe UI" w:hAnsi="Segoe UI" w:cs="Segoe UI"/>
      <w:sz w:val="18"/>
      <w:szCs w:val="18"/>
    </w:rPr>
  </w:style>
  <w:style w:type="character" w:customStyle="1" w:styleId="Heading2Char">
    <w:name w:val="Heading 2 Char"/>
    <w:aliases w:val="Num heading 2 Char"/>
    <w:basedOn w:val="DefaultParagraphFont"/>
    <w:link w:val="Heading2"/>
    <w:uiPriority w:val="3"/>
    <w:rsid w:val="00DA34A5"/>
    <w:rPr>
      <w:rFonts w:ascii="CBA Beacon Sans Extra Bold" w:hAnsi="CBA Beacon Sans Extra Bold"/>
      <w:sz w:val="28"/>
      <w:szCs w:val="36"/>
    </w:rPr>
  </w:style>
  <w:style w:type="character" w:customStyle="1" w:styleId="Heading3Char">
    <w:name w:val="Heading 3 Char"/>
    <w:aliases w:val="Num heading 3 Char"/>
    <w:basedOn w:val="DefaultParagraphFont"/>
    <w:link w:val="Heading3"/>
    <w:uiPriority w:val="3"/>
    <w:rsid w:val="00DA34A5"/>
    <w:rPr>
      <w:rFonts w:asciiTheme="majorHAnsi" w:hAnsiTheme="majorHAnsi"/>
      <w:b/>
      <w:bCs/>
      <w:sz w:val="24"/>
      <w:szCs w:val="24"/>
    </w:rPr>
  </w:style>
  <w:style w:type="paragraph" w:styleId="ListParagraph">
    <w:name w:val="List Paragraph"/>
    <w:aliases w:val="Table Txt,Recommendation,List Paragraph1,List Paragraph11,L,Number,#List Paragraph,Level 1 list,PRI Bullets,Paragraphe de liste,List Paragraph - bullets,Executive Summary List,List Level 1,List - Bullet points,FooterText,列出段落1,Bullet List"/>
    <w:basedOn w:val="Normal"/>
    <w:link w:val="ListParagraphChar"/>
    <w:uiPriority w:val="34"/>
    <w:qFormat/>
    <w:rsid w:val="00AA0993"/>
    <w:pPr>
      <w:ind w:left="720"/>
      <w:contextualSpacing/>
    </w:pPr>
  </w:style>
  <w:style w:type="paragraph" w:styleId="ListBullet">
    <w:name w:val="List Bullet"/>
    <w:basedOn w:val="ListParagraph"/>
    <w:uiPriority w:val="1"/>
    <w:qFormat/>
    <w:rsid w:val="007C5965"/>
    <w:pPr>
      <w:numPr>
        <w:numId w:val="11"/>
      </w:numPr>
    </w:pPr>
  </w:style>
  <w:style w:type="paragraph" w:styleId="ListBullet2">
    <w:name w:val="List Bullet 2"/>
    <w:basedOn w:val="ListParagraph"/>
    <w:uiPriority w:val="1"/>
    <w:qFormat/>
    <w:rsid w:val="007C5965"/>
    <w:pPr>
      <w:numPr>
        <w:ilvl w:val="1"/>
        <w:numId w:val="11"/>
      </w:numPr>
      <w:ind w:left="568" w:hanging="284"/>
    </w:pPr>
  </w:style>
  <w:style w:type="paragraph" w:styleId="Quote">
    <w:name w:val="Quote"/>
    <w:basedOn w:val="Normal"/>
    <w:next w:val="Normal"/>
    <w:link w:val="QuoteChar"/>
    <w:uiPriority w:val="2"/>
    <w:qFormat/>
    <w:rsid w:val="00860FB6"/>
    <w:pPr>
      <w:framePr w:w="4536" w:hSpace="340" w:wrap="around" w:vAnchor="text" w:hAnchor="margin" w:xAlign="right" w:y="1"/>
      <w:pBdr>
        <w:left w:val="single" w:sz="6" w:space="4" w:color="auto"/>
      </w:pBdr>
    </w:pPr>
    <w:rPr>
      <w:sz w:val="40"/>
      <w:szCs w:val="40"/>
    </w:rPr>
  </w:style>
  <w:style w:type="paragraph" w:customStyle="1" w:styleId="Footer-Commbank">
    <w:name w:val="Footer - Commbank"/>
    <w:uiPriority w:val="99"/>
    <w:rsid w:val="003E460E"/>
    <w:pPr>
      <w:spacing w:before="20" w:after="0" w:line="240" w:lineRule="auto"/>
    </w:pPr>
    <w:rPr>
      <w:color w:val="C00000"/>
      <w:sz w:val="12"/>
      <w:szCs w:val="12"/>
    </w:rPr>
  </w:style>
  <w:style w:type="paragraph" w:styleId="Signature">
    <w:name w:val="Signature"/>
    <w:aliases w:val="Letter_Signature"/>
    <w:basedOn w:val="Normal"/>
    <w:link w:val="SignatureChar"/>
    <w:qFormat/>
    <w:rsid w:val="0068203C"/>
    <w:pPr>
      <w:spacing w:before="1200" w:after="0" w:line="240" w:lineRule="auto"/>
      <w:contextualSpacing/>
    </w:pPr>
  </w:style>
  <w:style w:type="table" w:customStyle="1" w:styleId="Footertable">
    <w:name w:val="Footer table"/>
    <w:basedOn w:val="TableNormal"/>
    <w:uiPriority w:val="99"/>
    <w:rsid w:val="00EA30C7"/>
    <w:pPr>
      <w:spacing w:after="0" w:line="240" w:lineRule="auto"/>
    </w:pPr>
    <w:tblPr/>
  </w:style>
  <w:style w:type="table" w:customStyle="1" w:styleId="CBACustomTable">
    <w:name w:val="CBA Custom Table"/>
    <w:basedOn w:val="TableGrid"/>
    <w:uiPriority w:val="42"/>
    <w:rsid w:val="007A23C4"/>
    <w:pPr>
      <w:jc w:val="center"/>
    </w:pPr>
    <w:tblPr>
      <w:tblStyleRowBandSize w:val="1"/>
      <w:tblStyleColBandSize w:val="1"/>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left w:w="85" w:type="dxa"/>
        <w:bottom w:w="57" w:type="dxa"/>
        <w:right w:w="85" w:type="dxa"/>
      </w:tblCellMar>
    </w:tblPr>
    <w:tcPr>
      <w:vAlign w:val="center"/>
    </w:tcPr>
    <w:tblStylePr w:type="firstRow">
      <w:rPr>
        <w:rFonts w:asciiTheme="majorHAnsi" w:hAnsiTheme="majorHAnsi"/>
        <w:b w:val="0"/>
        <w:bCs/>
        <w:color w:val="1E1E1E" w:themeColor="text1"/>
        <w:sz w:val="22"/>
      </w:rPr>
      <w:tblPr/>
      <w:trPr>
        <w:tblHeader/>
      </w:trPr>
      <w:tcPr>
        <w:tcBorders>
          <w:top w:val="nil"/>
          <w:left w:val="nil"/>
          <w:bottom w:val="single" w:sz="6" w:space="0" w:color="auto"/>
          <w:right w:val="nil"/>
          <w:insideH w:val="single" w:sz="4" w:space="0" w:color="FFCC00" w:themeColor="accent1"/>
          <w:insideV w:val="nil"/>
          <w:tl2br w:val="nil"/>
          <w:tr2bl w:val="nil"/>
        </w:tcBorders>
      </w:tcPr>
    </w:tblStylePr>
    <w:tblStylePr w:type="lastRow">
      <w:rPr>
        <w:rFonts w:asciiTheme="majorHAnsi" w:hAnsiTheme="majorHAnsi"/>
        <w:b w:val="0"/>
        <w:bCs/>
        <w:sz w:val="20"/>
      </w:rPr>
      <w:tblPr/>
      <w:tcPr>
        <w:tcBorders>
          <w:top w:val="nil"/>
          <w:left w:val="nil"/>
          <w:bottom w:val="nil"/>
          <w:right w:val="nil"/>
          <w:insideH w:val="nil"/>
          <w:insideV w:val="nil"/>
          <w:tl2br w:val="nil"/>
          <w:tr2bl w:val="nil"/>
        </w:tcBorders>
        <w:shd w:val="clear" w:color="auto" w:fill="F2F2F2" w:themeFill="background1" w:themeFillShade="F2"/>
      </w:tcPr>
    </w:tblStylePr>
    <w:tblStylePr w:type="firstCol">
      <w:pPr>
        <w:jc w:val="left"/>
      </w:pPr>
      <w:rPr>
        <w:rFonts w:asciiTheme="minorHAnsi" w:hAnsiTheme="minorHAnsi"/>
        <w:b w:val="0"/>
        <w:bCs/>
        <w:sz w:val="20"/>
      </w:rPr>
      <w:tblPr/>
      <w:tcPr>
        <w:vAlign w:val="center"/>
      </w:tcPr>
    </w:tblStylePr>
    <w:tblStylePr w:type="lastCol">
      <w:rPr>
        <w:rFonts w:asciiTheme="majorHAnsi" w:hAnsiTheme="majorHAnsi"/>
        <w:b w:val="0"/>
        <w:bCs/>
      </w:rPr>
    </w:tblStylePr>
    <w:tblStylePr w:type="band1Vert">
      <w:pPr>
        <w:wordWrap/>
        <w:spacing w:line="240" w:lineRule="auto"/>
      </w:pPr>
      <w:tblPr/>
      <w:tcPr>
        <w:tcBorders>
          <w:top w:val="nil"/>
          <w:left w:val="nil"/>
          <w:bottom w:val="nil"/>
          <w:right w:val="nil"/>
          <w:insideH w:val="nil"/>
          <w:insideV w:val="nil"/>
          <w:tl2br w:val="nil"/>
          <w:tr2bl w:val="nil"/>
        </w:tcBorders>
      </w:tcPr>
    </w:tblStylePr>
    <w:tblStylePr w:type="band2Vert">
      <w:pPr>
        <w:wordWrap/>
      </w:pPr>
      <w:tblPr/>
      <w:tcPr>
        <w:tcBorders>
          <w:top w:val="nil"/>
          <w:left w:val="nil"/>
          <w:bottom w:val="nil"/>
          <w:right w:val="nil"/>
          <w:insideH w:val="nil"/>
          <w:insideV w:val="nil"/>
        </w:tcBorders>
      </w:tcPr>
    </w:tblStylePr>
    <w:tblStylePr w:type="band1Horz">
      <w:rPr>
        <w:rFonts w:asciiTheme="minorHAnsi" w:hAnsiTheme="minorHAnsi"/>
        <w:sz w:val="20"/>
      </w:rPr>
      <w:tblPr/>
      <w:tcPr>
        <w:tcBorders>
          <w:top w:val="nil"/>
          <w:left w:val="nil"/>
          <w:bottom w:val="nil"/>
          <w:right w:val="nil"/>
          <w:insideH w:val="nil"/>
          <w:insideV w:val="nil"/>
          <w:tl2br w:val="nil"/>
          <w:tr2bl w:val="nil"/>
        </w:tcBorders>
      </w:tcPr>
    </w:tblStylePr>
    <w:tblStylePr w:type="band2Horz">
      <w:rPr>
        <w:rFonts w:asciiTheme="minorHAnsi" w:hAnsiTheme="minorHAnsi"/>
        <w:sz w:val="20"/>
      </w:rPr>
      <w:tblPr/>
      <w:tcPr>
        <w:tcBorders>
          <w:top w:val="nil"/>
          <w:left w:val="nil"/>
          <w:bottom w:val="nil"/>
          <w:right w:val="nil"/>
          <w:insideH w:val="nil"/>
          <w:insideV w:val="nil"/>
          <w:tl2br w:val="nil"/>
          <w:tr2bl w:val="nil"/>
        </w:tcBorders>
      </w:tcPr>
    </w:tblStylePr>
    <w:tblStylePr w:type="swCell">
      <w:rPr>
        <w:rFonts w:asciiTheme="minorHAnsi" w:hAnsiTheme="minorHAnsi"/>
        <w:b/>
        <w:sz w:val="20"/>
      </w:rPr>
    </w:tblStylePr>
  </w:style>
  <w:style w:type="table" w:styleId="PlainTable1">
    <w:name w:val="Plain Table 1"/>
    <w:basedOn w:val="TableNormal"/>
    <w:uiPriority w:val="41"/>
    <w:rsid w:val="0092481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6B5C99"/>
    <w:pPr>
      <w:spacing w:before="100" w:beforeAutospacing="1" w:after="100" w:afterAutospacing="1" w:line="240" w:lineRule="auto"/>
    </w:pPr>
    <w:rPr>
      <w:rFonts w:ascii="Times New Roman" w:eastAsiaTheme="minorEastAsia" w:hAnsi="Times New Roman" w:cs="Times New Roman"/>
      <w:sz w:val="24"/>
      <w:szCs w:val="24"/>
      <w:lang w:eastAsia="en-AU"/>
    </w:rPr>
  </w:style>
  <w:style w:type="paragraph" w:styleId="TOCHeading">
    <w:name w:val="TOC Heading"/>
    <w:basedOn w:val="Heading1"/>
    <w:next w:val="Normal"/>
    <w:uiPriority w:val="99"/>
    <w:semiHidden/>
    <w:rsid w:val="00F81D1A"/>
    <w:pPr>
      <w:numPr>
        <w:numId w:val="0"/>
      </w:numPr>
      <w:outlineLvl w:val="9"/>
    </w:pPr>
    <w:rPr>
      <w:rFonts w:eastAsiaTheme="majorEastAsia" w:cstheme="majorBidi"/>
      <w:szCs w:val="32"/>
    </w:rPr>
  </w:style>
  <w:style w:type="paragraph" w:styleId="TOC1">
    <w:name w:val="toc 1"/>
    <w:basedOn w:val="Normal"/>
    <w:next w:val="Normal"/>
    <w:autoRedefine/>
    <w:uiPriority w:val="39"/>
    <w:semiHidden/>
    <w:rsid w:val="002D58FC"/>
    <w:pPr>
      <w:tabs>
        <w:tab w:val="right" w:pos="9378"/>
      </w:tabs>
      <w:spacing w:before="240" w:after="100"/>
    </w:pPr>
    <w:rPr>
      <w:b/>
      <w:noProof/>
    </w:rPr>
  </w:style>
  <w:style w:type="paragraph" w:styleId="TOC2">
    <w:name w:val="toc 2"/>
    <w:basedOn w:val="Normal"/>
    <w:next w:val="Normal"/>
    <w:autoRedefine/>
    <w:uiPriority w:val="39"/>
    <w:semiHidden/>
    <w:rsid w:val="00CD03DB"/>
    <w:pPr>
      <w:tabs>
        <w:tab w:val="right" w:pos="9378"/>
      </w:tabs>
      <w:spacing w:after="100"/>
    </w:pPr>
    <w:rPr>
      <w:noProof/>
    </w:rPr>
  </w:style>
  <w:style w:type="paragraph" w:styleId="TOC3">
    <w:name w:val="toc 3"/>
    <w:basedOn w:val="Normal"/>
    <w:next w:val="Normal"/>
    <w:autoRedefine/>
    <w:uiPriority w:val="39"/>
    <w:semiHidden/>
    <w:rsid w:val="00CD03DB"/>
    <w:pPr>
      <w:tabs>
        <w:tab w:val="right" w:pos="9378"/>
      </w:tabs>
      <w:spacing w:after="100"/>
    </w:pPr>
    <w:rPr>
      <w:i/>
      <w:noProof/>
    </w:rPr>
  </w:style>
  <w:style w:type="character" w:styleId="Hyperlink">
    <w:name w:val="Hyperlink"/>
    <w:basedOn w:val="DefaultParagraphFont"/>
    <w:uiPriority w:val="99"/>
    <w:qFormat/>
    <w:rsid w:val="00C15415"/>
    <w:rPr>
      <w:color w:val="126C8B"/>
      <w:u w:val="single"/>
    </w:rPr>
  </w:style>
  <w:style w:type="paragraph" w:styleId="Title">
    <w:name w:val="Title"/>
    <w:basedOn w:val="Normal"/>
    <w:next w:val="Normal"/>
    <w:link w:val="TitleChar"/>
    <w:uiPriority w:val="99"/>
    <w:semiHidden/>
    <w:rsid w:val="00C3551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semiHidden/>
    <w:rsid w:val="00DA34A5"/>
    <w:rPr>
      <w:rFonts w:asciiTheme="majorHAnsi" w:eastAsiaTheme="majorEastAsia" w:hAnsiTheme="majorHAnsi" w:cstheme="majorBidi"/>
      <w:spacing w:val="-10"/>
      <w:kern w:val="28"/>
      <w:sz w:val="56"/>
      <w:szCs w:val="56"/>
    </w:rPr>
  </w:style>
  <w:style w:type="character" w:customStyle="1" w:styleId="CBABeaconSansExtraBold">
    <w:name w:val="*CBA Beacon Sans Extra Bold"/>
    <w:basedOn w:val="DefaultParagraphFont"/>
    <w:uiPriority w:val="99"/>
    <w:qFormat/>
    <w:rsid w:val="00EA30C7"/>
    <w:rPr>
      <w:rFonts w:ascii="CBA Beacon Sans Extra Bold" w:hAnsi="CBA Beacon Sans Extra Bold"/>
    </w:rPr>
  </w:style>
  <w:style w:type="character" w:customStyle="1" w:styleId="CBABeaconSansBold">
    <w:name w:val="*CBA Beacon Sans Bold"/>
    <w:basedOn w:val="DefaultParagraphFont"/>
    <w:uiPriority w:val="99"/>
    <w:qFormat/>
    <w:rsid w:val="00EA30C7"/>
    <w:rPr>
      <w:rFonts w:asciiTheme="majorHAnsi" w:hAnsiTheme="majorHAnsi"/>
    </w:rPr>
  </w:style>
  <w:style w:type="character" w:customStyle="1" w:styleId="QuoteChar">
    <w:name w:val="Quote Char"/>
    <w:basedOn w:val="DefaultParagraphFont"/>
    <w:link w:val="Quote"/>
    <w:uiPriority w:val="2"/>
    <w:rsid w:val="00DA34A5"/>
    <w:rPr>
      <w:sz w:val="40"/>
      <w:szCs w:val="40"/>
    </w:rPr>
  </w:style>
  <w:style w:type="character" w:styleId="Emphasis">
    <w:name w:val="Emphasis"/>
    <w:aliases w:val="*Italic"/>
    <w:basedOn w:val="DefaultParagraphFont"/>
    <w:uiPriority w:val="99"/>
    <w:qFormat/>
    <w:rsid w:val="00AC346D"/>
    <w:rPr>
      <w:i/>
      <w:iCs/>
    </w:rPr>
  </w:style>
  <w:style w:type="character" w:customStyle="1" w:styleId="Heading4Char">
    <w:name w:val="Heading 4 Char"/>
    <w:aliases w:val="Num heading 4 Char"/>
    <w:basedOn w:val="DefaultParagraphFont"/>
    <w:link w:val="Heading4"/>
    <w:uiPriority w:val="3"/>
    <w:rsid w:val="00DA34A5"/>
    <w:rPr>
      <w:rFonts w:asciiTheme="majorHAnsi" w:hAnsiTheme="majorHAnsi"/>
      <w:sz w:val="20"/>
      <w:szCs w:val="20"/>
    </w:rPr>
  </w:style>
  <w:style w:type="character" w:customStyle="1" w:styleId="Heading5Char">
    <w:name w:val="Heading 5 Char"/>
    <w:aliases w:val="Subpara 1 Char"/>
    <w:basedOn w:val="DefaultParagraphFont"/>
    <w:link w:val="Heading5"/>
    <w:uiPriority w:val="3"/>
    <w:rsid w:val="00DA34A5"/>
    <w:rPr>
      <w:rFonts w:eastAsiaTheme="majorEastAsia" w:cstheme="majorBidi"/>
      <w:color w:val="1E1E1E" w:themeColor="text1"/>
      <w:sz w:val="20"/>
      <w:szCs w:val="20"/>
    </w:rPr>
  </w:style>
  <w:style w:type="character" w:customStyle="1" w:styleId="Heading6Char">
    <w:name w:val="Heading 6 Char"/>
    <w:aliases w:val="Subpara 2 Char"/>
    <w:basedOn w:val="DefaultParagraphFont"/>
    <w:link w:val="Heading6"/>
    <w:uiPriority w:val="3"/>
    <w:rsid w:val="00DA34A5"/>
    <w:rPr>
      <w:rFonts w:eastAsiaTheme="majorEastAsia" w:cstheme="majorBidi"/>
      <w:color w:val="1E1E1E" w:themeColor="text1"/>
      <w:sz w:val="20"/>
      <w:szCs w:val="20"/>
    </w:rPr>
  </w:style>
  <w:style w:type="character" w:customStyle="1" w:styleId="Heading7Char">
    <w:name w:val="Heading 7 Char"/>
    <w:aliases w:val="Subpara 3 Char"/>
    <w:basedOn w:val="DefaultParagraphFont"/>
    <w:link w:val="Heading7"/>
    <w:uiPriority w:val="3"/>
    <w:rsid w:val="00DA34A5"/>
    <w:rPr>
      <w:rFonts w:eastAsiaTheme="majorEastAsia" w:cstheme="majorBidi"/>
      <w:color w:val="1E1E1E" w:themeColor="text1"/>
      <w:sz w:val="20"/>
      <w:szCs w:val="20"/>
    </w:rPr>
  </w:style>
  <w:style w:type="character" w:customStyle="1" w:styleId="Heading8Char">
    <w:name w:val="Heading 8 Char"/>
    <w:basedOn w:val="DefaultParagraphFont"/>
    <w:link w:val="Heading8"/>
    <w:uiPriority w:val="9"/>
    <w:semiHidden/>
    <w:rsid w:val="0006045D"/>
    <w:rPr>
      <w:sz w:val="20"/>
      <w:szCs w:val="20"/>
    </w:rPr>
  </w:style>
  <w:style w:type="character" w:customStyle="1" w:styleId="Heading9Char">
    <w:name w:val="Heading 9 Char"/>
    <w:basedOn w:val="DefaultParagraphFont"/>
    <w:link w:val="Heading9"/>
    <w:uiPriority w:val="9"/>
    <w:semiHidden/>
    <w:rsid w:val="0006045D"/>
    <w:rPr>
      <w:sz w:val="20"/>
      <w:szCs w:val="20"/>
    </w:rPr>
  </w:style>
  <w:style w:type="paragraph" w:styleId="List">
    <w:name w:val="List"/>
    <w:basedOn w:val="Normal"/>
    <w:uiPriority w:val="2"/>
    <w:qFormat/>
    <w:rsid w:val="005136A9"/>
    <w:pPr>
      <w:numPr>
        <w:numId w:val="16"/>
      </w:numPr>
      <w:contextualSpacing/>
    </w:pPr>
  </w:style>
  <w:style w:type="paragraph" w:styleId="List2">
    <w:name w:val="List 2"/>
    <w:basedOn w:val="Normal"/>
    <w:uiPriority w:val="2"/>
    <w:qFormat/>
    <w:rsid w:val="005136A9"/>
    <w:pPr>
      <w:numPr>
        <w:ilvl w:val="1"/>
        <w:numId w:val="16"/>
      </w:numPr>
      <w:contextualSpacing/>
    </w:pPr>
  </w:style>
  <w:style w:type="paragraph" w:styleId="List3">
    <w:name w:val="List 3"/>
    <w:basedOn w:val="Normal"/>
    <w:uiPriority w:val="2"/>
    <w:qFormat/>
    <w:rsid w:val="005136A9"/>
    <w:pPr>
      <w:numPr>
        <w:ilvl w:val="2"/>
        <w:numId w:val="16"/>
      </w:numPr>
      <w:contextualSpacing/>
    </w:pPr>
  </w:style>
  <w:style w:type="paragraph" w:customStyle="1" w:styleId="Header1">
    <w:name w:val="Header 1"/>
    <w:basedOn w:val="Heading1"/>
    <w:next w:val="Normal"/>
    <w:uiPriority w:val="3"/>
    <w:qFormat/>
    <w:rsid w:val="00F646B7"/>
  </w:style>
  <w:style w:type="paragraph" w:customStyle="1" w:styleId="Header2">
    <w:name w:val="Header 2"/>
    <w:basedOn w:val="Heading2"/>
    <w:next w:val="Normal"/>
    <w:uiPriority w:val="3"/>
    <w:qFormat/>
    <w:rsid w:val="0049378B"/>
    <w:pPr>
      <w:numPr>
        <w:ilvl w:val="0"/>
        <w:numId w:val="0"/>
      </w:numPr>
    </w:pPr>
  </w:style>
  <w:style w:type="paragraph" w:customStyle="1" w:styleId="Header3">
    <w:name w:val="Header 3"/>
    <w:basedOn w:val="Heading3"/>
    <w:next w:val="Normal"/>
    <w:uiPriority w:val="3"/>
    <w:qFormat/>
    <w:rsid w:val="0049378B"/>
    <w:pPr>
      <w:numPr>
        <w:ilvl w:val="0"/>
        <w:numId w:val="0"/>
      </w:numPr>
    </w:pPr>
  </w:style>
  <w:style w:type="paragraph" w:customStyle="1" w:styleId="Header4">
    <w:name w:val="Header 4"/>
    <w:basedOn w:val="Heading4"/>
    <w:next w:val="Normal"/>
    <w:uiPriority w:val="3"/>
    <w:qFormat/>
    <w:rsid w:val="0049378B"/>
    <w:pPr>
      <w:numPr>
        <w:ilvl w:val="0"/>
        <w:numId w:val="0"/>
      </w:numPr>
    </w:pPr>
  </w:style>
  <w:style w:type="paragraph" w:styleId="FootnoteText">
    <w:name w:val="footnote text"/>
    <w:basedOn w:val="Normal"/>
    <w:link w:val="FootnoteTextChar"/>
    <w:uiPriority w:val="99"/>
    <w:rsid w:val="007E1386"/>
    <w:pPr>
      <w:spacing w:after="0" w:line="240" w:lineRule="auto"/>
    </w:pPr>
    <w:rPr>
      <w:sz w:val="16"/>
    </w:rPr>
  </w:style>
  <w:style w:type="character" w:customStyle="1" w:styleId="FootnoteTextChar">
    <w:name w:val="Footnote Text Char"/>
    <w:basedOn w:val="DefaultParagraphFont"/>
    <w:link w:val="FootnoteText"/>
    <w:uiPriority w:val="99"/>
    <w:rsid w:val="007E1386"/>
    <w:rPr>
      <w:sz w:val="16"/>
      <w:szCs w:val="20"/>
    </w:rPr>
  </w:style>
  <w:style w:type="character" w:styleId="FootnoteReference">
    <w:name w:val="footnote reference"/>
    <w:basedOn w:val="DefaultParagraphFont"/>
    <w:uiPriority w:val="99"/>
    <w:rsid w:val="007E1386"/>
    <w:rPr>
      <w:vertAlign w:val="superscript"/>
    </w:rPr>
  </w:style>
  <w:style w:type="character" w:customStyle="1" w:styleId="SignatureChar">
    <w:name w:val="Signature Char"/>
    <w:aliases w:val="Letter_Signature Char"/>
    <w:basedOn w:val="DefaultParagraphFont"/>
    <w:link w:val="Signature"/>
    <w:rsid w:val="00AA2BFC"/>
    <w:rPr>
      <w:sz w:val="20"/>
      <w:szCs w:val="20"/>
    </w:rPr>
  </w:style>
  <w:style w:type="paragraph" w:customStyle="1" w:styleId="LetterCBAaddress">
    <w:name w:val="Letter_CBA address"/>
    <w:basedOn w:val="Salutation"/>
    <w:qFormat/>
    <w:rsid w:val="00EF297E"/>
    <w:pPr>
      <w:spacing w:after="1840"/>
      <w:contextualSpacing/>
    </w:pPr>
    <w:rPr>
      <w:sz w:val="16"/>
      <w:szCs w:val="16"/>
    </w:rPr>
  </w:style>
  <w:style w:type="paragraph" w:customStyle="1" w:styleId="LetterAddressee">
    <w:name w:val="Letter_Addressee"/>
    <w:basedOn w:val="Salutation"/>
    <w:qFormat/>
    <w:rsid w:val="0068203C"/>
    <w:pPr>
      <w:spacing w:after="240"/>
      <w:contextualSpacing/>
    </w:pPr>
  </w:style>
  <w:style w:type="paragraph" w:styleId="Date">
    <w:name w:val="Date"/>
    <w:basedOn w:val="Salutation"/>
    <w:next w:val="Normal"/>
    <w:link w:val="DateChar"/>
    <w:uiPriority w:val="99"/>
    <w:rsid w:val="0068203C"/>
    <w:pPr>
      <w:spacing w:after="720"/>
    </w:pPr>
  </w:style>
  <w:style w:type="character" w:customStyle="1" w:styleId="DateChar">
    <w:name w:val="Date Char"/>
    <w:basedOn w:val="DefaultParagraphFont"/>
    <w:link w:val="Date"/>
    <w:uiPriority w:val="99"/>
    <w:rsid w:val="0068203C"/>
    <w:rPr>
      <w:sz w:val="20"/>
      <w:szCs w:val="20"/>
    </w:rPr>
  </w:style>
  <w:style w:type="paragraph" w:customStyle="1" w:styleId="LetterSubject">
    <w:name w:val="Letter_Subject"/>
    <w:basedOn w:val="Normal"/>
    <w:qFormat/>
    <w:rsid w:val="0068203C"/>
    <w:pPr>
      <w:spacing w:before="240" w:after="240"/>
    </w:pPr>
    <w:rPr>
      <w:rFonts w:asciiTheme="majorHAnsi" w:hAnsiTheme="majorHAnsi"/>
      <w:sz w:val="24"/>
      <w:szCs w:val="28"/>
    </w:rPr>
  </w:style>
  <w:style w:type="paragraph" w:customStyle="1" w:styleId="Headerfirstpage">
    <w:name w:val="Header first page"/>
    <w:basedOn w:val="Footer"/>
    <w:rsid w:val="00EF297E"/>
    <w:pPr>
      <w:spacing w:before="280"/>
    </w:pPr>
  </w:style>
  <w:style w:type="character" w:styleId="UnresolvedMention">
    <w:name w:val="Unresolved Mention"/>
    <w:basedOn w:val="DefaultParagraphFont"/>
    <w:uiPriority w:val="99"/>
    <w:semiHidden/>
    <w:unhideWhenUsed/>
    <w:rsid w:val="00C15415"/>
    <w:rPr>
      <w:color w:val="605E5C"/>
      <w:shd w:val="clear" w:color="auto" w:fill="E1DFDD"/>
    </w:rPr>
  </w:style>
  <w:style w:type="paragraph" w:styleId="NoSpacing">
    <w:name w:val="No Spacing"/>
    <w:uiPriority w:val="1"/>
    <w:qFormat/>
    <w:rsid w:val="00B2199B"/>
    <w:pPr>
      <w:spacing w:after="0" w:line="240" w:lineRule="auto"/>
    </w:pPr>
  </w:style>
  <w:style w:type="character" w:styleId="CommentReference">
    <w:name w:val="annotation reference"/>
    <w:basedOn w:val="DefaultParagraphFont"/>
    <w:uiPriority w:val="99"/>
    <w:semiHidden/>
    <w:unhideWhenUsed/>
    <w:rsid w:val="00767BCB"/>
    <w:rPr>
      <w:sz w:val="16"/>
      <w:szCs w:val="16"/>
    </w:rPr>
  </w:style>
  <w:style w:type="paragraph" w:styleId="CommentText">
    <w:name w:val="annotation text"/>
    <w:basedOn w:val="Normal"/>
    <w:link w:val="CommentTextChar"/>
    <w:uiPriority w:val="99"/>
    <w:unhideWhenUsed/>
    <w:rsid w:val="00767BCB"/>
    <w:pPr>
      <w:spacing w:line="240" w:lineRule="auto"/>
    </w:pPr>
  </w:style>
  <w:style w:type="character" w:customStyle="1" w:styleId="CommentTextChar">
    <w:name w:val="Comment Text Char"/>
    <w:basedOn w:val="DefaultParagraphFont"/>
    <w:link w:val="CommentText"/>
    <w:uiPriority w:val="99"/>
    <w:rsid w:val="00767BCB"/>
    <w:rPr>
      <w:sz w:val="20"/>
      <w:szCs w:val="20"/>
    </w:rPr>
  </w:style>
  <w:style w:type="paragraph" w:styleId="CommentSubject">
    <w:name w:val="annotation subject"/>
    <w:basedOn w:val="CommentText"/>
    <w:next w:val="CommentText"/>
    <w:link w:val="CommentSubjectChar"/>
    <w:uiPriority w:val="99"/>
    <w:semiHidden/>
    <w:unhideWhenUsed/>
    <w:rsid w:val="00767BCB"/>
    <w:rPr>
      <w:b/>
      <w:bCs/>
    </w:rPr>
  </w:style>
  <w:style w:type="character" w:customStyle="1" w:styleId="CommentSubjectChar">
    <w:name w:val="Comment Subject Char"/>
    <w:basedOn w:val="CommentTextChar"/>
    <w:link w:val="CommentSubject"/>
    <w:uiPriority w:val="99"/>
    <w:semiHidden/>
    <w:rsid w:val="00767BCB"/>
    <w:rPr>
      <w:b/>
      <w:bCs/>
      <w:sz w:val="20"/>
      <w:szCs w:val="20"/>
    </w:rPr>
  </w:style>
  <w:style w:type="character" w:customStyle="1" w:styleId="ListParagraphChar">
    <w:name w:val="List Paragraph Char"/>
    <w:aliases w:val="Table Txt Char,Recommendation Char,List Paragraph1 Char,List Paragraph11 Char,L Char,Number Char,#List Paragraph Char,Level 1 list Char,PRI Bullets Char,Paragraphe de liste Char,List Paragraph - bullets Char,List Level 1 Char"/>
    <w:basedOn w:val="DefaultParagraphFont"/>
    <w:link w:val="ListParagraph"/>
    <w:uiPriority w:val="34"/>
    <w:qFormat/>
    <w:locked/>
    <w:rsid w:val="003A4BB4"/>
    <w:rPr>
      <w:sz w:val="20"/>
      <w:szCs w:val="20"/>
    </w:rPr>
  </w:style>
  <w:style w:type="character" w:styleId="Mention">
    <w:name w:val="Mention"/>
    <w:basedOn w:val="DefaultParagraphFont"/>
    <w:uiPriority w:val="99"/>
    <w:unhideWhenUsed/>
    <w:rsid w:val="00E302AC"/>
    <w:rPr>
      <w:color w:val="2B579A"/>
      <w:shd w:val="clear" w:color="auto" w:fill="E1DFDD"/>
    </w:rPr>
  </w:style>
  <w:style w:type="character" w:customStyle="1" w:styleId="ui-provider">
    <w:name w:val="ui-provider"/>
    <w:basedOn w:val="DefaultParagraphFont"/>
    <w:rsid w:val="00DE6060"/>
  </w:style>
  <w:style w:type="paragraph" w:styleId="Revision">
    <w:name w:val="Revision"/>
    <w:hidden/>
    <w:uiPriority w:val="99"/>
    <w:semiHidden/>
    <w:rsid w:val="008B5422"/>
    <w:pPr>
      <w:spacing w:after="0" w:line="240" w:lineRule="auto"/>
    </w:pPr>
    <w:rPr>
      <w:sz w:val="20"/>
      <w:szCs w:val="20"/>
    </w:rPr>
  </w:style>
  <w:style w:type="character" w:styleId="FollowedHyperlink">
    <w:name w:val="FollowedHyperlink"/>
    <w:basedOn w:val="DefaultParagraphFont"/>
    <w:uiPriority w:val="99"/>
    <w:semiHidden/>
    <w:unhideWhenUsed/>
    <w:rsid w:val="00862CFE"/>
    <w:rPr>
      <w:color w:val="1E1E1E" w:themeColor="followedHyperlink"/>
      <w:u w:val="single"/>
    </w:rPr>
  </w:style>
  <w:style w:type="character" w:customStyle="1" w:styleId="normaltextrun">
    <w:name w:val="normaltextrun"/>
    <w:basedOn w:val="DefaultParagraphFont"/>
    <w:rsid w:val="00AC26AD"/>
  </w:style>
  <w:style w:type="character" w:customStyle="1" w:styleId="scxw84808599">
    <w:name w:val="scxw84808599"/>
    <w:basedOn w:val="DefaultParagraphFont"/>
    <w:rsid w:val="00AC26AD"/>
  </w:style>
  <w:style w:type="character" w:customStyle="1" w:styleId="eop">
    <w:name w:val="eop"/>
    <w:basedOn w:val="DefaultParagraphFont"/>
    <w:rsid w:val="00AC26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266750">
      <w:bodyDiv w:val="1"/>
      <w:marLeft w:val="0"/>
      <w:marRight w:val="0"/>
      <w:marTop w:val="0"/>
      <w:marBottom w:val="0"/>
      <w:divBdr>
        <w:top w:val="none" w:sz="0" w:space="0" w:color="auto"/>
        <w:left w:val="none" w:sz="0" w:space="0" w:color="auto"/>
        <w:bottom w:val="none" w:sz="0" w:space="0" w:color="auto"/>
        <w:right w:val="none" w:sz="0" w:space="0" w:color="auto"/>
      </w:divBdr>
    </w:div>
    <w:div w:id="55319101">
      <w:bodyDiv w:val="1"/>
      <w:marLeft w:val="0"/>
      <w:marRight w:val="0"/>
      <w:marTop w:val="0"/>
      <w:marBottom w:val="0"/>
      <w:divBdr>
        <w:top w:val="none" w:sz="0" w:space="0" w:color="auto"/>
        <w:left w:val="none" w:sz="0" w:space="0" w:color="auto"/>
        <w:bottom w:val="none" w:sz="0" w:space="0" w:color="auto"/>
        <w:right w:val="none" w:sz="0" w:space="0" w:color="auto"/>
      </w:divBdr>
    </w:div>
    <w:div w:id="224490628">
      <w:bodyDiv w:val="1"/>
      <w:marLeft w:val="0"/>
      <w:marRight w:val="0"/>
      <w:marTop w:val="0"/>
      <w:marBottom w:val="0"/>
      <w:divBdr>
        <w:top w:val="none" w:sz="0" w:space="0" w:color="auto"/>
        <w:left w:val="none" w:sz="0" w:space="0" w:color="auto"/>
        <w:bottom w:val="none" w:sz="0" w:space="0" w:color="auto"/>
        <w:right w:val="none" w:sz="0" w:space="0" w:color="auto"/>
      </w:divBdr>
    </w:div>
    <w:div w:id="228882561">
      <w:bodyDiv w:val="1"/>
      <w:marLeft w:val="0"/>
      <w:marRight w:val="0"/>
      <w:marTop w:val="0"/>
      <w:marBottom w:val="0"/>
      <w:divBdr>
        <w:top w:val="none" w:sz="0" w:space="0" w:color="auto"/>
        <w:left w:val="none" w:sz="0" w:space="0" w:color="auto"/>
        <w:bottom w:val="none" w:sz="0" w:space="0" w:color="auto"/>
        <w:right w:val="none" w:sz="0" w:space="0" w:color="auto"/>
      </w:divBdr>
    </w:div>
    <w:div w:id="307784348">
      <w:bodyDiv w:val="1"/>
      <w:marLeft w:val="0"/>
      <w:marRight w:val="0"/>
      <w:marTop w:val="0"/>
      <w:marBottom w:val="0"/>
      <w:divBdr>
        <w:top w:val="none" w:sz="0" w:space="0" w:color="auto"/>
        <w:left w:val="none" w:sz="0" w:space="0" w:color="auto"/>
        <w:bottom w:val="none" w:sz="0" w:space="0" w:color="auto"/>
        <w:right w:val="none" w:sz="0" w:space="0" w:color="auto"/>
      </w:divBdr>
    </w:div>
    <w:div w:id="343823177">
      <w:bodyDiv w:val="1"/>
      <w:marLeft w:val="0"/>
      <w:marRight w:val="0"/>
      <w:marTop w:val="0"/>
      <w:marBottom w:val="0"/>
      <w:divBdr>
        <w:top w:val="none" w:sz="0" w:space="0" w:color="auto"/>
        <w:left w:val="none" w:sz="0" w:space="0" w:color="auto"/>
        <w:bottom w:val="none" w:sz="0" w:space="0" w:color="auto"/>
        <w:right w:val="none" w:sz="0" w:space="0" w:color="auto"/>
      </w:divBdr>
    </w:div>
    <w:div w:id="367726790">
      <w:bodyDiv w:val="1"/>
      <w:marLeft w:val="0"/>
      <w:marRight w:val="0"/>
      <w:marTop w:val="0"/>
      <w:marBottom w:val="0"/>
      <w:divBdr>
        <w:top w:val="none" w:sz="0" w:space="0" w:color="auto"/>
        <w:left w:val="none" w:sz="0" w:space="0" w:color="auto"/>
        <w:bottom w:val="none" w:sz="0" w:space="0" w:color="auto"/>
        <w:right w:val="none" w:sz="0" w:space="0" w:color="auto"/>
      </w:divBdr>
    </w:div>
    <w:div w:id="378014032">
      <w:bodyDiv w:val="1"/>
      <w:marLeft w:val="0"/>
      <w:marRight w:val="0"/>
      <w:marTop w:val="0"/>
      <w:marBottom w:val="0"/>
      <w:divBdr>
        <w:top w:val="none" w:sz="0" w:space="0" w:color="auto"/>
        <w:left w:val="none" w:sz="0" w:space="0" w:color="auto"/>
        <w:bottom w:val="none" w:sz="0" w:space="0" w:color="auto"/>
        <w:right w:val="none" w:sz="0" w:space="0" w:color="auto"/>
      </w:divBdr>
    </w:div>
    <w:div w:id="449669503">
      <w:bodyDiv w:val="1"/>
      <w:marLeft w:val="0"/>
      <w:marRight w:val="0"/>
      <w:marTop w:val="0"/>
      <w:marBottom w:val="0"/>
      <w:divBdr>
        <w:top w:val="none" w:sz="0" w:space="0" w:color="auto"/>
        <w:left w:val="none" w:sz="0" w:space="0" w:color="auto"/>
        <w:bottom w:val="none" w:sz="0" w:space="0" w:color="auto"/>
        <w:right w:val="none" w:sz="0" w:space="0" w:color="auto"/>
      </w:divBdr>
    </w:div>
    <w:div w:id="458035981">
      <w:bodyDiv w:val="1"/>
      <w:marLeft w:val="0"/>
      <w:marRight w:val="0"/>
      <w:marTop w:val="0"/>
      <w:marBottom w:val="0"/>
      <w:divBdr>
        <w:top w:val="none" w:sz="0" w:space="0" w:color="auto"/>
        <w:left w:val="none" w:sz="0" w:space="0" w:color="auto"/>
        <w:bottom w:val="none" w:sz="0" w:space="0" w:color="auto"/>
        <w:right w:val="none" w:sz="0" w:space="0" w:color="auto"/>
      </w:divBdr>
    </w:div>
    <w:div w:id="458451036">
      <w:bodyDiv w:val="1"/>
      <w:marLeft w:val="0"/>
      <w:marRight w:val="0"/>
      <w:marTop w:val="0"/>
      <w:marBottom w:val="0"/>
      <w:divBdr>
        <w:top w:val="none" w:sz="0" w:space="0" w:color="auto"/>
        <w:left w:val="none" w:sz="0" w:space="0" w:color="auto"/>
        <w:bottom w:val="none" w:sz="0" w:space="0" w:color="auto"/>
        <w:right w:val="none" w:sz="0" w:space="0" w:color="auto"/>
      </w:divBdr>
      <w:divsChild>
        <w:div w:id="19625338">
          <w:marLeft w:val="0"/>
          <w:marRight w:val="0"/>
          <w:marTop w:val="0"/>
          <w:marBottom w:val="0"/>
          <w:divBdr>
            <w:top w:val="none" w:sz="0" w:space="0" w:color="auto"/>
            <w:left w:val="none" w:sz="0" w:space="0" w:color="auto"/>
            <w:bottom w:val="none" w:sz="0" w:space="0" w:color="auto"/>
            <w:right w:val="none" w:sz="0" w:space="0" w:color="auto"/>
          </w:divBdr>
          <w:divsChild>
            <w:div w:id="1064988650">
              <w:marLeft w:val="0"/>
              <w:marRight w:val="0"/>
              <w:marTop w:val="0"/>
              <w:marBottom w:val="0"/>
              <w:divBdr>
                <w:top w:val="none" w:sz="0" w:space="0" w:color="auto"/>
                <w:left w:val="none" w:sz="0" w:space="0" w:color="auto"/>
                <w:bottom w:val="none" w:sz="0" w:space="0" w:color="auto"/>
                <w:right w:val="none" w:sz="0" w:space="0" w:color="auto"/>
              </w:divBdr>
            </w:div>
          </w:divsChild>
        </w:div>
        <w:div w:id="65543514">
          <w:marLeft w:val="0"/>
          <w:marRight w:val="0"/>
          <w:marTop w:val="0"/>
          <w:marBottom w:val="0"/>
          <w:divBdr>
            <w:top w:val="none" w:sz="0" w:space="0" w:color="auto"/>
            <w:left w:val="none" w:sz="0" w:space="0" w:color="auto"/>
            <w:bottom w:val="none" w:sz="0" w:space="0" w:color="auto"/>
            <w:right w:val="none" w:sz="0" w:space="0" w:color="auto"/>
          </w:divBdr>
          <w:divsChild>
            <w:div w:id="1290669053">
              <w:marLeft w:val="0"/>
              <w:marRight w:val="0"/>
              <w:marTop w:val="0"/>
              <w:marBottom w:val="0"/>
              <w:divBdr>
                <w:top w:val="none" w:sz="0" w:space="0" w:color="auto"/>
                <w:left w:val="none" w:sz="0" w:space="0" w:color="auto"/>
                <w:bottom w:val="none" w:sz="0" w:space="0" w:color="auto"/>
                <w:right w:val="none" w:sz="0" w:space="0" w:color="auto"/>
              </w:divBdr>
            </w:div>
          </w:divsChild>
        </w:div>
        <w:div w:id="95059011">
          <w:marLeft w:val="0"/>
          <w:marRight w:val="0"/>
          <w:marTop w:val="0"/>
          <w:marBottom w:val="0"/>
          <w:divBdr>
            <w:top w:val="none" w:sz="0" w:space="0" w:color="auto"/>
            <w:left w:val="none" w:sz="0" w:space="0" w:color="auto"/>
            <w:bottom w:val="none" w:sz="0" w:space="0" w:color="auto"/>
            <w:right w:val="none" w:sz="0" w:space="0" w:color="auto"/>
          </w:divBdr>
          <w:divsChild>
            <w:div w:id="1650746448">
              <w:marLeft w:val="0"/>
              <w:marRight w:val="0"/>
              <w:marTop w:val="0"/>
              <w:marBottom w:val="0"/>
              <w:divBdr>
                <w:top w:val="none" w:sz="0" w:space="0" w:color="auto"/>
                <w:left w:val="none" w:sz="0" w:space="0" w:color="auto"/>
                <w:bottom w:val="none" w:sz="0" w:space="0" w:color="auto"/>
                <w:right w:val="none" w:sz="0" w:space="0" w:color="auto"/>
              </w:divBdr>
            </w:div>
          </w:divsChild>
        </w:div>
        <w:div w:id="212430042">
          <w:marLeft w:val="0"/>
          <w:marRight w:val="0"/>
          <w:marTop w:val="0"/>
          <w:marBottom w:val="0"/>
          <w:divBdr>
            <w:top w:val="none" w:sz="0" w:space="0" w:color="auto"/>
            <w:left w:val="none" w:sz="0" w:space="0" w:color="auto"/>
            <w:bottom w:val="none" w:sz="0" w:space="0" w:color="auto"/>
            <w:right w:val="none" w:sz="0" w:space="0" w:color="auto"/>
          </w:divBdr>
          <w:divsChild>
            <w:div w:id="338579895">
              <w:marLeft w:val="0"/>
              <w:marRight w:val="0"/>
              <w:marTop w:val="0"/>
              <w:marBottom w:val="0"/>
              <w:divBdr>
                <w:top w:val="none" w:sz="0" w:space="0" w:color="auto"/>
                <w:left w:val="none" w:sz="0" w:space="0" w:color="auto"/>
                <w:bottom w:val="none" w:sz="0" w:space="0" w:color="auto"/>
                <w:right w:val="none" w:sz="0" w:space="0" w:color="auto"/>
              </w:divBdr>
            </w:div>
          </w:divsChild>
        </w:div>
        <w:div w:id="385181084">
          <w:marLeft w:val="0"/>
          <w:marRight w:val="0"/>
          <w:marTop w:val="0"/>
          <w:marBottom w:val="0"/>
          <w:divBdr>
            <w:top w:val="none" w:sz="0" w:space="0" w:color="auto"/>
            <w:left w:val="none" w:sz="0" w:space="0" w:color="auto"/>
            <w:bottom w:val="none" w:sz="0" w:space="0" w:color="auto"/>
            <w:right w:val="none" w:sz="0" w:space="0" w:color="auto"/>
          </w:divBdr>
          <w:divsChild>
            <w:div w:id="257834990">
              <w:marLeft w:val="0"/>
              <w:marRight w:val="0"/>
              <w:marTop w:val="0"/>
              <w:marBottom w:val="0"/>
              <w:divBdr>
                <w:top w:val="none" w:sz="0" w:space="0" w:color="auto"/>
                <w:left w:val="none" w:sz="0" w:space="0" w:color="auto"/>
                <w:bottom w:val="none" w:sz="0" w:space="0" w:color="auto"/>
                <w:right w:val="none" w:sz="0" w:space="0" w:color="auto"/>
              </w:divBdr>
            </w:div>
          </w:divsChild>
        </w:div>
        <w:div w:id="484516191">
          <w:marLeft w:val="0"/>
          <w:marRight w:val="0"/>
          <w:marTop w:val="0"/>
          <w:marBottom w:val="0"/>
          <w:divBdr>
            <w:top w:val="none" w:sz="0" w:space="0" w:color="auto"/>
            <w:left w:val="none" w:sz="0" w:space="0" w:color="auto"/>
            <w:bottom w:val="none" w:sz="0" w:space="0" w:color="auto"/>
            <w:right w:val="none" w:sz="0" w:space="0" w:color="auto"/>
          </w:divBdr>
          <w:divsChild>
            <w:div w:id="2002196769">
              <w:marLeft w:val="0"/>
              <w:marRight w:val="0"/>
              <w:marTop w:val="0"/>
              <w:marBottom w:val="0"/>
              <w:divBdr>
                <w:top w:val="none" w:sz="0" w:space="0" w:color="auto"/>
                <w:left w:val="none" w:sz="0" w:space="0" w:color="auto"/>
                <w:bottom w:val="none" w:sz="0" w:space="0" w:color="auto"/>
                <w:right w:val="none" w:sz="0" w:space="0" w:color="auto"/>
              </w:divBdr>
            </w:div>
          </w:divsChild>
        </w:div>
        <w:div w:id="501745089">
          <w:marLeft w:val="0"/>
          <w:marRight w:val="0"/>
          <w:marTop w:val="0"/>
          <w:marBottom w:val="0"/>
          <w:divBdr>
            <w:top w:val="none" w:sz="0" w:space="0" w:color="auto"/>
            <w:left w:val="none" w:sz="0" w:space="0" w:color="auto"/>
            <w:bottom w:val="none" w:sz="0" w:space="0" w:color="auto"/>
            <w:right w:val="none" w:sz="0" w:space="0" w:color="auto"/>
          </w:divBdr>
          <w:divsChild>
            <w:div w:id="1769352863">
              <w:marLeft w:val="0"/>
              <w:marRight w:val="0"/>
              <w:marTop w:val="0"/>
              <w:marBottom w:val="0"/>
              <w:divBdr>
                <w:top w:val="none" w:sz="0" w:space="0" w:color="auto"/>
                <w:left w:val="none" w:sz="0" w:space="0" w:color="auto"/>
                <w:bottom w:val="none" w:sz="0" w:space="0" w:color="auto"/>
                <w:right w:val="none" w:sz="0" w:space="0" w:color="auto"/>
              </w:divBdr>
            </w:div>
          </w:divsChild>
        </w:div>
        <w:div w:id="544487194">
          <w:marLeft w:val="0"/>
          <w:marRight w:val="0"/>
          <w:marTop w:val="0"/>
          <w:marBottom w:val="0"/>
          <w:divBdr>
            <w:top w:val="none" w:sz="0" w:space="0" w:color="auto"/>
            <w:left w:val="none" w:sz="0" w:space="0" w:color="auto"/>
            <w:bottom w:val="none" w:sz="0" w:space="0" w:color="auto"/>
            <w:right w:val="none" w:sz="0" w:space="0" w:color="auto"/>
          </w:divBdr>
          <w:divsChild>
            <w:div w:id="1487429216">
              <w:marLeft w:val="0"/>
              <w:marRight w:val="0"/>
              <w:marTop w:val="0"/>
              <w:marBottom w:val="0"/>
              <w:divBdr>
                <w:top w:val="none" w:sz="0" w:space="0" w:color="auto"/>
                <w:left w:val="none" w:sz="0" w:space="0" w:color="auto"/>
                <w:bottom w:val="none" w:sz="0" w:space="0" w:color="auto"/>
                <w:right w:val="none" w:sz="0" w:space="0" w:color="auto"/>
              </w:divBdr>
            </w:div>
          </w:divsChild>
        </w:div>
        <w:div w:id="587270371">
          <w:marLeft w:val="0"/>
          <w:marRight w:val="0"/>
          <w:marTop w:val="0"/>
          <w:marBottom w:val="0"/>
          <w:divBdr>
            <w:top w:val="none" w:sz="0" w:space="0" w:color="auto"/>
            <w:left w:val="none" w:sz="0" w:space="0" w:color="auto"/>
            <w:bottom w:val="none" w:sz="0" w:space="0" w:color="auto"/>
            <w:right w:val="none" w:sz="0" w:space="0" w:color="auto"/>
          </w:divBdr>
          <w:divsChild>
            <w:div w:id="1251701322">
              <w:marLeft w:val="0"/>
              <w:marRight w:val="0"/>
              <w:marTop w:val="0"/>
              <w:marBottom w:val="0"/>
              <w:divBdr>
                <w:top w:val="none" w:sz="0" w:space="0" w:color="auto"/>
                <w:left w:val="none" w:sz="0" w:space="0" w:color="auto"/>
                <w:bottom w:val="none" w:sz="0" w:space="0" w:color="auto"/>
                <w:right w:val="none" w:sz="0" w:space="0" w:color="auto"/>
              </w:divBdr>
            </w:div>
          </w:divsChild>
        </w:div>
        <w:div w:id="650984080">
          <w:marLeft w:val="0"/>
          <w:marRight w:val="0"/>
          <w:marTop w:val="0"/>
          <w:marBottom w:val="0"/>
          <w:divBdr>
            <w:top w:val="none" w:sz="0" w:space="0" w:color="auto"/>
            <w:left w:val="none" w:sz="0" w:space="0" w:color="auto"/>
            <w:bottom w:val="none" w:sz="0" w:space="0" w:color="auto"/>
            <w:right w:val="none" w:sz="0" w:space="0" w:color="auto"/>
          </w:divBdr>
          <w:divsChild>
            <w:div w:id="1164667372">
              <w:marLeft w:val="0"/>
              <w:marRight w:val="0"/>
              <w:marTop w:val="0"/>
              <w:marBottom w:val="0"/>
              <w:divBdr>
                <w:top w:val="none" w:sz="0" w:space="0" w:color="auto"/>
                <w:left w:val="none" w:sz="0" w:space="0" w:color="auto"/>
                <w:bottom w:val="none" w:sz="0" w:space="0" w:color="auto"/>
                <w:right w:val="none" w:sz="0" w:space="0" w:color="auto"/>
              </w:divBdr>
            </w:div>
          </w:divsChild>
        </w:div>
        <w:div w:id="665548291">
          <w:marLeft w:val="0"/>
          <w:marRight w:val="0"/>
          <w:marTop w:val="0"/>
          <w:marBottom w:val="0"/>
          <w:divBdr>
            <w:top w:val="none" w:sz="0" w:space="0" w:color="auto"/>
            <w:left w:val="none" w:sz="0" w:space="0" w:color="auto"/>
            <w:bottom w:val="none" w:sz="0" w:space="0" w:color="auto"/>
            <w:right w:val="none" w:sz="0" w:space="0" w:color="auto"/>
          </w:divBdr>
          <w:divsChild>
            <w:div w:id="1159230129">
              <w:marLeft w:val="0"/>
              <w:marRight w:val="0"/>
              <w:marTop w:val="0"/>
              <w:marBottom w:val="0"/>
              <w:divBdr>
                <w:top w:val="none" w:sz="0" w:space="0" w:color="auto"/>
                <w:left w:val="none" w:sz="0" w:space="0" w:color="auto"/>
                <w:bottom w:val="none" w:sz="0" w:space="0" w:color="auto"/>
                <w:right w:val="none" w:sz="0" w:space="0" w:color="auto"/>
              </w:divBdr>
            </w:div>
          </w:divsChild>
        </w:div>
        <w:div w:id="719792087">
          <w:marLeft w:val="0"/>
          <w:marRight w:val="0"/>
          <w:marTop w:val="0"/>
          <w:marBottom w:val="0"/>
          <w:divBdr>
            <w:top w:val="none" w:sz="0" w:space="0" w:color="auto"/>
            <w:left w:val="none" w:sz="0" w:space="0" w:color="auto"/>
            <w:bottom w:val="none" w:sz="0" w:space="0" w:color="auto"/>
            <w:right w:val="none" w:sz="0" w:space="0" w:color="auto"/>
          </w:divBdr>
          <w:divsChild>
            <w:div w:id="2087721353">
              <w:marLeft w:val="0"/>
              <w:marRight w:val="0"/>
              <w:marTop w:val="0"/>
              <w:marBottom w:val="0"/>
              <w:divBdr>
                <w:top w:val="none" w:sz="0" w:space="0" w:color="auto"/>
                <w:left w:val="none" w:sz="0" w:space="0" w:color="auto"/>
                <w:bottom w:val="none" w:sz="0" w:space="0" w:color="auto"/>
                <w:right w:val="none" w:sz="0" w:space="0" w:color="auto"/>
              </w:divBdr>
            </w:div>
          </w:divsChild>
        </w:div>
        <w:div w:id="778138732">
          <w:marLeft w:val="0"/>
          <w:marRight w:val="0"/>
          <w:marTop w:val="0"/>
          <w:marBottom w:val="0"/>
          <w:divBdr>
            <w:top w:val="none" w:sz="0" w:space="0" w:color="auto"/>
            <w:left w:val="none" w:sz="0" w:space="0" w:color="auto"/>
            <w:bottom w:val="none" w:sz="0" w:space="0" w:color="auto"/>
            <w:right w:val="none" w:sz="0" w:space="0" w:color="auto"/>
          </w:divBdr>
          <w:divsChild>
            <w:div w:id="1266574137">
              <w:marLeft w:val="0"/>
              <w:marRight w:val="0"/>
              <w:marTop w:val="0"/>
              <w:marBottom w:val="0"/>
              <w:divBdr>
                <w:top w:val="none" w:sz="0" w:space="0" w:color="auto"/>
                <w:left w:val="none" w:sz="0" w:space="0" w:color="auto"/>
                <w:bottom w:val="none" w:sz="0" w:space="0" w:color="auto"/>
                <w:right w:val="none" w:sz="0" w:space="0" w:color="auto"/>
              </w:divBdr>
            </w:div>
          </w:divsChild>
        </w:div>
        <w:div w:id="798186825">
          <w:marLeft w:val="0"/>
          <w:marRight w:val="0"/>
          <w:marTop w:val="0"/>
          <w:marBottom w:val="0"/>
          <w:divBdr>
            <w:top w:val="none" w:sz="0" w:space="0" w:color="auto"/>
            <w:left w:val="none" w:sz="0" w:space="0" w:color="auto"/>
            <w:bottom w:val="none" w:sz="0" w:space="0" w:color="auto"/>
            <w:right w:val="none" w:sz="0" w:space="0" w:color="auto"/>
          </w:divBdr>
          <w:divsChild>
            <w:div w:id="20866647">
              <w:marLeft w:val="0"/>
              <w:marRight w:val="0"/>
              <w:marTop w:val="0"/>
              <w:marBottom w:val="0"/>
              <w:divBdr>
                <w:top w:val="none" w:sz="0" w:space="0" w:color="auto"/>
                <w:left w:val="none" w:sz="0" w:space="0" w:color="auto"/>
                <w:bottom w:val="none" w:sz="0" w:space="0" w:color="auto"/>
                <w:right w:val="none" w:sz="0" w:space="0" w:color="auto"/>
              </w:divBdr>
            </w:div>
          </w:divsChild>
        </w:div>
        <w:div w:id="802580587">
          <w:marLeft w:val="0"/>
          <w:marRight w:val="0"/>
          <w:marTop w:val="0"/>
          <w:marBottom w:val="0"/>
          <w:divBdr>
            <w:top w:val="none" w:sz="0" w:space="0" w:color="auto"/>
            <w:left w:val="none" w:sz="0" w:space="0" w:color="auto"/>
            <w:bottom w:val="none" w:sz="0" w:space="0" w:color="auto"/>
            <w:right w:val="none" w:sz="0" w:space="0" w:color="auto"/>
          </w:divBdr>
          <w:divsChild>
            <w:div w:id="1018235893">
              <w:marLeft w:val="0"/>
              <w:marRight w:val="0"/>
              <w:marTop w:val="0"/>
              <w:marBottom w:val="0"/>
              <w:divBdr>
                <w:top w:val="none" w:sz="0" w:space="0" w:color="auto"/>
                <w:left w:val="none" w:sz="0" w:space="0" w:color="auto"/>
                <w:bottom w:val="none" w:sz="0" w:space="0" w:color="auto"/>
                <w:right w:val="none" w:sz="0" w:space="0" w:color="auto"/>
              </w:divBdr>
            </w:div>
          </w:divsChild>
        </w:div>
        <w:div w:id="949242775">
          <w:marLeft w:val="0"/>
          <w:marRight w:val="0"/>
          <w:marTop w:val="0"/>
          <w:marBottom w:val="0"/>
          <w:divBdr>
            <w:top w:val="none" w:sz="0" w:space="0" w:color="auto"/>
            <w:left w:val="none" w:sz="0" w:space="0" w:color="auto"/>
            <w:bottom w:val="none" w:sz="0" w:space="0" w:color="auto"/>
            <w:right w:val="none" w:sz="0" w:space="0" w:color="auto"/>
          </w:divBdr>
          <w:divsChild>
            <w:div w:id="1448431850">
              <w:marLeft w:val="0"/>
              <w:marRight w:val="0"/>
              <w:marTop w:val="0"/>
              <w:marBottom w:val="0"/>
              <w:divBdr>
                <w:top w:val="none" w:sz="0" w:space="0" w:color="auto"/>
                <w:left w:val="none" w:sz="0" w:space="0" w:color="auto"/>
                <w:bottom w:val="none" w:sz="0" w:space="0" w:color="auto"/>
                <w:right w:val="none" w:sz="0" w:space="0" w:color="auto"/>
              </w:divBdr>
            </w:div>
          </w:divsChild>
        </w:div>
        <w:div w:id="966472759">
          <w:marLeft w:val="0"/>
          <w:marRight w:val="0"/>
          <w:marTop w:val="0"/>
          <w:marBottom w:val="0"/>
          <w:divBdr>
            <w:top w:val="none" w:sz="0" w:space="0" w:color="auto"/>
            <w:left w:val="none" w:sz="0" w:space="0" w:color="auto"/>
            <w:bottom w:val="none" w:sz="0" w:space="0" w:color="auto"/>
            <w:right w:val="none" w:sz="0" w:space="0" w:color="auto"/>
          </w:divBdr>
          <w:divsChild>
            <w:div w:id="1790002125">
              <w:marLeft w:val="0"/>
              <w:marRight w:val="0"/>
              <w:marTop w:val="0"/>
              <w:marBottom w:val="0"/>
              <w:divBdr>
                <w:top w:val="none" w:sz="0" w:space="0" w:color="auto"/>
                <w:left w:val="none" w:sz="0" w:space="0" w:color="auto"/>
                <w:bottom w:val="none" w:sz="0" w:space="0" w:color="auto"/>
                <w:right w:val="none" w:sz="0" w:space="0" w:color="auto"/>
              </w:divBdr>
            </w:div>
          </w:divsChild>
        </w:div>
        <w:div w:id="1035082244">
          <w:marLeft w:val="0"/>
          <w:marRight w:val="0"/>
          <w:marTop w:val="0"/>
          <w:marBottom w:val="0"/>
          <w:divBdr>
            <w:top w:val="none" w:sz="0" w:space="0" w:color="auto"/>
            <w:left w:val="none" w:sz="0" w:space="0" w:color="auto"/>
            <w:bottom w:val="none" w:sz="0" w:space="0" w:color="auto"/>
            <w:right w:val="none" w:sz="0" w:space="0" w:color="auto"/>
          </w:divBdr>
          <w:divsChild>
            <w:div w:id="1128740185">
              <w:marLeft w:val="0"/>
              <w:marRight w:val="0"/>
              <w:marTop w:val="0"/>
              <w:marBottom w:val="0"/>
              <w:divBdr>
                <w:top w:val="none" w:sz="0" w:space="0" w:color="auto"/>
                <w:left w:val="none" w:sz="0" w:space="0" w:color="auto"/>
                <w:bottom w:val="none" w:sz="0" w:space="0" w:color="auto"/>
                <w:right w:val="none" w:sz="0" w:space="0" w:color="auto"/>
              </w:divBdr>
            </w:div>
          </w:divsChild>
        </w:div>
        <w:div w:id="1207373727">
          <w:marLeft w:val="0"/>
          <w:marRight w:val="0"/>
          <w:marTop w:val="0"/>
          <w:marBottom w:val="0"/>
          <w:divBdr>
            <w:top w:val="none" w:sz="0" w:space="0" w:color="auto"/>
            <w:left w:val="none" w:sz="0" w:space="0" w:color="auto"/>
            <w:bottom w:val="none" w:sz="0" w:space="0" w:color="auto"/>
            <w:right w:val="none" w:sz="0" w:space="0" w:color="auto"/>
          </w:divBdr>
          <w:divsChild>
            <w:div w:id="563033430">
              <w:marLeft w:val="0"/>
              <w:marRight w:val="0"/>
              <w:marTop w:val="0"/>
              <w:marBottom w:val="0"/>
              <w:divBdr>
                <w:top w:val="none" w:sz="0" w:space="0" w:color="auto"/>
                <w:left w:val="none" w:sz="0" w:space="0" w:color="auto"/>
                <w:bottom w:val="none" w:sz="0" w:space="0" w:color="auto"/>
                <w:right w:val="none" w:sz="0" w:space="0" w:color="auto"/>
              </w:divBdr>
            </w:div>
          </w:divsChild>
        </w:div>
        <w:div w:id="1212110122">
          <w:marLeft w:val="0"/>
          <w:marRight w:val="0"/>
          <w:marTop w:val="0"/>
          <w:marBottom w:val="0"/>
          <w:divBdr>
            <w:top w:val="none" w:sz="0" w:space="0" w:color="auto"/>
            <w:left w:val="none" w:sz="0" w:space="0" w:color="auto"/>
            <w:bottom w:val="none" w:sz="0" w:space="0" w:color="auto"/>
            <w:right w:val="none" w:sz="0" w:space="0" w:color="auto"/>
          </w:divBdr>
          <w:divsChild>
            <w:div w:id="1709526984">
              <w:marLeft w:val="0"/>
              <w:marRight w:val="0"/>
              <w:marTop w:val="0"/>
              <w:marBottom w:val="0"/>
              <w:divBdr>
                <w:top w:val="none" w:sz="0" w:space="0" w:color="auto"/>
                <w:left w:val="none" w:sz="0" w:space="0" w:color="auto"/>
                <w:bottom w:val="none" w:sz="0" w:space="0" w:color="auto"/>
                <w:right w:val="none" w:sz="0" w:space="0" w:color="auto"/>
              </w:divBdr>
            </w:div>
          </w:divsChild>
        </w:div>
        <w:div w:id="1212309700">
          <w:marLeft w:val="0"/>
          <w:marRight w:val="0"/>
          <w:marTop w:val="0"/>
          <w:marBottom w:val="0"/>
          <w:divBdr>
            <w:top w:val="none" w:sz="0" w:space="0" w:color="auto"/>
            <w:left w:val="none" w:sz="0" w:space="0" w:color="auto"/>
            <w:bottom w:val="none" w:sz="0" w:space="0" w:color="auto"/>
            <w:right w:val="none" w:sz="0" w:space="0" w:color="auto"/>
          </w:divBdr>
          <w:divsChild>
            <w:div w:id="91241421">
              <w:marLeft w:val="0"/>
              <w:marRight w:val="0"/>
              <w:marTop w:val="0"/>
              <w:marBottom w:val="0"/>
              <w:divBdr>
                <w:top w:val="none" w:sz="0" w:space="0" w:color="auto"/>
                <w:left w:val="none" w:sz="0" w:space="0" w:color="auto"/>
                <w:bottom w:val="none" w:sz="0" w:space="0" w:color="auto"/>
                <w:right w:val="none" w:sz="0" w:space="0" w:color="auto"/>
              </w:divBdr>
            </w:div>
          </w:divsChild>
        </w:div>
        <w:div w:id="1223830193">
          <w:marLeft w:val="0"/>
          <w:marRight w:val="0"/>
          <w:marTop w:val="0"/>
          <w:marBottom w:val="0"/>
          <w:divBdr>
            <w:top w:val="none" w:sz="0" w:space="0" w:color="auto"/>
            <w:left w:val="none" w:sz="0" w:space="0" w:color="auto"/>
            <w:bottom w:val="none" w:sz="0" w:space="0" w:color="auto"/>
            <w:right w:val="none" w:sz="0" w:space="0" w:color="auto"/>
          </w:divBdr>
          <w:divsChild>
            <w:div w:id="1060129022">
              <w:marLeft w:val="0"/>
              <w:marRight w:val="0"/>
              <w:marTop w:val="0"/>
              <w:marBottom w:val="0"/>
              <w:divBdr>
                <w:top w:val="none" w:sz="0" w:space="0" w:color="auto"/>
                <w:left w:val="none" w:sz="0" w:space="0" w:color="auto"/>
                <w:bottom w:val="none" w:sz="0" w:space="0" w:color="auto"/>
                <w:right w:val="none" w:sz="0" w:space="0" w:color="auto"/>
              </w:divBdr>
            </w:div>
          </w:divsChild>
        </w:div>
        <w:div w:id="1296831872">
          <w:marLeft w:val="0"/>
          <w:marRight w:val="0"/>
          <w:marTop w:val="0"/>
          <w:marBottom w:val="0"/>
          <w:divBdr>
            <w:top w:val="none" w:sz="0" w:space="0" w:color="auto"/>
            <w:left w:val="none" w:sz="0" w:space="0" w:color="auto"/>
            <w:bottom w:val="none" w:sz="0" w:space="0" w:color="auto"/>
            <w:right w:val="none" w:sz="0" w:space="0" w:color="auto"/>
          </w:divBdr>
          <w:divsChild>
            <w:div w:id="418214862">
              <w:marLeft w:val="0"/>
              <w:marRight w:val="0"/>
              <w:marTop w:val="0"/>
              <w:marBottom w:val="0"/>
              <w:divBdr>
                <w:top w:val="none" w:sz="0" w:space="0" w:color="auto"/>
                <w:left w:val="none" w:sz="0" w:space="0" w:color="auto"/>
                <w:bottom w:val="none" w:sz="0" w:space="0" w:color="auto"/>
                <w:right w:val="none" w:sz="0" w:space="0" w:color="auto"/>
              </w:divBdr>
            </w:div>
          </w:divsChild>
        </w:div>
        <w:div w:id="1317106353">
          <w:marLeft w:val="0"/>
          <w:marRight w:val="0"/>
          <w:marTop w:val="0"/>
          <w:marBottom w:val="0"/>
          <w:divBdr>
            <w:top w:val="none" w:sz="0" w:space="0" w:color="auto"/>
            <w:left w:val="none" w:sz="0" w:space="0" w:color="auto"/>
            <w:bottom w:val="none" w:sz="0" w:space="0" w:color="auto"/>
            <w:right w:val="none" w:sz="0" w:space="0" w:color="auto"/>
          </w:divBdr>
          <w:divsChild>
            <w:div w:id="1189948007">
              <w:marLeft w:val="0"/>
              <w:marRight w:val="0"/>
              <w:marTop w:val="0"/>
              <w:marBottom w:val="0"/>
              <w:divBdr>
                <w:top w:val="none" w:sz="0" w:space="0" w:color="auto"/>
                <w:left w:val="none" w:sz="0" w:space="0" w:color="auto"/>
                <w:bottom w:val="none" w:sz="0" w:space="0" w:color="auto"/>
                <w:right w:val="none" w:sz="0" w:space="0" w:color="auto"/>
              </w:divBdr>
            </w:div>
          </w:divsChild>
        </w:div>
        <w:div w:id="1397971374">
          <w:marLeft w:val="0"/>
          <w:marRight w:val="0"/>
          <w:marTop w:val="0"/>
          <w:marBottom w:val="0"/>
          <w:divBdr>
            <w:top w:val="none" w:sz="0" w:space="0" w:color="auto"/>
            <w:left w:val="none" w:sz="0" w:space="0" w:color="auto"/>
            <w:bottom w:val="none" w:sz="0" w:space="0" w:color="auto"/>
            <w:right w:val="none" w:sz="0" w:space="0" w:color="auto"/>
          </w:divBdr>
          <w:divsChild>
            <w:div w:id="1512253505">
              <w:marLeft w:val="0"/>
              <w:marRight w:val="0"/>
              <w:marTop w:val="0"/>
              <w:marBottom w:val="0"/>
              <w:divBdr>
                <w:top w:val="none" w:sz="0" w:space="0" w:color="auto"/>
                <w:left w:val="none" w:sz="0" w:space="0" w:color="auto"/>
                <w:bottom w:val="none" w:sz="0" w:space="0" w:color="auto"/>
                <w:right w:val="none" w:sz="0" w:space="0" w:color="auto"/>
              </w:divBdr>
            </w:div>
          </w:divsChild>
        </w:div>
        <w:div w:id="1520510919">
          <w:marLeft w:val="0"/>
          <w:marRight w:val="0"/>
          <w:marTop w:val="0"/>
          <w:marBottom w:val="0"/>
          <w:divBdr>
            <w:top w:val="none" w:sz="0" w:space="0" w:color="auto"/>
            <w:left w:val="none" w:sz="0" w:space="0" w:color="auto"/>
            <w:bottom w:val="none" w:sz="0" w:space="0" w:color="auto"/>
            <w:right w:val="none" w:sz="0" w:space="0" w:color="auto"/>
          </w:divBdr>
          <w:divsChild>
            <w:div w:id="268662444">
              <w:marLeft w:val="0"/>
              <w:marRight w:val="0"/>
              <w:marTop w:val="0"/>
              <w:marBottom w:val="0"/>
              <w:divBdr>
                <w:top w:val="none" w:sz="0" w:space="0" w:color="auto"/>
                <w:left w:val="none" w:sz="0" w:space="0" w:color="auto"/>
                <w:bottom w:val="none" w:sz="0" w:space="0" w:color="auto"/>
                <w:right w:val="none" w:sz="0" w:space="0" w:color="auto"/>
              </w:divBdr>
            </w:div>
          </w:divsChild>
        </w:div>
        <w:div w:id="1533768026">
          <w:marLeft w:val="0"/>
          <w:marRight w:val="0"/>
          <w:marTop w:val="0"/>
          <w:marBottom w:val="0"/>
          <w:divBdr>
            <w:top w:val="none" w:sz="0" w:space="0" w:color="auto"/>
            <w:left w:val="none" w:sz="0" w:space="0" w:color="auto"/>
            <w:bottom w:val="none" w:sz="0" w:space="0" w:color="auto"/>
            <w:right w:val="none" w:sz="0" w:space="0" w:color="auto"/>
          </w:divBdr>
          <w:divsChild>
            <w:div w:id="323556052">
              <w:marLeft w:val="0"/>
              <w:marRight w:val="0"/>
              <w:marTop w:val="0"/>
              <w:marBottom w:val="0"/>
              <w:divBdr>
                <w:top w:val="none" w:sz="0" w:space="0" w:color="auto"/>
                <w:left w:val="none" w:sz="0" w:space="0" w:color="auto"/>
                <w:bottom w:val="none" w:sz="0" w:space="0" w:color="auto"/>
                <w:right w:val="none" w:sz="0" w:space="0" w:color="auto"/>
              </w:divBdr>
            </w:div>
          </w:divsChild>
        </w:div>
        <w:div w:id="1689718211">
          <w:marLeft w:val="0"/>
          <w:marRight w:val="0"/>
          <w:marTop w:val="0"/>
          <w:marBottom w:val="0"/>
          <w:divBdr>
            <w:top w:val="none" w:sz="0" w:space="0" w:color="auto"/>
            <w:left w:val="none" w:sz="0" w:space="0" w:color="auto"/>
            <w:bottom w:val="none" w:sz="0" w:space="0" w:color="auto"/>
            <w:right w:val="none" w:sz="0" w:space="0" w:color="auto"/>
          </w:divBdr>
          <w:divsChild>
            <w:div w:id="1224835070">
              <w:marLeft w:val="0"/>
              <w:marRight w:val="0"/>
              <w:marTop w:val="0"/>
              <w:marBottom w:val="0"/>
              <w:divBdr>
                <w:top w:val="none" w:sz="0" w:space="0" w:color="auto"/>
                <w:left w:val="none" w:sz="0" w:space="0" w:color="auto"/>
                <w:bottom w:val="none" w:sz="0" w:space="0" w:color="auto"/>
                <w:right w:val="none" w:sz="0" w:space="0" w:color="auto"/>
              </w:divBdr>
            </w:div>
          </w:divsChild>
        </w:div>
        <w:div w:id="1702974855">
          <w:marLeft w:val="0"/>
          <w:marRight w:val="0"/>
          <w:marTop w:val="0"/>
          <w:marBottom w:val="0"/>
          <w:divBdr>
            <w:top w:val="none" w:sz="0" w:space="0" w:color="auto"/>
            <w:left w:val="none" w:sz="0" w:space="0" w:color="auto"/>
            <w:bottom w:val="none" w:sz="0" w:space="0" w:color="auto"/>
            <w:right w:val="none" w:sz="0" w:space="0" w:color="auto"/>
          </w:divBdr>
          <w:divsChild>
            <w:div w:id="1953706430">
              <w:marLeft w:val="0"/>
              <w:marRight w:val="0"/>
              <w:marTop w:val="0"/>
              <w:marBottom w:val="0"/>
              <w:divBdr>
                <w:top w:val="none" w:sz="0" w:space="0" w:color="auto"/>
                <w:left w:val="none" w:sz="0" w:space="0" w:color="auto"/>
                <w:bottom w:val="none" w:sz="0" w:space="0" w:color="auto"/>
                <w:right w:val="none" w:sz="0" w:space="0" w:color="auto"/>
              </w:divBdr>
            </w:div>
          </w:divsChild>
        </w:div>
        <w:div w:id="1742632580">
          <w:marLeft w:val="0"/>
          <w:marRight w:val="0"/>
          <w:marTop w:val="0"/>
          <w:marBottom w:val="0"/>
          <w:divBdr>
            <w:top w:val="none" w:sz="0" w:space="0" w:color="auto"/>
            <w:left w:val="none" w:sz="0" w:space="0" w:color="auto"/>
            <w:bottom w:val="none" w:sz="0" w:space="0" w:color="auto"/>
            <w:right w:val="none" w:sz="0" w:space="0" w:color="auto"/>
          </w:divBdr>
          <w:divsChild>
            <w:div w:id="372853221">
              <w:marLeft w:val="0"/>
              <w:marRight w:val="0"/>
              <w:marTop w:val="0"/>
              <w:marBottom w:val="0"/>
              <w:divBdr>
                <w:top w:val="none" w:sz="0" w:space="0" w:color="auto"/>
                <w:left w:val="none" w:sz="0" w:space="0" w:color="auto"/>
                <w:bottom w:val="none" w:sz="0" w:space="0" w:color="auto"/>
                <w:right w:val="none" w:sz="0" w:space="0" w:color="auto"/>
              </w:divBdr>
            </w:div>
          </w:divsChild>
        </w:div>
        <w:div w:id="1756513935">
          <w:marLeft w:val="0"/>
          <w:marRight w:val="0"/>
          <w:marTop w:val="0"/>
          <w:marBottom w:val="0"/>
          <w:divBdr>
            <w:top w:val="none" w:sz="0" w:space="0" w:color="auto"/>
            <w:left w:val="none" w:sz="0" w:space="0" w:color="auto"/>
            <w:bottom w:val="none" w:sz="0" w:space="0" w:color="auto"/>
            <w:right w:val="none" w:sz="0" w:space="0" w:color="auto"/>
          </w:divBdr>
          <w:divsChild>
            <w:div w:id="297227219">
              <w:marLeft w:val="0"/>
              <w:marRight w:val="0"/>
              <w:marTop w:val="0"/>
              <w:marBottom w:val="0"/>
              <w:divBdr>
                <w:top w:val="none" w:sz="0" w:space="0" w:color="auto"/>
                <w:left w:val="none" w:sz="0" w:space="0" w:color="auto"/>
                <w:bottom w:val="none" w:sz="0" w:space="0" w:color="auto"/>
                <w:right w:val="none" w:sz="0" w:space="0" w:color="auto"/>
              </w:divBdr>
            </w:div>
          </w:divsChild>
        </w:div>
        <w:div w:id="1780907773">
          <w:marLeft w:val="0"/>
          <w:marRight w:val="0"/>
          <w:marTop w:val="0"/>
          <w:marBottom w:val="0"/>
          <w:divBdr>
            <w:top w:val="none" w:sz="0" w:space="0" w:color="auto"/>
            <w:left w:val="none" w:sz="0" w:space="0" w:color="auto"/>
            <w:bottom w:val="none" w:sz="0" w:space="0" w:color="auto"/>
            <w:right w:val="none" w:sz="0" w:space="0" w:color="auto"/>
          </w:divBdr>
          <w:divsChild>
            <w:div w:id="1745759848">
              <w:marLeft w:val="0"/>
              <w:marRight w:val="0"/>
              <w:marTop w:val="0"/>
              <w:marBottom w:val="0"/>
              <w:divBdr>
                <w:top w:val="none" w:sz="0" w:space="0" w:color="auto"/>
                <w:left w:val="none" w:sz="0" w:space="0" w:color="auto"/>
                <w:bottom w:val="none" w:sz="0" w:space="0" w:color="auto"/>
                <w:right w:val="none" w:sz="0" w:space="0" w:color="auto"/>
              </w:divBdr>
            </w:div>
          </w:divsChild>
        </w:div>
        <w:div w:id="1792237133">
          <w:marLeft w:val="0"/>
          <w:marRight w:val="0"/>
          <w:marTop w:val="0"/>
          <w:marBottom w:val="0"/>
          <w:divBdr>
            <w:top w:val="none" w:sz="0" w:space="0" w:color="auto"/>
            <w:left w:val="none" w:sz="0" w:space="0" w:color="auto"/>
            <w:bottom w:val="none" w:sz="0" w:space="0" w:color="auto"/>
            <w:right w:val="none" w:sz="0" w:space="0" w:color="auto"/>
          </w:divBdr>
          <w:divsChild>
            <w:div w:id="257642751">
              <w:marLeft w:val="0"/>
              <w:marRight w:val="0"/>
              <w:marTop w:val="0"/>
              <w:marBottom w:val="0"/>
              <w:divBdr>
                <w:top w:val="none" w:sz="0" w:space="0" w:color="auto"/>
                <w:left w:val="none" w:sz="0" w:space="0" w:color="auto"/>
                <w:bottom w:val="none" w:sz="0" w:space="0" w:color="auto"/>
                <w:right w:val="none" w:sz="0" w:space="0" w:color="auto"/>
              </w:divBdr>
            </w:div>
          </w:divsChild>
        </w:div>
        <w:div w:id="1842037562">
          <w:marLeft w:val="0"/>
          <w:marRight w:val="0"/>
          <w:marTop w:val="0"/>
          <w:marBottom w:val="0"/>
          <w:divBdr>
            <w:top w:val="none" w:sz="0" w:space="0" w:color="auto"/>
            <w:left w:val="none" w:sz="0" w:space="0" w:color="auto"/>
            <w:bottom w:val="none" w:sz="0" w:space="0" w:color="auto"/>
            <w:right w:val="none" w:sz="0" w:space="0" w:color="auto"/>
          </w:divBdr>
          <w:divsChild>
            <w:div w:id="639966580">
              <w:marLeft w:val="0"/>
              <w:marRight w:val="0"/>
              <w:marTop w:val="0"/>
              <w:marBottom w:val="0"/>
              <w:divBdr>
                <w:top w:val="none" w:sz="0" w:space="0" w:color="auto"/>
                <w:left w:val="none" w:sz="0" w:space="0" w:color="auto"/>
                <w:bottom w:val="none" w:sz="0" w:space="0" w:color="auto"/>
                <w:right w:val="none" w:sz="0" w:space="0" w:color="auto"/>
              </w:divBdr>
            </w:div>
          </w:divsChild>
        </w:div>
        <w:div w:id="1874688019">
          <w:marLeft w:val="0"/>
          <w:marRight w:val="0"/>
          <w:marTop w:val="0"/>
          <w:marBottom w:val="0"/>
          <w:divBdr>
            <w:top w:val="none" w:sz="0" w:space="0" w:color="auto"/>
            <w:left w:val="none" w:sz="0" w:space="0" w:color="auto"/>
            <w:bottom w:val="none" w:sz="0" w:space="0" w:color="auto"/>
            <w:right w:val="none" w:sz="0" w:space="0" w:color="auto"/>
          </w:divBdr>
          <w:divsChild>
            <w:div w:id="1184982022">
              <w:marLeft w:val="0"/>
              <w:marRight w:val="0"/>
              <w:marTop w:val="0"/>
              <w:marBottom w:val="0"/>
              <w:divBdr>
                <w:top w:val="none" w:sz="0" w:space="0" w:color="auto"/>
                <w:left w:val="none" w:sz="0" w:space="0" w:color="auto"/>
                <w:bottom w:val="none" w:sz="0" w:space="0" w:color="auto"/>
                <w:right w:val="none" w:sz="0" w:space="0" w:color="auto"/>
              </w:divBdr>
            </w:div>
          </w:divsChild>
        </w:div>
        <w:div w:id="1881355816">
          <w:marLeft w:val="0"/>
          <w:marRight w:val="0"/>
          <w:marTop w:val="0"/>
          <w:marBottom w:val="0"/>
          <w:divBdr>
            <w:top w:val="none" w:sz="0" w:space="0" w:color="auto"/>
            <w:left w:val="none" w:sz="0" w:space="0" w:color="auto"/>
            <w:bottom w:val="none" w:sz="0" w:space="0" w:color="auto"/>
            <w:right w:val="none" w:sz="0" w:space="0" w:color="auto"/>
          </w:divBdr>
          <w:divsChild>
            <w:div w:id="724723482">
              <w:marLeft w:val="0"/>
              <w:marRight w:val="0"/>
              <w:marTop w:val="0"/>
              <w:marBottom w:val="0"/>
              <w:divBdr>
                <w:top w:val="none" w:sz="0" w:space="0" w:color="auto"/>
                <w:left w:val="none" w:sz="0" w:space="0" w:color="auto"/>
                <w:bottom w:val="none" w:sz="0" w:space="0" w:color="auto"/>
                <w:right w:val="none" w:sz="0" w:space="0" w:color="auto"/>
              </w:divBdr>
            </w:div>
          </w:divsChild>
        </w:div>
        <w:div w:id="1924560856">
          <w:marLeft w:val="0"/>
          <w:marRight w:val="0"/>
          <w:marTop w:val="0"/>
          <w:marBottom w:val="0"/>
          <w:divBdr>
            <w:top w:val="none" w:sz="0" w:space="0" w:color="auto"/>
            <w:left w:val="none" w:sz="0" w:space="0" w:color="auto"/>
            <w:bottom w:val="none" w:sz="0" w:space="0" w:color="auto"/>
            <w:right w:val="none" w:sz="0" w:space="0" w:color="auto"/>
          </w:divBdr>
          <w:divsChild>
            <w:div w:id="827481681">
              <w:marLeft w:val="0"/>
              <w:marRight w:val="0"/>
              <w:marTop w:val="0"/>
              <w:marBottom w:val="0"/>
              <w:divBdr>
                <w:top w:val="none" w:sz="0" w:space="0" w:color="auto"/>
                <w:left w:val="none" w:sz="0" w:space="0" w:color="auto"/>
                <w:bottom w:val="none" w:sz="0" w:space="0" w:color="auto"/>
                <w:right w:val="none" w:sz="0" w:space="0" w:color="auto"/>
              </w:divBdr>
            </w:div>
          </w:divsChild>
        </w:div>
        <w:div w:id="1929388963">
          <w:marLeft w:val="0"/>
          <w:marRight w:val="0"/>
          <w:marTop w:val="0"/>
          <w:marBottom w:val="0"/>
          <w:divBdr>
            <w:top w:val="none" w:sz="0" w:space="0" w:color="auto"/>
            <w:left w:val="none" w:sz="0" w:space="0" w:color="auto"/>
            <w:bottom w:val="none" w:sz="0" w:space="0" w:color="auto"/>
            <w:right w:val="none" w:sz="0" w:space="0" w:color="auto"/>
          </w:divBdr>
          <w:divsChild>
            <w:div w:id="2145809075">
              <w:marLeft w:val="0"/>
              <w:marRight w:val="0"/>
              <w:marTop w:val="0"/>
              <w:marBottom w:val="0"/>
              <w:divBdr>
                <w:top w:val="none" w:sz="0" w:space="0" w:color="auto"/>
                <w:left w:val="none" w:sz="0" w:space="0" w:color="auto"/>
                <w:bottom w:val="none" w:sz="0" w:space="0" w:color="auto"/>
                <w:right w:val="none" w:sz="0" w:space="0" w:color="auto"/>
              </w:divBdr>
            </w:div>
          </w:divsChild>
        </w:div>
        <w:div w:id="2036617679">
          <w:marLeft w:val="0"/>
          <w:marRight w:val="0"/>
          <w:marTop w:val="0"/>
          <w:marBottom w:val="0"/>
          <w:divBdr>
            <w:top w:val="none" w:sz="0" w:space="0" w:color="auto"/>
            <w:left w:val="none" w:sz="0" w:space="0" w:color="auto"/>
            <w:bottom w:val="none" w:sz="0" w:space="0" w:color="auto"/>
            <w:right w:val="none" w:sz="0" w:space="0" w:color="auto"/>
          </w:divBdr>
          <w:divsChild>
            <w:div w:id="484474031">
              <w:marLeft w:val="0"/>
              <w:marRight w:val="0"/>
              <w:marTop w:val="0"/>
              <w:marBottom w:val="0"/>
              <w:divBdr>
                <w:top w:val="none" w:sz="0" w:space="0" w:color="auto"/>
                <w:left w:val="none" w:sz="0" w:space="0" w:color="auto"/>
                <w:bottom w:val="none" w:sz="0" w:space="0" w:color="auto"/>
                <w:right w:val="none" w:sz="0" w:space="0" w:color="auto"/>
              </w:divBdr>
            </w:div>
          </w:divsChild>
        </w:div>
        <w:div w:id="2124304968">
          <w:marLeft w:val="0"/>
          <w:marRight w:val="0"/>
          <w:marTop w:val="0"/>
          <w:marBottom w:val="0"/>
          <w:divBdr>
            <w:top w:val="none" w:sz="0" w:space="0" w:color="auto"/>
            <w:left w:val="none" w:sz="0" w:space="0" w:color="auto"/>
            <w:bottom w:val="none" w:sz="0" w:space="0" w:color="auto"/>
            <w:right w:val="none" w:sz="0" w:space="0" w:color="auto"/>
          </w:divBdr>
          <w:divsChild>
            <w:div w:id="1914242118">
              <w:marLeft w:val="0"/>
              <w:marRight w:val="0"/>
              <w:marTop w:val="0"/>
              <w:marBottom w:val="0"/>
              <w:divBdr>
                <w:top w:val="none" w:sz="0" w:space="0" w:color="auto"/>
                <w:left w:val="none" w:sz="0" w:space="0" w:color="auto"/>
                <w:bottom w:val="none" w:sz="0" w:space="0" w:color="auto"/>
                <w:right w:val="none" w:sz="0" w:space="0" w:color="auto"/>
              </w:divBdr>
            </w:div>
          </w:divsChild>
        </w:div>
        <w:div w:id="2138835054">
          <w:marLeft w:val="0"/>
          <w:marRight w:val="0"/>
          <w:marTop w:val="0"/>
          <w:marBottom w:val="0"/>
          <w:divBdr>
            <w:top w:val="none" w:sz="0" w:space="0" w:color="auto"/>
            <w:left w:val="none" w:sz="0" w:space="0" w:color="auto"/>
            <w:bottom w:val="none" w:sz="0" w:space="0" w:color="auto"/>
            <w:right w:val="none" w:sz="0" w:space="0" w:color="auto"/>
          </w:divBdr>
          <w:divsChild>
            <w:div w:id="112743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529277">
      <w:bodyDiv w:val="1"/>
      <w:marLeft w:val="0"/>
      <w:marRight w:val="0"/>
      <w:marTop w:val="0"/>
      <w:marBottom w:val="0"/>
      <w:divBdr>
        <w:top w:val="none" w:sz="0" w:space="0" w:color="auto"/>
        <w:left w:val="none" w:sz="0" w:space="0" w:color="auto"/>
        <w:bottom w:val="none" w:sz="0" w:space="0" w:color="auto"/>
        <w:right w:val="none" w:sz="0" w:space="0" w:color="auto"/>
      </w:divBdr>
    </w:div>
    <w:div w:id="519049359">
      <w:bodyDiv w:val="1"/>
      <w:marLeft w:val="0"/>
      <w:marRight w:val="0"/>
      <w:marTop w:val="0"/>
      <w:marBottom w:val="0"/>
      <w:divBdr>
        <w:top w:val="none" w:sz="0" w:space="0" w:color="auto"/>
        <w:left w:val="none" w:sz="0" w:space="0" w:color="auto"/>
        <w:bottom w:val="none" w:sz="0" w:space="0" w:color="auto"/>
        <w:right w:val="none" w:sz="0" w:space="0" w:color="auto"/>
      </w:divBdr>
    </w:div>
    <w:div w:id="599338663">
      <w:bodyDiv w:val="1"/>
      <w:marLeft w:val="0"/>
      <w:marRight w:val="0"/>
      <w:marTop w:val="0"/>
      <w:marBottom w:val="0"/>
      <w:divBdr>
        <w:top w:val="none" w:sz="0" w:space="0" w:color="auto"/>
        <w:left w:val="none" w:sz="0" w:space="0" w:color="auto"/>
        <w:bottom w:val="none" w:sz="0" w:space="0" w:color="auto"/>
        <w:right w:val="none" w:sz="0" w:space="0" w:color="auto"/>
      </w:divBdr>
    </w:div>
    <w:div w:id="600144610">
      <w:bodyDiv w:val="1"/>
      <w:marLeft w:val="0"/>
      <w:marRight w:val="0"/>
      <w:marTop w:val="0"/>
      <w:marBottom w:val="0"/>
      <w:divBdr>
        <w:top w:val="none" w:sz="0" w:space="0" w:color="auto"/>
        <w:left w:val="none" w:sz="0" w:space="0" w:color="auto"/>
        <w:bottom w:val="none" w:sz="0" w:space="0" w:color="auto"/>
        <w:right w:val="none" w:sz="0" w:space="0" w:color="auto"/>
      </w:divBdr>
    </w:div>
    <w:div w:id="658047074">
      <w:bodyDiv w:val="1"/>
      <w:marLeft w:val="0"/>
      <w:marRight w:val="0"/>
      <w:marTop w:val="0"/>
      <w:marBottom w:val="0"/>
      <w:divBdr>
        <w:top w:val="none" w:sz="0" w:space="0" w:color="auto"/>
        <w:left w:val="none" w:sz="0" w:space="0" w:color="auto"/>
        <w:bottom w:val="none" w:sz="0" w:space="0" w:color="auto"/>
        <w:right w:val="none" w:sz="0" w:space="0" w:color="auto"/>
      </w:divBdr>
    </w:div>
    <w:div w:id="688600777">
      <w:bodyDiv w:val="1"/>
      <w:marLeft w:val="0"/>
      <w:marRight w:val="0"/>
      <w:marTop w:val="0"/>
      <w:marBottom w:val="0"/>
      <w:divBdr>
        <w:top w:val="none" w:sz="0" w:space="0" w:color="auto"/>
        <w:left w:val="none" w:sz="0" w:space="0" w:color="auto"/>
        <w:bottom w:val="none" w:sz="0" w:space="0" w:color="auto"/>
        <w:right w:val="none" w:sz="0" w:space="0" w:color="auto"/>
      </w:divBdr>
    </w:div>
    <w:div w:id="759716014">
      <w:bodyDiv w:val="1"/>
      <w:marLeft w:val="0"/>
      <w:marRight w:val="0"/>
      <w:marTop w:val="0"/>
      <w:marBottom w:val="0"/>
      <w:divBdr>
        <w:top w:val="none" w:sz="0" w:space="0" w:color="auto"/>
        <w:left w:val="none" w:sz="0" w:space="0" w:color="auto"/>
        <w:bottom w:val="none" w:sz="0" w:space="0" w:color="auto"/>
        <w:right w:val="none" w:sz="0" w:space="0" w:color="auto"/>
      </w:divBdr>
    </w:div>
    <w:div w:id="776289349">
      <w:bodyDiv w:val="1"/>
      <w:marLeft w:val="0"/>
      <w:marRight w:val="0"/>
      <w:marTop w:val="0"/>
      <w:marBottom w:val="0"/>
      <w:divBdr>
        <w:top w:val="none" w:sz="0" w:space="0" w:color="auto"/>
        <w:left w:val="none" w:sz="0" w:space="0" w:color="auto"/>
        <w:bottom w:val="none" w:sz="0" w:space="0" w:color="auto"/>
        <w:right w:val="none" w:sz="0" w:space="0" w:color="auto"/>
      </w:divBdr>
      <w:divsChild>
        <w:div w:id="5793579">
          <w:marLeft w:val="0"/>
          <w:marRight w:val="0"/>
          <w:marTop w:val="0"/>
          <w:marBottom w:val="0"/>
          <w:divBdr>
            <w:top w:val="none" w:sz="0" w:space="0" w:color="auto"/>
            <w:left w:val="none" w:sz="0" w:space="0" w:color="auto"/>
            <w:bottom w:val="none" w:sz="0" w:space="0" w:color="auto"/>
            <w:right w:val="none" w:sz="0" w:space="0" w:color="auto"/>
          </w:divBdr>
          <w:divsChild>
            <w:div w:id="1295017424">
              <w:marLeft w:val="0"/>
              <w:marRight w:val="0"/>
              <w:marTop w:val="0"/>
              <w:marBottom w:val="0"/>
              <w:divBdr>
                <w:top w:val="none" w:sz="0" w:space="0" w:color="auto"/>
                <w:left w:val="none" w:sz="0" w:space="0" w:color="auto"/>
                <w:bottom w:val="none" w:sz="0" w:space="0" w:color="auto"/>
                <w:right w:val="none" w:sz="0" w:space="0" w:color="auto"/>
              </w:divBdr>
            </w:div>
          </w:divsChild>
        </w:div>
        <w:div w:id="22945072">
          <w:marLeft w:val="0"/>
          <w:marRight w:val="0"/>
          <w:marTop w:val="0"/>
          <w:marBottom w:val="0"/>
          <w:divBdr>
            <w:top w:val="none" w:sz="0" w:space="0" w:color="auto"/>
            <w:left w:val="none" w:sz="0" w:space="0" w:color="auto"/>
            <w:bottom w:val="none" w:sz="0" w:space="0" w:color="auto"/>
            <w:right w:val="none" w:sz="0" w:space="0" w:color="auto"/>
          </w:divBdr>
          <w:divsChild>
            <w:div w:id="255675954">
              <w:marLeft w:val="0"/>
              <w:marRight w:val="0"/>
              <w:marTop w:val="0"/>
              <w:marBottom w:val="0"/>
              <w:divBdr>
                <w:top w:val="none" w:sz="0" w:space="0" w:color="auto"/>
                <w:left w:val="none" w:sz="0" w:space="0" w:color="auto"/>
                <w:bottom w:val="none" w:sz="0" w:space="0" w:color="auto"/>
                <w:right w:val="none" w:sz="0" w:space="0" w:color="auto"/>
              </w:divBdr>
            </w:div>
          </w:divsChild>
        </w:div>
        <w:div w:id="47924120">
          <w:marLeft w:val="0"/>
          <w:marRight w:val="0"/>
          <w:marTop w:val="0"/>
          <w:marBottom w:val="0"/>
          <w:divBdr>
            <w:top w:val="none" w:sz="0" w:space="0" w:color="auto"/>
            <w:left w:val="none" w:sz="0" w:space="0" w:color="auto"/>
            <w:bottom w:val="none" w:sz="0" w:space="0" w:color="auto"/>
            <w:right w:val="none" w:sz="0" w:space="0" w:color="auto"/>
          </w:divBdr>
          <w:divsChild>
            <w:div w:id="538200236">
              <w:marLeft w:val="0"/>
              <w:marRight w:val="0"/>
              <w:marTop w:val="0"/>
              <w:marBottom w:val="0"/>
              <w:divBdr>
                <w:top w:val="none" w:sz="0" w:space="0" w:color="auto"/>
                <w:left w:val="none" w:sz="0" w:space="0" w:color="auto"/>
                <w:bottom w:val="none" w:sz="0" w:space="0" w:color="auto"/>
                <w:right w:val="none" w:sz="0" w:space="0" w:color="auto"/>
              </w:divBdr>
            </w:div>
          </w:divsChild>
        </w:div>
        <w:div w:id="98523865">
          <w:marLeft w:val="0"/>
          <w:marRight w:val="0"/>
          <w:marTop w:val="0"/>
          <w:marBottom w:val="0"/>
          <w:divBdr>
            <w:top w:val="none" w:sz="0" w:space="0" w:color="auto"/>
            <w:left w:val="none" w:sz="0" w:space="0" w:color="auto"/>
            <w:bottom w:val="none" w:sz="0" w:space="0" w:color="auto"/>
            <w:right w:val="none" w:sz="0" w:space="0" w:color="auto"/>
          </w:divBdr>
          <w:divsChild>
            <w:div w:id="976833438">
              <w:marLeft w:val="0"/>
              <w:marRight w:val="0"/>
              <w:marTop w:val="0"/>
              <w:marBottom w:val="0"/>
              <w:divBdr>
                <w:top w:val="none" w:sz="0" w:space="0" w:color="auto"/>
                <w:left w:val="none" w:sz="0" w:space="0" w:color="auto"/>
                <w:bottom w:val="none" w:sz="0" w:space="0" w:color="auto"/>
                <w:right w:val="none" w:sz="0" w:space="0" w:color="auto"/>
              </w:divBdr>
            </w:div>
          </w:divsChild>
        </w:div>
        <w:div w:id="160708282">
          <w:marLeft w:val="0"/>
          <w:marRight w:val="0"/>
          <w:marTop w:val="0"/>
          <w:marBottom w:val="0"/>
          <w:divBdr>
            <w:top w:val="none" w:sz="0" w:space="0" w:color="auto"/>
            <w:left w:val="none" w:sz="0" w:space="0" w:color="auto"/>
            <w:bottom w:val="none" w:sz="0" w:space="0" w:color="auto"/>
            <w:right w:val="none" w:sz="0" w:space="0" w:color="auto"/>
          </w:divBdr>
          <w:divsChild>
            <w:div w:id="1553736807">
              <w:marLeft w:val="0"/>
              <w:marRight w:val="0"/>
              <w:marTop w:val="0"/>
              <w:marBottom w:val="0"/>
              <w:divBdr>
                <w:top w:val="none" w:sz="0" w:space="0" w:color="auto"/>
                <w:left w:val="none" w:sz="0" w:space="0" w:color="auto"/>
                <w:bottom w:val="none" w:sz="0" w:space="0" w:color="auto"/>
                <w:right w:val="none" w:sz="0" w:space="0" w:color="auto"/>
              </w:divBdr>
            </w:div>
          </w:divsChild>
        </w:div>
        <w:div w:id="218445752">
          <w:marLeft w:val="0"/>
          <w:marRight w:val="0"/>
          <w:marTop w:val="0"/>
          <w:marBottom w:val="0"/>
          <w:divBdr>
            <w:top w:val="none" w:sz="0" w:space="0" w:color="auto"/>
            <w:left w:val="none" w:sz="0" w:space="0" w:color="auto"/>
            <w:bottom w:val="none" w:sz="0" w:space="0" w:color="auto"/>
            <w:right w:val="none" w:sz="0" w:space="0" w:color="auto"/>
          </w:divBdr>
          <w:divsChild>
            <w:div w:id="1631327394">
              <w:marLeft w:val="0"/>
              <w:marRight w:val="0"/>
              <w:marTop w:val="0"/>
              <w:marBottom w:val="0"/>
              <w:divBdr>
                <w:top w:val="none" w:sz="0" w:space="0" w:color="auto"/>
                <w:left w:val="none" w:sz="0" w:space="0" w:color="auto"/>
                <w:bottom w:val="none" w:sz="0" w:space="0" w:color="auto"/>
                <w:right w:val="none" w:sz="0" w:space="0" w:color="auto"/>
              </w:divBdr>
            </w:div>
          </w:divsChild>
        </w:div>
        <w:div w:id="226456258">
          <w:marLeft w:val="0"/>
          <w:marRight w:val="0"/>
          <w:marTop w:val="0"/>
          <w:marBottom w:val="0"/>
          <w:divBdr>
            <w:top w:val="none" w:sz="0" w:space="0" w:color="auto"/>
            <w:left w:val="none" w:sz="0" w:space="0" w:color="auto"/>
            <w:bottom w:val="none" w:sz="0" w:space="0" w:color="auto"/>
            <w:right w:val="none" w:sz="0" w:space="0" w:color="auto"/>
          </w:divBdr>
          <w:divsChild>
            <w:div w:id="1911428428">
              <w:marLeft w:val="0"/>
              <w:marRight w:val="0"/>
              <w:marTop w:val="0"/>
              <w:marBottom w:val="0"/>
              <w:divBdr>
                <w:top w:val="none" w:sz="0" w:space="0" w:color="auto"/>
                <w:left w:val="none" w:sz="0" w:space="0" w:color="auto"/>
                <w:bottom w:val="none" w:sz="0" w:space="0" w:color="auto"/>
                <w:right w:val="none" w:sz="0" w:space="0" w:color="auto"/>
              </w:divBdr>
            </w:div>
          </w:divsChild>
        </w:div>
        <w:div w:id="245112623">
          <w:marLeft w:val="0"/>
          <w:marRight w:val="0"/>
          <w:marTop w:val="0"/>
          <w:marBottom w:val="0"/>
          <w:divBdr>
            <w:top w:val="none" w:sz="0" w:space="0" w:color="auto"/>
            <w:left w:val="none" w:sz="0" w:space="0" w:color="auto"/>
            <w:bottom w:val="none" w:sz="0" w:space="0" w:color="auto"/>
            <w:right w:val="none" w:sz="0" w:space="0" w:color="auto"/>
          </w:divBdr>
          <w:divsChild>
            <w:div w:id="117652651">
              <w:marLeft w:val="0"/>
              <w:marRight w:val="0"/>
              <w:marTop w:val="0"/>
              <w:marBottom w:val="0"/>
              <w:divBdr>
                <w:top w:val="none" w:sz="0" w:space="0" w:color="auto"/>
                <w:left w:val="none" w:sz="0" w:space="0" w:color="auto"/>
                <w:bottom w:val="none" w:sz="0" w:space="0" w:color="auto"/>
                <w:right w:val="none" w:sz="0" w:space="0" w:color="auto"/>
              </w:divBdr>
            </w:div>
          </w:divsChild>
        </w:div>
        <w:div w:id="255987809">
          <w:marLeft w:val="0"/>
          <w:marRight w:val="0"/>
          <w:marTop w:val="0"/>
          <w:marBottom w:val="0"/>
          <w:divBdr>
            <w:top w:val="none" w:sz="0" w:space="0" w:color="auto"/>
            <w:left w:val="none" w:sz="0" w:space="0" w:color="auto"/>
            <w:bottom w:val="none" w:sz="0" w:space="0" w:color="auto"/>
            <w:right w:val="none" w:sz="0" w:space="0" w:color="auto"/>
          </w:divBdr>
          <w:divsChild>
            <w:div w:id="295767191">
              <w:marLeft w:val="0"/>
              <w:marRight w:val="0"/>
              <w:marTop w:val="0"/>
              <w:marBottom w:val="0"/>
              <w:divBdr>
                <w:top w:val="none" w:sz="0" w:space="0" w:color="auto"/>
                <w:left w:val="none" w:sz="0" w:space="0" w:color="auto"/>
                <w:bottom w:val="none" w:sz="0" w:space="0" w:color="auto"/>
                <w:right w:val="none" w:sz="0" w:space="0" w:color="auto"/>
              </w:divBdr>
            </w:div>
          </w:divsChild>
        </w:div>
        <w:div w:id="332687791">
          <w:marLeft w:val="0"/>
          <w:marRight w:val="0"/>
          <w:marTop w:val="0"/>
          <w:marBottom w:val="0"/>
          <w:divBdr>
            <w:top w:val="none" w:sz="0" w:space="0" w:color="auto"/>
            <w:left w:val="none" w:sz="0" w:space="0" w:color="auto"/>
            <w:bottom w:val="none" w:sz="0" w:space="0" w:color="auto"/>
            <w:right w:val="none" w:sz="0" w:space="0" w:color="auto"/>
          </w:divBdr>
          <w:divsChild>
            <w:div w:id="421033456">
              <w:marLeft w:val="0"/>
              <w:marRight w:val="0"/>
              <w:marTop w:val="0"/>
              <w:marBottom w:val="0"/>
              <w:divBdr>
                <w:top w:val="none" w:sz="0" w:space="0" w:color="auto"/>
                <w:left w:val="none" w:sz="0" w:space="0" w:color="auto"/>
                <w:bottom w:val="none" w:sz="0" w:space="0" w:color="auto"/>
                <w:right w:val="none" w:sz="0" w:space="0" w:color="auto"/>
              </w:divBdr>
            </w:div>
          </w:divsChild>
        </w:div>
        <w:div w:id="395009846">
          <w:marLeft w:val="0"/>
          <w:marRight w:val="0"/>
          <w:marTop w:val="0"/>
          <w:marBottom w:val="0"/>
          <w:divBdr>
            <w:top w:val="none" w:sz="0" w:space="0" w:color="auto"/>
            <w:left w:val="none" w:sz="0" w:space="0" w:color="auto"/>
            <w:bottom w:val="none" w:sz="0" w:space="0" w:color="auto"/>
            <w:right w:val="none" w:sz="0" w:space="0" w:color="auto"/>
          </w:divBdr>
          <w:divsChild>
            <w:div w:id="1880312014">
              <w:marLeft w:val="0"/>
              <w:marRight w:val="0"/>
              <w:marTop w:val="0"/>
              <w:marBottom w:val="0"/>
              <w:divBdr>
                <w:top w:val="none" w:sz="0" w:space="0" w:color="auto"/>
                <w:left w:val="none" w:sz="0" w:space="0" w:color="auto"/>
                <w:bottom w:val="none" w:sz="0" w:space="0" w:color="auto"/>
                <w:right w:val="none" w:sz="0" w:space="0" w:color="auto"/>
              </w:divBdr>
            </w:div>
          </w:divsChild>
        </w:div>
        <w:div w:id="408385309">
          <w:marLeft w:val="0"/>
          <w:marRight w:val="0"/>
          <w:marTop w:val="0"/>
          <w:marBottom w:val="0"/>
          <w:divBdr>
            <w:top w:val="none" w:sz="0" w:space="0" w:color="auto"/>
            <w:left w:val="none" w:sz="0" w:space="0" w:color="auto"/>
            <w:bottom w:val="none" w:sz="0" w:space="0" w:color="auto"/>
            <w:right w:val="none" w:sz="0" w:space="0" w:color="auto"/>
          </w:divBdr>
          <w:divsChild>
            <w:div w:id="30420782">
              <w:marLeft w:val="0"/>
              <w:marRight w:val="0"/>
              <w:marTop w:val="0"/>
              <w:marBottom w:val="0"/>
              <w:divBdr>
                <w:top w:val="none" w:sz="0" w:space="0" w:color="auto"/>
                <w:left w:val="none" w:sz="0" w:space="0" w:color="auto"/>
                <w:bottom w:val="none" w:sz="0" w:space="0" w:color="auto"/>
                <w:right w:val="none" w:sz="0" w:space="0" w:color="auto"/>
              </w:divBdr>
            </w:div>
          </w:divsChild>
        </w:div>
        <w:div w:id="425075941">
          <w:marLeft w:val="0"/>
          <w:marRight w:val="0"/>
          <w:marTop w:val="0"/>
          <w:marBottom w:val="0"/>
          <w:divBdr>
            <w:top w:val="none" w:sz="0" w:space="0" w:color="auto"/>
            <w:left w:val="none" w:sz="0" w:space="0" w:color="auto"/>
            <w:bottom w:val="none" w:sz="0" w:space="0" w:color="auto"/>
            <w:right w:val="none" w:sz="0" w:space="0" w:color="auto"/>
          </w:divBdr>
          <w:divsChild>
            <w:div w:id="1531214450">
              <w:marLeft w:val="0"/>
              <w:marRight w:val="0"/>
              <w:marTop w:val="0"/>
              <w:marBottom w:val="0"/>
              <w:divBdr>
                <w:top w:val="none" w:sz="0" w:space="0" w:color="auto"/>
                <w:left w:val="none" w:sz="0" w:space="0" w:color="auto"/>
                <w:bottom w:val="none" w:sz="0" w:space="0" w:color="auto"/>
                <w:right w:val="none" w:sz="0" w:space="0" w:color="auto"/>
              </w:divBdr>
            </w:div>
          </w:divsChild>
        </w:div>
        <w:div w:id="479082686">
          <w:marLeft w:val="0"/>
          <w:marRight w:val="0"/>
          <w:marTop w:val="0"/>
          <w:marBottom w:val="0"/>
          <w:divBdr>
            <w:top w:val="none" w:sz="0" w:space="0" w:color="auto"/>
            <w:left w:val="none" w:sz="0" w:space="0" w:color="auto"/>
            <w:bottom w:val="none" w:sz="0" w:space="0" w:color="auto"/>
            <w:right w:val="none" w:sz="0" w:space="0" w:color="auto"/>
          </w:divBdr>
          <w:divsChild>
            <w:div w:id="1452892688">
              <w:marLeft w:val="0"/>
              <w:marRight w:val="0"/>
              <w:marTop w:val="0"/>
              <w:marBottom w:val="0"/>
              <w:divBdr>
                <w:top w:val="none" w:sz="0" w:space="0" w:color="auto"/>
                <w:left w:val="none" w:sz="0" w:space="0" w:color="auto"/>
                <w:bottom w:val="none" w:sz="0" w:space="0" w:color="auto"/>
                <w:right w:val="none" w:sz="0" w:space="0" w:color="auto"/>
              </w:divBdr>
            </w:div>
          </w:divsChild>
        </w:div>
        <w:div w:id="497619392">
          <w:marLeft w:val="0"/>
          <w:marRight w:val="0"/>
          <w:marTop w:val="0"/>
          <w:marBottom w:val="0"/>
          <w:divBdr>
            <w:top w:val="none" w:sz="0" w:space="0" w:color="auto"/>
            <w:left w:val="none" w:sz="0" w:space="0" w:color="auto"/>
            <w:bottom w:val="none" w:sz="0" w:space="0" w:color="auto"/>
            <w:right w:val="none" w:sz="0" w:space="0" w:color="auto"/>
          </w:divBdr>
          <w:divsChild>
            <w:div w:id="213927578">
              <w:marLeft w:val="0"/>
              <w:marRight w:val="0"/>
              <w:marTop w:val="0"/>
              <w:marBottom w:val="0"/>
              <w:divBdr>
                <w:top w:val="none" w:sz="0" w:space="0" w:color="auto"/>
                <w:left w:val="none" w:sz="0" w:space="0" w:color="auto"/>
                <w:bottom w:val="none" w:sz="0" w:space="0" w:color="auto"/>
                <w:right w:val="none" w:sz="0" w:space="0" w:color="auto"/>
              </w:divBdr>
            </w:div>
          </w:divsChild>
        </w:div>
        <w:div w:id="533082305">
          <w:marLeft w:val="0"/>
          <w:marRight w:val="0"/>
          <w:marTop w:val="0"/>
          <w:marBottom w:val="0"/>
          <w:divBdr>
            <w:top w:val="none" w:sz="0" w:space="0" w:color="auto"/>
            <w:left w:val="none" w:sz="0" w:space="0" w:color="auto"/>
            <w:bottom w:val="none" w:sz="0" w:space="0" w:color="auto"/>
            <w:right w:val="none" w:sz="0" w:space="0" w:color="auto"/>
          </w:divBdr>
          <w:divsChild>
            <w:div w:id="1823279269">
              <w:marLeft w:val="0"/>
              <w:marRight w:val="0"/>
              <w:marTop w:val="0"/>
              <w:marBottom w:val="0"/>
              <w:divBdr>
                <w:top w:val="none" w:sz="0" w:space="0" w:color="auto"/>
                <w:left w:val="none" w:sz="0" w:space="0" w:color="auto"/>
                <w:bottom w:val="none" w:sz="0" w:space="0" w:color="auto"/>
                <w:right w:val="none" w:sz="0" w:space="0" w:color="auto"/>
              </w:divBdr>
            </w:div>
          </w:divsChild>
        </w:div>
        <w:div w:id="612790336">
          <w:marLeft w:val="0"/>
          <w:marRight w:val="0"/>
          <w:marTop w:val="0"/>
          <w:marBottom w:val="0"/>
          <w:divBdr>
            <w:top w:val="none" w:sz="0" w:space="0" w:color="auto"/>
            <w:left w:val="none" w:sz="0" w:space="0" w:color="auto"/>
            <w:bottom w:val="none" w:sz="0" w:space="0" w:color="auto"/>
            <w:right w:val="none" w:sz="0" w:space="0" w:color="auto"/>
          </w:divBdr>
          <w:divsChild>
            <w:div w:id="1957133822">
              <w:marLeft w:val="0"/>
              <w:marRight w:val="0"/>
              <w:marTop w:val="0"/>
              <w:marBottom w:val="0"/>
              <w:divBdr>
                <w:top w:val="none" w:sz="0" w:space="0" w:color="auto"/>
                <w:left w:val="none" w:sz="0" w:space="0" w:color="auto"/>
                <w:bottom w:val="none" w:sz="0" w:space="0" w:color="auto"/>
                <w:right w:val="none" w:sz="0" w:space="0" w:color="auto"/>
              </w:divBdr>
            </w:div>
          </w:divsChild>
        </w:div>
        <w:div w:id="656614161">
          <w:marLeft w:val="0"/>
          <w:marRight w:val="0"/>
          <w:marTop w:val="0"/>
          <w:marBottom w:val="0"/>
          <w:divBdr>
            <w:top w:val="none" w:sz="0" w:space="0" w:color="auto"/>
            <w:left w:val="none" w:sz="0" w:space="0" w:color="auto"/>
            <w:bottom w:val="none" w:sz="0" w:space="0" w:color="auto"/>
            <w:right w:val="none" w:sz="0" w:space="0" w:color="auto"/>
          </w:divBdr>
          <w:divsChild>
            <w:div w:id="53432080">
              <w:marLeft w:val="0"/>
              <w:marRight w:val="0"/>
              <w:marTop w:val="0"/>
              <w:marBottom w:val="0"/>
              <w:divBdr>
                <w:top w:val="none" w:sz="0" w:space="0" w:color="auto"/>
                <w:left w:val="none" w:sz="0" w:space="0" w:color="auto"/>
                <w:bottom w:val="none" w:sz="0" w:space="0" w:color="auto"/>
                <w:right w:val="none" w:sz="0" w:space="0" w:color="auto"/>
              </w:divBdr>
            </w:div>
          </w:divsChild>
        </w:div>
        <w:div w:id="698705025">
          <w:marLeft w:val="0"/>
          <w:marRight w:val="0"/>
          <w:marTop w:val="0"/>
          <w:marBottom w:val="0"/>
          <w:divBdr>
            <w:top w:val="none" w:sz="0" w:space="0" w:color="auto"/>
            <w:left w:val="none" w:sz="0" w:space="0" w:color="auto"/>
            <w:bottom w:val="none" w:sz="0" w:space="0" w:color="auto"/>
            <w:right w:val="none" w:sz="0" w:space="0" w:color="auto"/>
          </w:divBdr>
          <w:divsChild>
            <w:div w:id="1049305058">
              <w:marLeft w:val="0"/>
              <w:marRight w:val="0"/>
              <w:marTop w:val="0"/>
              <w:marBottom w:val="0"/>
              <w:divBdr>
                <w:top w:val="none" w:sz="0" w:space="0" w:color="auto"/>
                <w:left w:val="none" w:sz="0" w:space="0" w:color="auto"/>
                <w:bottom w:val="none" w:sz="0" w:space="0" w:color="auto"/>
                <w:right w:val="none" w:sz="0" w:space="0" w:color="auto"/>
              </w:divBdr>
            </w:div>
          </w:divsChild>
        </w:div>
        <w:div w:id="720328876">
          <w:marLeft w:val="0"/>
          <w:marRight w:val="0"/>
          <w:marTop w:val="0"/>
          <w:marBottom w:val="0"/>
          <w:divBdr>
            <w:top w:val="none" w:sz="0" w:space="0" w:color="auto"/>
            <w:left w:val="none" w:sz="0" w:space="0" w:color="auto"/>
            <w:bottom w:val="none" w:sz="0" w:space="0" w:color="auto"/>
            <w:right w:val="none" w:sz="0" w:space="0" w:color="auto"/>
          </w:divBdr>
          <w:divsChild>
            <w:div w:id="184756725">
              <w:marLeft w:val="0"/>
              <w:marRight w:val="0"/>
              <w:marTop w:val="0"/>
              <w:marBottom w:val="0"/>
              <w:divBdr>
                <w:top w:val="none" w:sz="0" w:space="0" w:color="auto"/>
                <w:left w:val="none" w:sz="0" w:space="0" w:color="auto"/>
                <w:bottom w:val="none" w:sz="0" w:space="0" w:color="auto"/>
                <w:right w:val="none" w:sz="0" w:space="0" w:color="auto"/>
              </w:divBdr>
            </w:div>
          </w:divsChild>
        </w:div>
        <w:div w:id="728187512">
          <w:marLeft w:val="0"/>
          <w:marRight w:val="0"/>
          <w:marTop w:val="0"/>
          <w:marBottom w:val="0"/>
          <w:divBdr>
            <w:top w:val="none" w:sz="0" w:space="0" w:color="auto"/>
            <w:left w:val="none" w:sz="0" w:space="0" w:color="auto"/>
            <w:bottom w:val="none" w:sz="0" w:space="0" w:color="auto"/>
            <w:right w:val="none" w:sz="0" w:space="0" w:color="auto"/>
          </w:divBdr>
          <w:divsChild>
            <w:div w:id="1197933429">
              <w:marLeft w:val="0"/>
              <w:marRight w:val="0"/>
              <w:marTop w:val="0"/>
              <w:marBottom w:val="0"/>
              <w:divBdr>
                <w:top w:val="none" w:sz="0" w:space="0" w:color="auto"/>
                <w:left w:val="none" w:sz="0" w:space="0" w:color="auto"/>
                <w:bottom w:val="none" w:sz="0" w:space="0" w:color="auto"/>
                <w:right w:val="none" w:sz="0" w:space="0" w:color="auto"/>
              </w:divBdr>
            </w:div>
          </w:divsChild>
        </w:div>
        <w:div w:id="776604683">
          <w:marLeft w:val="0"/>
          <w:marRight w:val="0"/>
          <w:marTop w:val="0"/>
          <w:marBottom w:val="0"/>
          <w:divBdr>
            <w:top w:val="none" w:sz="0" w:space="0" w:color="auto"/>
            <w:left w:val="none" w:sz="0" w:space="0" w:color="auto"/>
            <w:bottom w:val="none" w:sz="0" w:space="0" w:color="auto"/>
            <w:right w:val="none" w:sz="0" w:space="0" w:color="auto"/>
          </w:divBdr>
          <w:divsChild>
            <w:div w:id="590433153">
              <w:marLeft w:val="0"/>
              <w:marRight w:val="0"/>
              <w:marTop w:val="0"/>
              <w:marBottom w:val="0"/>
              <w:divBdr>
                <w:top w:val="none" w:sz="0" w:space="0" w:color="auto"/>
                <w:left w:val="none" w:sz="0" w:space="0" w:color="auto"/>
                <w:bottom w:val="none" w:sz="0" w:space="0" w:color="auto"/>
                <w:right w:val="none" w:sz="0" w:space="0" w:color="auto"/>
              </w:divBdr>
            </w:div>
          </w:divsChild>
        </w:div>
        <w:div w:id="801732413">
          <w:marLeft w:val="0"/>
          <w:marRight w:val="0"/>
          <w:marTop w:val="0"/>
          <w:marBottom w:val="0"/>
          <w:divBdr>
            <w:top w:val="none" w:sz="0" w:space="0" w:color="auto"/>
            <w:left w:val="none" w:sz="0" w:space="0" w:color="auto"/>
            <w:bottom w:val="none" w:sz="0" w:space="0" w:color="auto"/>
            <w:right w:val="none" w:sz="0" w:space="0" w:color="auto"/>
          </w:divBdr>
          <w:divsChild>
            <w:div w:id="1066760976">
              <w:marLeft w:val="0"/>
              <w:marRight w:val="0"/>
              <w:marTop w:val="0"/>
              <w:marBottom w:val="0"/>
              <w:divBdr>
                <w:top w:val="none" w:sz="0" w:space="0" w:color="auto"/>
                <w:left w:val="none" w:sz="0" w:space="0" w:color="auto"/>
                <w:bottom w:val="none" w:sz="0" w:space="0" w:color="auto"/>
                <w:right w:val="none" w:sz="0" w:space="0" w:color="auto"/>
              </w:divBdr>
            </w:div>
          </w:divsChild>
        </w:div>
        <w:div w:id="901134163">
          <w:marLeft w:val="0"/>
          <w:marRight w:val="0"/>
          <w:marTop w:val="0"/>
          <w:marBottom w:val="0"/>
          <w:divBdr>
            <w:top w:val="none" w:sz="0" w:space="0" w:color="auto"/>
            <w:left w:val="none" w:sz="0" w:space="0" w:color="auto"/>
            <w:bottom w:val="none" w:sz="0" w:space="0" w:color="auto"/>
            <w:right w:val="none" w:sz="0" w:space="0" w:color="auto"/>
          </w:divBdr>
          <w:divsChild>
            <w:div w:id="16348506">
              <w:marLeft w:val="0"/>
              <w:marRight w:val="0"/>
              <w:marTop w:val="0"/>
              <w:marBottom w:val="0"/>
              <w:divBdr>
                <w:top w:val="none" w:sz="0" w:space="0" w:color="auto"/>
                <w:left w:val="none" w:sz="0" w:space="0" w:color="auto"/>
                <w:bottom w:val="none" w:sz="0" w:space="0" w:color="auto"/>
                <w:right w:val="none" w:sz="0" w:space="0" w:color="auto"/>
              </w:divBdr>
            </w:div>
          </w:divsChild>
        </w:div>
        <w:div w:id="1023675060">
          <w:marLeft w:val="0"/>
          <w:marRight w:val="0"/>
          <w:marTop w:val="0"/>
          <w:marBottom w:val="0"/>
          <w:divBdr>
            <w:top w:val="none" w:sz="0" w:space="0" w:color="auto"/>
            <w:left w:val="none" w:sz="0" w:space="0" w:color="auto"/>
            <w:bottom w:val="none" w:sz="0" w:space="0" w:color="auto"/>
            <w:right w:val="none" w:sz="0" w:space="0" w:color="auto"/>
          </w:divBdr>
          <w:divsChild>
            <w:div w:id="806895905">
              <w:marLeft w:val="0"/>
              <w:marRight w:val="0"/>
              <w:marTop w:val="0"/>
              <w:marBottom w:val="0"/>
              <w:divBdr>
                <w:top w:val="none" w:sz="0" w:space="0" w:color="auto"/>
                <w:left w:val="none" w:sz="0" w:space="0" w:color="auto"/>
                <w:bottom w:val="none" w:sz="0" w:space="0" w:color="auto"/>
                <w:right w:val="none" w:sz="0" w:space="0" w:color="auto"/>
              </w:divBdr>
            </w:div>
          </w:divsChild>
        </w:div>
        <w:div w:id="1033775430">
          <w:marLeft w:val="0"/>
          <w:marRight w:val="0"/>
          <w:marTop w:val="0"/>
          <w:marBottom w:val="0"/>
          <w:divBdr>
            <w:top w:val="none" w:sz="0" w:space="0" w:color="auto"/>
            <w:left w:val="none" w:sz="0" w:space="0" w:color="auto"/>
            <w:bottom w:val="none" w:sz="0" w:space="0" w:color="auto"/>
            <w:right w:val="none" w:sz="0" w:space="0" w:color="auto"/>
          </w:divBdr>
          <w:divsChild>
            <w:div w:id="1914074836">
              <w:marLeft w:val="0"/>
              <w:marRight w:val="0"/>
              <w:marTop w:val="0"/>
              <w:marBottom w:val="0"/>
              <w:divBdr>
                <w:top w:val="none" w:sz="0" w:space="0" w:color="auto"/>
                <w:left w:val="none" w:sz="0" w:space="0" w:color="auto"/>
                <w:bottom w:val="none" w:sz="0" w:space="0" w:color="auto"/>
                <w:right w:val="none" w:sz="0" w:space="0" w:color="auto"/>
              </w:divBdr>
            </w:div>
          </w:divsChild>
        </w:div>
        <w:div w:id="1076517767">
          <w:marLeft w:val="0"/>
          <w:marRight w:val="0"/>
          <w:marTop w:val="0"/>
          <w:marBottom w:val="0"/>
          <w:divBdr>
            <w:top w:val="none" w:sz="0" w:space="0" w:color="auto"/>
            <w:left w:val="none" w:sz="0" w:space="0" w:color="auto"/>
            <w:bottom w:val="none" w:sz="0" w:space="0" w:color="auto"/>
            <w:right w:val="none" w:sz="0" w:space="0" w:color="auto"/>
          </w:divBdr>
          <w:divsChild>
            <w:div w:id="475150585">
              <w:marLeft w:val="0"/>
              <w:marRight w:val="0"/>
              <w:marTop w:val="0"/>
              <w:marBottom w:val="0"/>
              <w:divBdr>
                <w:top w:val="none" w:sz="0" w:space="0" w:color="auto"/>
                <w:left w:val="none" w:sz="0" w:space="0" w:color="auto"/>
                <w:bottom w:val="none" w:sz="0" w:space="0" w:color="auto"/>
                <w:right w:val="none" w:sz="0" w:space="0" w:color="auto"/>
              </w:divBdr>
            </w:div>
          </w:divsChild>
        </w:div>
        <w:div w:id="1091925015">
          <w:marLeft w:val="0"/>
          <w:marRight w:val="0"/>
          <w:marTop w:val="0"/>
          <w:marBottom w:val="0"/>
          <w:divBdr>
            <w:top w:val="none" w:sz="0" w:space="0" w:color="auto"/>
            <w:left w:val="none" w:sz="0" w:space="0" w:color="auto"/>
            <w:bottom w:val="none" w:sz="0" w:space="0" w:color="auto"/>
            <w:right w:val="none" w:sz="0" w:space="0" w:color="auto"/>
          </w:divBdr>
          <w:divsChild>
            <w:div w:id="1426655654">
              <w:marLeft w:val="0"/>
              <w:marRight w:val="0"/>
              <w:marTop w:val="0"/>
              <w:marBottom w:val="0"/>
              <w:divBdr>
                <w:top w:val="none" w:sz="0" w:space="0" w:color="auto"/>
                <w:left w:val="none" w:sz="0" w:space="0" w:color="auto"/>
                <w:bottom w:val="none" w:sz="0" w:space="0" w:color="auto"/>
                <w:right w:val="none" w:sz="0" w:space="0" w:color="auto"/>
              </w:divBdr>
            </w:div>
          </w:divsChild>
        </w:div>
        <w:div w:id="1103188308">
          <w:marLeft w:val="0"/>
          <w:marRight w:val="0"/>
          <w:marTop w:val="0"/>
          <w:marBottom w:val="0"/>
          <w:divBdr>
            <w:top w:val="none" w:sz="0" w:space="0" w:color="auto"/>
            <w:left w:val="none" w:sz="0" w:space="0" w:color="auto"/>
            <w:bottom w:val="none" w:sz="0" w:space="0" w:color="auto"/>
            <w:right w:val="none" w:sz="0" w:space="0" w:color="auto"/>
          </w:divBdr>
          <w:divsChild>
            <w:div w:id="1816947464">
              <w:marLeft w:val="0"/>
              <w:marRight w:val="0"/>
              <w:marTop w:val="0"/>
              <w:marBottom w:val="0"/>
              <w:divBdr>
                <w:top w:val="none" w:sz="0" w:space="0" w:color="auto"/>
                <w:left w:val="none" w:sz="0" w:space="0" w:color="auto"/>
                <w:bottom w:val="none" w:sz="0" w:space="0" w:color="auto"/>
                <w:right w:val="none" w:sz="0" w:space="0" w:color="auto"/>
              </w:divBdr>
            </w:div>
          </w:divsChild>
        </w:div>
        <w:div w:id="1129318003">
          <w:marLeft w:val="0"/>
          <w:marRight w:val="0"/>
          <w:marTop w:val="0"/>
          <w:marBottom w:val="0"/>
          <w:divBdr>
            <w:top w:val="none" w:sz="0" w:space="0" w:color="auto"/>
            <w:left w:val="none" w:sz="0" w:space="0" w:color="auto"/>
            <w:bottom w:val="none" w:sz="0" w:space="0" w:color="auto"/>
            <w:right w:val="none" w:sz="0" w:space="0" w:color="auto"/>
          </w:divBdr>
          <w:divsChild>
            <w:div w:id="757554895">
              <w:marLeft w:val="0"/>
              <w:marRight w:val="0"/>
              <w:marTop w:val="0"/>
              <w:marBottom w:val="0"/>
              <w:divBdr>
                <w:top w:val="none" w:sz="0" w:space="0" w:color="auto"/>
                <w:left w:val="none" w:sz="0" w:space="0" w:color="auto"/>
                <w:bottom w:val="none" w:sz="0" w:space="0" w:color="auto"/>
                <w:right w:val="none" w:sz="0" w:space="0" w:color="auto"/>
              </w:divBdr>
            </w:div>
          </w:divsChild>
        </w:div>
        <w:div w:id="1129513567">
          <w:marLeft w:val="0"/>
          <w:marRight w:val="0"/>
          <w:marTop w:val="0"/>
          <w:marBottom w:val="0"/>
          <w:divBdr>
            <w:top w:val="none" w:sz="0" w:space="0" w:color="auto"/>
            <w:left w:val="none" w:sz="0" w:space="0" w:color="auto"/>
            <w:bottom w:val="none" w:sz="0" w:space="0" w:color="auto"/>
            <w:right w:val="none" w:sz="0" w:space="0" w:color="auto"/>
          </w:divBdr>
          <w:divsChild>
            <w:div w:id="2135561292">
              <w:marLeft w:val="0"/>
              <w:marRight w:val="0"/>
              <w:marTop w:val="0"/>
              <w:marBottom w:val="0"/>
              <w:divBdr>
                <w:top w:val="none" w:sz="0" w:space="0" w:color="auto"/>
                <w:left w:val="none" w:sz="0" w:space="0" w:color="auto"/>
                <w:bottom w:val="none" w:sz="0" w:space="0" w:color="auto"/>
                <w:right w:val="none" w:sz="0" w:space="0" w:color="auto"/>
              </w:divBdr>
            </w:div>
          </w:divsChild>
        </w:div>
        <w:div w:id="1187526860">
          <w:marLeft w:val="0"/>
          <w:marRight w:val="0"/>
          <w:marTop w:val="0"/>
          <w:marBottom w:val="0"/>
          <w:divBdr>
            <w:top w:val="none" w:sz="0" w:space="0" w:color="auto"/>
            <w:left w:val="none" w:sz="0" w:space="0" w:color="auto"/>
            <w:bottom w:val="none" w:sz="0" w:space="0" w:color="auto"/>
            <w:right w:val="none" w:sz="0" w:space="0" w:color="auto"/>
          </w:divBdr>
          <w:divsChild>
            <w:div w:id="1114904139">
              <w:marLeft w:val="0"/>
              <w:marRight w:val="0"/>
              <w:marTop w:val="0"/>
              <w:marBottom w:val="0"/>
              <w:divBdr>
                <w:top w:val="none" w:sz="0" w:space="0" w:color="auto"/>
                <w:left w:val="none" w:sz="0" w:space="0" w:color="auto"/>
                <w:bottom w:val="none" w:sz="0" w:space="0" w:color="auto"/>
                <w:right w:val="none" w:sz="0" w:space="0" w:color="auto"/>
              </w:divBdr>
            </w:div>
          </w:divsChild>
        </w:div>
        <w:div w:id="1194418909">
          <w:marLeft w:val="0"/>
          <w:marRight w:val="0"/>
          <w:marTop w:val="0"/>
          <w:marBottom w:val="0"/>
          <w:divBdr>
            <w:top w:val="none" w:sz="0" w:space="0" w:color="auto"/>
            <w:left w:val="none" w:sz="0" w:space="0" w:color="auto"/>
            <w:bottom w:val="none" w:sz="0" w:space="0" w:color="auto"/>
            <w:right w:val="none" w:sz="0" w:space="0" w:color="auto"/>
          </w:divBdr>
          <w:divsChild>
            <w:div w:id="1877305340">
              <w:marLeft w:val="0"/>
              <w:marRight w:val="0"/>
              <w:marTop w:val="0"/>
              <w:marBottom w:val="0"/>
              <w:divBdr>
                <w:top w:val="none" w:sz="0" w:space="0" w:color="auto"/>
                <w:left w:val="none" w:sz="0" w:space="0" w:color="auto"/>
                <w:bottom w:val="none" w:sz="0" w:space="0" w:color="auto"/>
                <w:right w:val="none" w:sz="0" w:space="0" w:color="auto"/>
              </w:divBdr>
            </w:div>
          </w:divsChild>
        </w:div>
        <w:div w:id="1268738210">
          <w:marLeft w:val="0"/>
          <w:marRight w:val="0"/>
          <w:marTop w:val="0"/>
          <w:marBottom w:val="0"/>
          <w:divBdr>
            <w:top w:val="none" w:sz="0" w:space="0" w:color="auto"/>
            <w:left w:val="none" w:sz="0" w:space="0" w:color="auto"/>
            <w:bottom w:val="none" w:sz="0" w:space="0" w:color="auto"/>
            <w:right w:val="none" w:sz="0" w:space="0" w:color="auto"/>
          </w:divBdr>
          <w:divsChild>
            <w:div w:id="758714821">
              <w:marLeft w:val="0"/>
              <w:marRight w:val="0"/>
              <w:marTop w:val="0"/>
              <w:marBottom w:val="0"/>
              <w:divBdr>
                <w:top w:val="none" w:sz="0" w:space="0" w:color="auto"/>
                <w:left w:val="none" w:sz="0" w:space="0" w:color="auto"/>
                <w:bottom w:val="none" w:sz="0" w:space="0" w:color="auto"/>
                <w:right w:val="none" w:sz="0" w:space="0" w:color="auto"/>
              </w:divBdr>
            </w:div>
          </w:divsChild>
        </w:div>
        <w:div w:id="1300266494">
          <w:marLeft w:val="0"/>
          <w:marRight w:val="0"/>
          <w:marTop w:val="0"/>
          <w:marBottom w:val="0"/>
          <w:divBdr>
            <w:top w:val="none" w:sz="0" w:space="0" w:color="auto"/>
            <w:left w:val="none" w:sz="0" w:space="0" w:color="auto"/>
            <w:bottom w:val="none" w:sz="0" w:space="0" w:color="auto"/>
            <w:right w:val="none" w:sz="0" w:space="0" w:color="auto"/>
          </w:divBdr>
          <w:divsChild>
            <w:div w:id="1337146614">
              <w:marLeft w:val="0"/>
              <w:marRight w:val="0"/>
              <w:marTop w:val="0"/>
              <w:marBottom w:val="0"/>
              <w:divBdr>
                <w:top w:val="none" w:sz="0" w:space="0" w:color="auto"/>
                <w:left w:val="none" w:sz="0" w:space="0" w:color="auto"/>
                <w:bottom w:val="none" w:sz="0" w:space="0" w:color="auto"/>
                <w:right w:val="none" w:sz="0" w:space="0" w:color="auto"/>
              </w:divBdr>
            </w:div>
          </w:divsChild>
        </w:div>
        <w:div w:id="1446071137">
          <w:marLeft w:val="0"/>
          <w:marRight w:val="0"/>
          <w:marTop w:val="0"/>
          <w:marBottom w:val="0"/>
          <w:divBdr>
            <w:top w:val="none" w:sz="0" w:space="0" w:color="auto"/>
            <w:left w:val="none" w:sz="0" w:space="0" w:color="auto"/>
            <w:bottom w:val="none" w:sz="0" w:space="0" w:color="auto"/>
            <w:right w:val="none" w:sz="0" w:space="0" w:color="auto"/>
          </w:divBdr>
          <w:divsChild>
            <w:div w:id="583146940">
              <w:marLeft w:val="0"/>
              <w:marRight w:val="0"/>
              <w:marTop w:val="0"/>
              <w:marBottom w:val="0"/>
              <w:divBdr>
                <w:top w:val="none" w:sz="0" w:space="0" w:color="auto"/>
                <w:left w:val="none" w:sz="0" w:space="0" w:color="auto"/>
                <w:bottom w:val="none" w:sz="0" w:space="0" w:color="auto"/>
                <w:right w:val="none" w:sz="0" w:space="0" w:color="auto"/>
              </w:divBdr>
            </w:div>
          </w:divsChild>
        </w:div>
        <w:div w:id="1479954591">
          <w:marLeft w:val="0"/>
          <w:marRight w:val="0"/>
          <w:marTop w:val="0"/>
          <w:marBottom w:val="0"/>
          <w:divBdr>
            <w:top w:val="none" w:sz="0" w:space="0" w:color="auto"/>
            <w:left w:val="none" w:sz="0" w:space="0" w:color="auto"/>
            <w:bottom w:val="none" w:sz="0" w:space="0" w:color="auto"/>
            <w:right w:val="none" w:sz="0" w:space="0" w:color="auto"/>
          </w:divBdr>
          <w:divsChild>
            <w:div w:id="1394504027">
              <w:marLeft w:val="0"/>
              <w:marRight w:val="0"/>
              <w:marTop w:val="0"/>
              <w:marBottom w:val="0"/>
              <w:divBdr>
                <w:top w:val="none" w:sz="0" w:space="0" w:color="auto"/>
                <w:left w:val="none" w:sz="0" w:space="0" w:color="auto"/>
                <w:bottom w:val="none" w:sz="0" w:space="0" w:color="auto"/>
                <w:right w:val="none" w:sz="0" w:space="0" w:color="auto"/>
              </w:divBdr>
            </w:div>
          </w:divsChild>
        </w:div>
        <w:div w:id="1545484541">
          <w:marLeft w:val="0"/>
          <w:marRight w:val="0"/>
          <w:marTop w:val="0"/>
          <w:marBottom w:val="0"/>
          <w:divBdr>
            <w:top w:val="none" w:sz="0" w:space="0" w:color="auto"/>
            <w:left w:val="none" w:sz="0" w:space="0" w:color="auto"/>
            <w:bottom w:val="none" w:sz="0" w:space="0" w:color="auto"/>
            <w:right w:val="none" w:sz="0" w:space="0" w:color="auto"/>
          </w:divBdr>
          <w:divsChild>
            <w:div w:id="7491061">
              <w:marLeft w:val="0"/>
              <w:marRight w:val="0"/>
              <w:marTop w:val="0"/>
              <w:marBottom w:val="0"/>
              <w:divBdr>
                <w:top w:val="none" w:sz="0" w:space="0" w:color="auto"/>
                <w:left w:val="none" w:sz="0" w:space="0" w:color="auto"/>
                <w:bottom w:val="none" w:sz="0" w:space="0" w:color="auto"/>
                <w:right w:val="none" w:sz="0" w:space="0" w:color="auto"/>
              </w:divBdr>
            </w:div>
          </w:divsChild>
        </w:div>
        <w:div w:id="1569653829">
          <w:marLeft w:val="0"/>
          <w:marRight w:val="0"/>
          <w:marTop w:val="0"/>
          <w:marBottom w:val="0"/>
          <w:divBdr>
            <w:top w:val="none" w:sz="0" w:space="0" w:color="auto"/>
            <w:left w:val="none" w:sz="0" w:space="0" w:color="auto"/>
            <w:bottom w:val="none" w:sz="0" w:space="0" w:color="auto"/>
            <w:right w:val="none" w:sz="0" w:space="0" w:color="auto"/>
          </w:divBdr>
          <w:divsChild>
            <w:div w:id="1505123527">
              <w:marLeft w:val="0"/>
              <w:marRight w:val="0"/>
              <w:marTop w:val="0"/>
              <w:marBottom w:val="0"/>
              <w:divBdr>
                <w:top w:val="none" w:sz="0" w:space="0" w:color="auto"/>
                <w:left w:val="none" w:sz="0" w:space="0" w:color="auto"/>
                <w:bottom w:val="none" w:sz="0" w:space="0" w:color="auto"/>
                <w:right w:val="none" w:sz="0" w:space="0" w:color="auto"/>
              </w:divBdr>
            </w:div>
          </w:divsChild>
        </w:div>
        <w:div w:id="1702391650">
          <w:marLeft w:val="0"/>
          <w:marRight w:val="0"/>
          <w:marTop w:val="0"/>
          <w:marBottom w:val="0"/>
          <w:divBdr>
            <w:top w:val="none" w:sz="0" w:space="0" w:color="auto"/>
            <w:left w:val="none" w:sz="0" w:space="0" w:color="auto"/>
            <w:bottom w:val="none" w:sz="0" w:space="0" w:color="auto"/>
            <w:right w:val="none" w:sz="0" w:space="0" w:color="auto"/>
          </w:divBdr>
          <w:divsChild>
            <w:div w:id="1717468455">
              <w:marLeft w:val="0"/>
              <w:marRight w:val="0"/>
              <w:marTop w:val="0"/>
              <w:marBottom w:val="0"/>
              <w:divBdr>
                <w:top w:val="none" w:sz="0" w:space="0" w:color="auto"/>
                <w:left w:val="none" w:sz="0" w:space="0" w:color="auto"/>
                <w:bottom w:val="none" w:sz="0" w:space="0" w:color="auto"/>
                <w:right w:val="none" w:sz="0" w:space="0" w:color="auto"/>
              </w:divBdr>
            </w:div>
          </w:divsChild>
        </w:div>
        <w:div w:id="2059671013">
          <w:marLeft w:val="0"/>
          <w:marRight w:val="0"/>
          <w:marTop w:val="0"/>
          <w:marBottom w:val="0"/>
          <w:divBdr>
            <w:top w:val="none" w:sz="0" w:space="0" w:color="auto"/>
            <w:left w:val="none" w:sz="0" w:space="0" w:color="auto"/>
            <w:bottom w:val="none" w:sz="0" w:space="0" w:color="auto"/>
            <w:right w:val="none" w:sz="0" w:space="0" w:color="auto"/>
          </w:divBdr>
          <w:divsChild>
            <w:div w:id="7721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396051">
      <w:bodyDiv w:val="1"/>
      <w:marLeft w:val="0"/>
      <w:marRight w:val="0"/>
      <w:marTop w:val="0"/>
      <w:marBottom w:val="0"/>
      <w:divBdr>
        <w:top w:val="none" w:sz="0" w:space="0" w:color="auto"/>
        <w:left w:val="none" w:sz="0" w:space="0" w:color="auto"/>
        <w:bottom w:val="none" w:sz="0" w:space="0" w:color="auto"/>
        <w:right w:val="none" w:sz="0" w:space="0" w:color="auto"/>
      </w:divBdr>
    </w:div>
    <w:div w:id="986515446">
      <w:bodyDiv w:val="1"/>
      <w:marLeft w:val="0"/>
      <w:marRight w:val="0"/>
      <w:marTop w:val="0"/>
      <w:marBottom w:val="0"/>
      <w:divBdr>
        <w:top w:val="none" w:sz="0" w:space="0" w:color="auto"/>
        <w:left w:val="none" w:sz="0" w:space="0" w:color="auto"/>
        <w:bottom w:val="none" w:sz="0" w:space="0" w:color="auto"/>
        <w:right w:val="none" w:sz="0" w:space="0" w:color="auto"/>
      </w:divBdr>
      <w:divsChild>
        <w:div w:id="23989712">
          <w:marLeft w:val="274"/>
          <w:marRight w:val="0"/>
          <w:marTop w:val="0"/>
          <w:marBottom w:val="0"/>
          <w:divBdr>
            <w:top w:val="none" w:sz="0" w:space="0" w:color="auto"/>
            <w:left w:val="none" w:sz="0" w:space="0" w:color="auto"/>
            <w:bottom w:val="none" w:sz="0" w:space="0" w:color="auto"/>
            <w:right w:val="none" w:sz="0" w:space="0" w:color="auto"/>
          </w:divBdr>
        </w:div>
        <w:div w:id="246616974">
          <w:marLeft w:val="274"/>
          <w:marRight w:val="0"/>
          <w:marTop w:val="0"/>
          <w:marBottom w:val="0"/>
          <w:divBdr>
            <w:top w:val="none" w:sz="0" w:space="0" w:color="auto"/>
            <w:left w:val="none" w:sz="0" w:space="0" w:color="auto"/>
            <w:bottom w:val="none" w:sz="0" w:space="0" w:color="auto"/>
            <w:right w:val="none" w:sz="0" w:space="0" w:color="auto"/>
          </w:divBdr>
        </w:div>
        <w:div w:id="349529215">
          <w:marLeft w:val="274"/>
          <w:marRight w:val="0"/>
          <w:marTop w:val="0"/>
          <w:marBottom w:val="0"/>
          <w:divBdr>
            <w:top w:val="none" w:sz="0" w:space="0" w:color="auto"/>
            <w:left w:val="none" w:sz="0" w:space="0" w:color="auto"/>
            <w:bottom w:val="none" w:sz="0" w:space="0" w:color="auto"/>
            <w:right w:val="none" w:sz="0" w:space="0" w:color="auto"/>
          </w:divBdr>
        </w:div>
        <w:div w:id="428503488">
          <w:marLeft w:val="274"/>
          <w:marRight w:val="0"/>
          <w:marTop w:val="0"/>
          <w:marBottom w:val="0"/>
          <w:divBdr>
            <w:top w:val="none" w:sz="0" w:space="0" w:color="auto"/>
            <w:left w:val="none" w:sz="0" w:space="0" w:color="auto"/>
            <w:bottom w:val="none" w:sz="0" w:space="0" w:color="auto"/>
            <w:right w:val="none" w:sz="0" w:space="0" w:color="auto"/>
          </w:divBdr>
        </w:div>
        <w:div w:id="539168942">
          <w:marLeft w:val="274"/>
          <w:marRight w:val="0"/>
          <w:marTop w:val="0"/>
          <w:marBottom w:val="0"/>
          <w:divBdr>
            <w:top w:val="none" w:sz="0" w:space="0" w:color="auto"/>
            <w:left w:val="none" w:sz="0" w:space="0" w:color="auto"/>
            <w:bottom w:val="none" w:sz="0" w:space="0" w:color="auto"/>
            <w:right w:val="none" w:sz="0" w:space="0" w:color="auto"/>
          </w:divBdr>
        </w:div>
        <w:div w:id="728066902">
          <w:marLeft w:val="274"/>
          <w:marRight w:val="0"/>
          <w:marTop w:val="0"/>
          <w:marBottom w:val="0"/>
          <w:divBdr>
            <w:top w:val="none" w:sz="0" w:space="0" w:color="auto"/>
            <w:left w:val="none" w:sz="0" w:space="0" w:color="auto"/>
            <w:bottom w:val="none" w:sz="0" w:space="0" w:color="auto"/>
            <w:right w:val="none" w:sz="0" w:space="0" w:color="auto"/>
          </w:divBdr>
        </w:div>
        <w:div w:id="788622459">
          <w:marLeft w:val="274"/>
          <w:marRight w:val="0"/>
          <w:marTop w:val="0"/>
          <w:marBottom w:val="0"/>
          <w:divBdr>
            <w:top w:val="none" w:sz="0" w:space="0" w:color="auto"/>
            <w:left w:val="none" w:sz="0" w:space="0" w:color="auto"/>
            <w:bottom w:val="none" w:sz="0" w:space="0" w:color="auto"/>
            <w:right w:val="none" w:sz="0" w:space="0" w:color="auto"/>
          </w:divBdr>
        </w:div>
        <w:div w:id="888224886">
          <w:marLeft w:val="274"/>
          <w:marRight w:val="0"/>
          <w:marTop w:val="0"/>
          <w:marBottom w:val="0"/>
          <w:divBdr>
            <w:top w:val="none" w:sz="0" w:space="0" w:color="auto"/>
            <w:left w:val="none" w:sz="0" w:space="0" w:color="auto"/>
            <w:bottom w:val="none" w:sz="0" w:space="0" w:color="auto"/>
            <w:right w:val="none" w:sz="0" w:space="0" w:color="auto"/>
          </w:divBdr>
        </w:div>
        <w:div w:id="1233277150">
          <w:marLeft w:val="274"/>
          <w:marRight w:val="0"/>
          <w:marTop w:val="0"/>
          <w:marBottom w:val="0"/>
          <w:divBdr>
            <w:top w:val="none" w:sz="0" w:space="0" w:color="auto"/>
            <w:left w:val="none" w:sz="0" w:space="0" w:color="auto"/>
            <w:bottom w:val="none" w:sz="0" w:space="0" w:color="auto"/>
            <w:right w:val="none" w:sz="0" w:space="0" w:color="auto"/>
          </w:divBdr>
        </w:div>
        <w:div w:id="1241714171">
          <w:marLeft w:val="274"/>
          <w:marRight w:val="0"/>
          <w:marTop w:val="0"/>
          <w:marBottom w:val="0"/>
          <w:divBdr>
            <w:top w:val="none" w:sz="0" w:space="0" w:color="auto"/>
            <w:left w:val="none" w:sz="0" w:space="0" w:color="auto"/>
            <w:bottom w:val="none" w:sz="0" w:space="0" w:color="auto"/>
            <w:right w:val="none" w:sz="0" w:space="0" w:color="auto"/>
          </w:divBdr>
        </w:div>
        <w:div w:id="1391072312">
          <w:marLeft w:val="274"/>
          <w:marRight w:val="0"/>
          <w:marTop w:val="0"/>
          <w:marBottom w:val="0"/>
          <w:divBdr>
            <w:top w:val="none" w:sz="0" w:space="0" w:color="auto"/>
            <w:left w:val="none" w:sz="0" w:space="0" w:color="auto"/>
            <w:bottom w:val="none" w:sz="0" w:space="0" w:color="auto"/>
            <w:right w:val="none" w:sz="0" w:space="0" w:color="auto"/>
          </w:divBdr>
        </w:div>
        <w:div w:id="1409691101">
          <w:marLeft w:val="274"/>
          <w:marRight w:val="0"/>
          <w:marTop w:val="0"/>
          <w:marBottom w:val="0"/>
          <w:divBdr>
            <w:top w:val="none" w:sz="0" w:space="0" w:color="auto"/>
            <w:left w:val="none" w:sz="0" w:space="0" w:color="auto"/>
            <w:bottom w:val="none" w:sz="0" w:space="0" w:color="auto"/>
            <w:right w:val="none" w:sz="0" w:space="0" w:color="auto"/>
          </w:divBdr>
        </w:div>
        <w:div w:id="1447777532">
          <w:marLeft w:val="274"/>
          <w:marRight w:val="0"/>
          <w:marTop w:val="0"/>
          <w:marBottom w:val="0"/>
          <w:divBdr>
            <w:top w:val="none" w:sz="0" w:space="0" w:color="auto"/>
            <w:left w:val="none" w:sz="0" w:space="0" w:color="auto"/>
            <w:bottom w:val="none" w:sz="0" w:space="0" w:color="auto"/>
            <w:right w:val="none" w:sz="0" w:space="0" w:color="auto"/>
          </w:divBdr>
        </w:div>
        <w:div w:id="1506556856">
          <w:marLeft w:val="274"/>
          <w:marRight w:val="0"/>
          <w:marTop w:val="0"/>
          <w:marBottom w:val="0"/>
          <w:divBdr>
            <w:top w:val="none" w:sz="0" w:space="0" w:color="auto"/>
            <w:left w:val="none" w:sz="0" w:space="0" w:color="auto"/>
            <w:bottom w:val="none" w:sz="0" w:space="0" w:color="auto"/>
            <w:right w:val="none" w:sz="0" w:space="0" w:color="auto"/>
          </w:divBdr>
        </w:div>
        <w:div w:id="1611277689">
          <w:marLeft w:val="274"/>
          <w:marRight w:val="0"/>
          <w:marTop w:val="0"/>
          <w:marBottom w:val="0"/>
          <w:divBdr>
            <w:top w:val="none" w:sz="0" w:space="0" w:color="auto"/>
            <w:left w:val="none" w:sz="0" w:space="0" w:color="auto"/>
            <w:bottom w:val="none" w:sz="0" w:space="0" w:color="auto"/>
            <w:right w:val="none" w:sz="0" w:space="0" w:color="auto"/>
          </w:divBdr>
        </w:div>
        <w:div w:id="1659386409">
          <w:marLeft w:val="274"/>
          <w:marRight w:val="0"/>
          <w:marTop w:val="0"/>
          <w:marBottom w:val="0"/>
          <w:divBdr>
            <w:top w:val="none" w:sz="0" w:space="0" w:color="auto"/>
            <w:left w:val="none" w:sz="0" w:space="0" w:color="auto"/>
            <w:bottom w:val="none" w:sz="0" w:space="0" w:color="auto"/>
            <w:right w:val="none" w:sz="0" w:space="0" w:color="auto"/>
          </w:divBdr>
        </w:div>
        <w:div w:id="1761217660">
          <w:marLeft w:val="274"/>
          <w:marRight w:val="0"/>
          <w:marTop w:val="0"/>
          <w:marBottom w:val="0"/>
          <w:divBdr>
            <w:top w:val="none" w:sz="0" w:space="0" w:color="auto"/>
            <w:left w:val="none" w:sz="0" w:space="0" w:color="auto"/>
            <w:bottom w:val="none" w:sz="0" w:space="0" w:color="auto"/>
            <w:right w:val="none" w:sz="0" w:space="0" w:color="auto"/>
          </w:divBdr>
        </w:div>
        <w:div w:id="1824660701">
          <w:marLeft w:val="274"/>
          <w:marRight w:val="0"/>
          <w:marTop w:val="0"/>
          <w:marBottom w:val="0"/>
          <w:divBdr>
            <w:top w:val="none" w:sz="0" w:space="0" w:color="auto"/>
            <w:left w:val="none" w:sz="0" w:space="0" w:color="auto"/>
            <w:bottom w:val="none" w:sz="0" w:space="0" w:color="auto"/>
            <w:right w:val="none" w:sz="0" w:space="0" w:color="auto"/>
          </w:divBdr>
        </w:div>
        <w:div w:id="1875342745">
          <w:marLeft w:val="274"/>
          <w:marRight w:val="0"/>
          <w:marTop w:val="0"/>
          <w:marBottom w:val="0"/>
          <w:divBdr>
            <w:top w:val="none" w:sz="0" w:space="0" w:color="auto"/>
            <w:left w:val="none" w:sz="0" w:space="0" w:color="auto"/>
            <w:bottom w:val="none" w:sz="0" w:space="0" w:color="auto"/>
            <w:right w:val="none" w:sz="0" w:space="0" w:color="auto"/>
          </w:divBdr>
        </w:div>
        <w:div w:id="1879736179">
          <w:marLeft w:val="274"/>
          <w:marRight w:val="0"/>
          <w:marTop w:val="0"/>
          <w:marBottom w:val="0"/>
          <w:divBdr>
            <w:top w:val="none" w:sz="0" w:space="0" w:color="auto"/>
            <w:left w:val="none" w:sz="0" w:space="0" w:color="auto"/>
            <w:bottom w:val="none" w:sz="0" w:space="0" w:color="auto"/>
            <w:right w:val="none" w:sz="0" w:space="0" w:color="auto"/>
          </w:divBdr>
        </w:div>
        <w:div w:id="1943370124">
          <w:marLeft w:val="274"/>
          <w:marRight w:val="0"/>
          <w:marTop w:val="0"/>
          <w:marBottom w:val="0"/>
          <w:divBdr>
            <w:top w:val="none" w:sz="0" w:space="0" w:color="auto"/>
            <w:left w:val="none" w:sz="0" w:space="0" w:color="auto"/>
            <w:bottom w:val="none" w:sz="0" w:space="0" w:color="auto"/>
            <w:right w:val="none" w:sz="0" w:space="0" w:color="auto"/>
          </w:divBdr>
        </w:div>
        <w:div w:id="2014915593">
          <w:marLeft w:val="274"/>
          <w:marRight w:val="0"/>
          <w:marTop w:val="0"/>
          <w:marBottom w:val="0"/>
          <w:divBdr>
            <w:top w:val="none" w:sz="0" w:space="0" w:color="auto"/>
            <w:left w:val="none" w:sz="0" w:space="0" w:color="auto"/>
            <w:bottom w:val="none" w:sz="0" w:space="0" w:color="auto"/>
            <w:right w:val="none" w:sz="0" w:space="0" w:color="auto"/>
          </w:divBdr>
        </w:div>
        <w:div w:id="2021662506">
          <w:marLeft w:val="274"/>
          <w:marRight w:val="0"/>
          <w:marTop w:val="0"/>
          <w:marBottom w:val="0"/>
          <w:divBdr>
            <w:top w:val="none" w:sz="0" w:space="0" w:color="auto"/>
            <w:left w:val="none" w:sz="0" w:space="0" w:color="auto"/>
            <w:bottom w:val="none" w:sz="0" w:space="0" w:color="auto"/>
            <w:right w:val="none" w:sz="0" w:space="0" w:color="auto"/>
          </w:divBdr>
        </w:div>
        <w:div w:id="2061321720">
          <w:marLeft w:val="274"/>
          <w:marRight w:val="0"/>
          <w:marTop w:val="0"/>
          <w:marBottom w:val="0"/>
          <w:divBdr>
            <w:top w:val="none" w:sz="0" w:space="0" w:color="auto"/>
            <w:left w:val="none" w:sz="0" w:space="0" w:color="auto"/>
            <w:bottom w:val="none" w:sz="0" w:space="0" w:color="auto"/>
            <w:right w:val="none" w:sz="0" w:space="0" w:color="auto"/>
          </w:divBdr>
        </w:div>
      </w:divsChild>
    </w:div>
    <w:div w:id="1107844248">
      <w:bodyDiv w:val="1"/>
      <w:marLeft w:val="0"/>
      <w:marRight w:val="0"/>
      <w:marTop w:val="0"/>
      <w:marBottom w:val="0"/>
      <w:divBdr>
        <w:top w:val="none" w:sz="0" w:space="0" w:color="auto"/>
        <w:left w:val="none" w:sz="0" w:space="0" w:color="auto"/>
        <w:bottom w:val="none" w:sz="0" w:space="0" w:color="auto"/>
        <w:right w:val="none" w:sz="0" w:space="0" w:color="auto"/>
      </w:divBdr>
    </w:div>
    <w:div w:id="1143503833">
      <w:bodyDiv w:val="1"/>
      <w:marLeft w:val="0"/>
      <w:marRight w:val="0"/>
      <w:marTop w:val="0"/>
      <w:marBottom w:val="0"/>
      <w:divBdr>
        <w:top w:val="none" w:sz="0" w:space="0" w:color="auto"/>
        <w:left w:val="none" w:sz="0" w:space="0" w:color="auto"/>
        <w:bottom w:val="none" w:sz="0" w:space="0" w:color="auto"/>
        <w:right w:val="none" w:sz="0" w:space="0" w:color="auto"/>
      </w:divBdr>
    </w:div>
    <w:div w:id="1165508459">
      <w:bodyDiv w:val="1"/>
      <w:marLeft w:val="0"/>
      <w:marRight w:val="0"/>
      <w:marTop w:val="0"/>
      <w:marBottom w:val="0"/>
      <w:divBdr>
        <w:top w:val="none" w:sz="0" w:space="0" w:color="auto"/>
        <w:left w:val="none" w:sz="0" w:space="0" w:color="auto"/>
        <w:bottom w:val="none" w:sz="0" w:space="0" w:color="auto"/>
        <w:right w:val="none" w:sz="0" w:space="0" w:color="auto"/>
      </w:divBdr>
    </w:div>
    <w:div w:id="1189441867">
      <w:bodyDiv w:val="1"/>
      <w:marLeft w:val="0"/>
      <w:marRight w:val="0"/>
      <w:marTop w:val="0"/>
      <w:marBottom w:val="0"/>
      <w:divBdr>
        <w:top w:val="none" w:sz="0" w:space="0" w:color="auto"/>
        <w:left w:val="none" w:sz="0" w:space="0" w:color="auto"/>
        <w:bottom w:val="none" w:sz="0" w:space="0" w:color="auto"/>
        <w:right w:val="none" w:sz="0" w:space="0" w:color="auto"/>
      </w:divBdr>
    </w:div>
    <w:div w:id="1231887182">
      <w:bodyDiv w:val="1"/>
      <w:marLeft w:val="0"/>
      <w:marRight w:val="0"/>
      <w:marTop w:val="0"/>
      <w:marBottom w:val="0"/>
      <w:divBdr>
        <w:top w:val="none" w:sz="0" w:space="0" w:color="auto"/>
        <w:left w:val="none" w:sz="0" w:space="0" w:color="auto"/>
        <w:bottom w:val="none" w:sz="0" w:space="0" w:color="auto"/>
        <w:right w:val="none" w:sz="0" w:space="0" w:color="auto"/>
      </w:divBdr>
    </w:div>
    <w:div w:id="1232423485">
      <w:bodyDiv w:val="1"/>
      <w:marLeft w:val="0"/>
      <w:marRight w:val="0"/>
      <w:marTop w:val="0"/>
      <w:marBottom w:val="0"/>
      <w:divBdr>
        <w:top w:val="none" w:sz="0" w:space="0" w:color="auto"/>
        <w:left w:val="none" w:sz="0" w:space="0" w:color="auto"/>
        <w:bottom w:val="none" w:sz="0" w:space="0" w:color="auto"/>
        <w:right w:val="none" w:sz="0" w:space="0" w:color="auto"/>
      </w:divBdr>
    </w:div>
    <w:div w:id="1340035998">
      <w:bodyDiv w:val="1"/>
      <w:marLeft w:val="0"/>
      <w:marRight w:val="0"/>
      <w:marTop w:val="0"/>
      <w:marBottom w:val="0"/>
      <w:divBdr>
        <w:top w:val="none" w:sz="0" w:space="0" w:color="auto"/>
        <w:left w:val="none" w:sz="0" w:space="0" w:color="auto"/>
        <w:bottom w:val="none" w:sz="0" w:space="0" w:color="auto"/>
        <w:right w:val="none" w:sz="0" w:space="0" w:color="auto"/>
      </w:divBdr>
    </w:div>
    <w:div w:id="1434087694">
      <w:bodyDiv w:val="1"/>
      <w:marLeft w:val="0"/>
      <w:marRight w:val="0"/>
      <w:marTop w:val="0"/>
      <w:marBottom w:val="0"/>
      <w:divBdr>
        <w:top w:val="none" w:sz="0" w:space="0" w:color="auto"/>
        <w:left w:val="none" w:sz="0" w:space="0" w:color="auto"/>
        <w:bottom w:val="none" w:sz="0" w:space="0" w:color="auto"/>
        <w:right w:val="none" w:sz="0" w:space="0" w:color="auto"/>
      </w:divBdr>
    </w:div>
    <w:div w:id="1440485567">
      <w:bodyDiv w:val="1"/>
      <w:marLeft w:val="0"/>
      <w:marRight w:val="0"/>
      <w:marTop w:val="0"/>
      <w:marBottom w:val="0"/>
      <w:divBdr>
        <w:top w:val="none" w:sz="0" w:space="0" w:color="auto"/>
        <w:left w:val="none" w:sz="0" w:space="0" w:color="auto"/>
        <w:bottom w:val="none" w:sz="0" w:space="0" w:color="auto"/>
        <w:right w:val="none" w:sz="0" w:space="0" w:color="auto"/>
      </w:divBdr>
    </w:div>
    <w:div w:id="1470438011">
      <w:bodyDiv w:val="1"/>
      <w:marLeft w:val="0"/>
      <w:marRight w:val="0"/>
      <w:marTop w:val="0"/>
      <w:marBottom w:val="0"/>
      <w:divBdr>
        <w:top w:val="none" w:sz="0" w:space="0" w:color="auto"/>
        <w:left w:val="none" w:sz="0" w:space="0" w:color="auto"/>
        <w:bottom w:val="none" w:sz="0" w:space="0" w:color="auto"/>
        <w:right w:val="none" w:sz="0" w:space="0" w:color="auto"/>
      </w:divBdr>
    </w:div>
    <w:div w:id="1508862866">
      <w:bodyDiv w:val="1"/>
      <w:marLeft w:val="0"/>
      <w:marRight w:val="0"/>
      <w:marTop w:val="0"/>
      <w:marBottom w:val="0"/>
      <w:divBdr>
        <w:top w:val="none" w:sz="0" w:space="0" w:color="auto"/>
        <w:left w:val="none" w:sz="0" w:space="0" w:color="auto"/>
        <w:bottom w:val="none" w:sz="0" w:space="0" w:color="auto"/>
        <w:right w:val="none" w:sz="0" w:space="0" w:color="auto"/>
      </w:divBdr>
    </w:div>
    <w:div w:id="1559049716">
      <w:bodyDiv w:val="1"/>
      <w:marLeft w:val="0"/>
      <w:marRight w:val="0"/>
      <w:marTop w:val="0"/>
      <w:marBottom w:val="0"/>
      <w:divBdr>
        <w:top w:val="none" w:sz="0" w:space="0" w:color="auto"/>
        <w:left w:val="none" w:sz="0" w:space="0" w:color="auto"/>
        <w:bottom w:val="none" w:sz="0" w:space="0" w:color="auto"/>
        <w:right w:val="none" w:sz="0" w:space="0" w:color="auto"/>
      </w:divBdr>
    </w:div>
    <w:div w:id="1604529053">
      <w:bodyDiv w:val="1"/>
      <w:marLeft w:val="0"/>
      <w:marRight w:val="0"/>
      <w:marTop w:val="0"/>
      <w:marBottom w:val="0"/>
      <w:divBdr>
        <w:top w:val="none" w:sz="0" w:space="0" w:color="auto"/>
        <w:left w:val="none" w:sz="0" w:space="0" w:color="auto"/>
        <w:bottom w:val="none" w:sz="0" w:space="0" w:color="auto"/>
        <w:right w:val="none" w:sz="0" w:space="0" w:color="auto"/>
      </w:divBdr>
    </w:div>
    <w:div w:id="1618831582">
      <w:bodyDiv w:val="1"/>
      <w:marLeft w:val="0"/>
      <w:marRight w:val="0"/>
      <w:marTop w:val="0"/>
      <w:marBottom w:val="0"/>
      <w:divBdr>
        <w:top w:val="none" w:sz="0" w:space="0" w:color="auto"/>
        <w:left w:val="none" w:sz="0" w:space="0" w:color="auto"/>
        <w:bottom w:val="none" w:sz="0" w:space="0" w:color="auto"/>
        <w:right w:val="none" w:sz="0" w:space="0" w:color="auto"/>
      </w:divBdr>
    </w:div>
    <w:div w:id="1721394426">
      <w:bodyDiv w:val="1"/>
      <w:marLeft w:val="0"/>
      <w:marRight w:val="0"/>
      <w:marTop w:val="0"/>
      <w:marBottom w:val="0"/>
      <w:divBdr>
        <w:top w:val="none" w:sz="0" w:space="0" w:color="auto"/>
        <w:left w:val="none" w:sz="0" w:space="0" w:color="auto"/>
        <w:bottom w:val="none" w:sz="0" w:space="0" w:color="auto"/>
        <w:right w:val="none" w:sz="0" w:space="0" w:color="auto"/>
      </w:divBdr>
    </w:div>
    <w:div w:id="1742408990">
      <w:bodyDiv w:val="1"/>
      <w:marLeft w:val="0"/>
      <w:marRight w:val="0"/>
      <w:marTop w:val="0"/>
      <w:marBottom w:val="0"/>
      <w:divBdr>
        <w:top w:val="none" w:sz="0" w:space="0" w:color="auto"/>
        <w:left w:val="none" w:sz="0" w:space="0" w:color="auto"/>
        <w:bottom w:val="none" w:sz="0" w:space="0" w:color="auto"/>
        <w:right w:val="none" w:sz="0" w:space="0" w:color="auto"/>
      </w:divBdr>
    </w:div>
    <w:div w:id="1821918882">
      <w:bodyDiv w:val="1"/>
      <w:marLeft w:val="0"/>
      <w:marRight w:val="0"/>
      <w:marTop w:val="0"/>
      <w:marBottom w:val="0"/>
      <w:divBdr>
        <w:top w:val="none" w:sz="0" w:space="0" w:color="auto"/>
        <w:left w:val="none" w:sz="0" w:space="0" w:color="auto"/>
        <w:bottom w:val="none" w:sz="0" w:space="0" w:color="auto"/>
        <w:right w:val="none" w:sz="0" w:space="0" w:color="auto"/>
      </w:divBdr>
      <w:divsChild>
        <w:div w:id="11302735">
          <w:marLeft w:val="0"/>
          <w:marRight w:val="0"/>
          <w:marTop w:val="0"/>
          <w:marBottom w:val="0"/>
          <w:divBdr>
            <w:top w:val="none" w:sz="0" w:space="0" w:color="auto"/>
            <w:left w:val="none" w:sz="0" w:space="0" w:color="auto"/>
            <w:bottom w:val="none" w:sz="0" w:space="0" w:color="auto"/>
            <w:right w:val="none" w:sz="0" w:space="0" w:color="auto"/>
          </w:divBdr>
          <w:divsChild>
            <w:div w:id="680812534">
              <w:marLeft w:val="0"/>
              <w:marRight w:val="0"/>
              <w:marTop w:val="0"/>
              <w:marBottom w:val="0"/>
              <w:divBdr>
                <w:top w:val="none" w:sz="0" w:space="0" w:color="auto"/>
                <w:left w:val="none" w:sz="0" w:space="0" w:color="auto"/>
                <w:bottom w:val="none" w:sz="0" w:space="0" w:color="auto"/>
                <w:right w:val="none" w:sz="0" w:space="0" w:color="auto"/>
              </w:divBdr>
            </w:div>
          </w:divsChild>
        </w:div>
        <w:div w:id="42028007">
          <w:marLeft w:val="0"/>
          <w:marRight w:val="0"/>
          <w:marTop w:val="0"/>
          <w:marBottom w:val="0"/>
          <w:divBdr>
            <w:top w:val="none" w:sz="0" w:space="0" w:color="auto"/>
            <w:left w:val="none" w:sz="0" w:space="0" w:color="auto"/>
            <w:bottom w:val="none" w:sz="0" w:space="0" w:color="auto"/>
            <w:right w:val="none" w:sz="0" w:space="0" w:color="auto"/>
          </w:divBdr>
          <w:divsChild>
            <w:div w:id="696927650">
              <w:marLeft w:val="0"/>
              <w:marRight w:val="0"/>
              <w:marTop w:val="0"/>
              <w:marBottom w:val="0"/>
              <w:divBdr>
                <w:top w:val="none" w:sz="0" w:space="0" w:color="auto"/>
                <w:left w:val="none" w:sz="0" w:space="0" w:color="auto"/>
                <w:bottom w:val="none" w:sz="0" w:space="0" w:color="auto"/>
                <w:right w:val="none" w:sz="0" w:space="0" w:color="auto"/>
              </w:divBdr>
            </w:div>
          </w:divsChild>
        </w:div>
        <w:div w:id="45448476">
          <w:marLeft w:val="0"/>
          <w:marRight w:val="0"/>
          <w:marTop w:val="0"/>
          <w:marBottom w:val="0"/>
          <w:divBdr>
            <w:top w:val="none" w:sz="0" w:space="0" w:color="auto"/>
            <w:left w:val="none" w:sz="0" w:space="0" w:color="auto"/>
            <w:bottom w:val="none" w:sz="0" w:space="0" w:color="auto"/>
            <w:right w:val="none" w:sz="0" w:space="0" w:color="auto"/>
          </w:divBdr>
          <w:divsChild>
            <w:div w:id="140972480">
              <w:marLeft w:val="0"/>
              <w:marRight w:val="0"/>
              <w:marTop w:val="0"/>
              <w:marBottom w:val="0"/>
              <w:divBdr>
                <w:top w:val="none" w:sz="0" w:space="0" w:color="auto"/>
                <w:left w:val="none" w:sz="0" w:space="0" w:color="auto"/>
                <w:bottom w:val="none" w:sz="0" w:space="0" w:color="auto"/>
                <w:right w:val="none" w:sz="0" w:space="0" w:color="auto"/>
              </w:divBdr>
            </w:div>
          </w:divsChild>
        </w:div>
        <w:div w:id="97799868">
          <w:marLeft w:val="0"/>
          <w:marRight w:val="0"/>
          <w:marTop w:val="0"/>
          <w:marBottom w:val="0"/>
          <w:divBdr>
            <w:top w:val="none" w:sz="0" w:space="0" w:color="auto"/>
            <w:left w:val="none" w:sz="0" w:space="0" w:color="auto"/>
            <w:bottom w:val="none" w:sz="0" w:space="0" w:color="auto"/>
            <w:right w:val="none" w:sz="0" w:space="0" w:color="auto"/>
          </w:divBdr>
          <w:divsChild>
            <w:div w:id="450705812">
              <w:marLeft w:val="0"/>
              <w:marRight w:val="0"/>
              <w:marTop w:val="0"/>
              <w:marBottom w:val="0"/>
              <w:divBdr>
                <w:top w:val="none" w:sz="0" w:space="0" w:color="auto"/>
                <w:left w:val="none" w:sz="0" w:space="0" w:color="auto"/>
                <w:bottom w:val="none" w:sz="0" w:space="0" w:color="auto"/>
                <w:right w:val="none" w:sz="0" w:space="0" w:color="auto"/>
              </w:divBdr>
            </w:div>
          </w:divsChild>
        </w:div>
        <w:div w:id="368065963">
          <w:marLeft w:val="0"/>
          <w:marRight w:val="0"/>
          <w:marTop w:val="0"/>
          <w:marBottom w:val="0"/>
          <w:divBdr>
            <w:top w:val="none" w:sz="0" w:space="0" w:color="auto"/>
            <w:left w:val="none" w:sz="0" w:space="0" w:color="auto"/>
            <w:bottom w:val="none" w:sz="0" w:space="0" w:color="auto"/>
            <w:right w:val="none" w:sz="0" w:space="0" w:color="auto"/>
          </w:divBdr>
          <w:divsChild>
            <w:div w:id="2043359573">
              <w:marLeft w:val="0"/>
              <w:marRight w:val="0"/>
              <w:marTop w:val="0"/>
              <w:marBottom w:val="0"/>
              <w:divBdr>
                <w:top w:val="none" w:sz="0" w:space="0" w:color="auto"/>
                <w:left w:val="none" w:sz="0" w:space="0" w:color="auto"/>
                <w:bottom w:val="none" w:sz="0" w:space="0" w:color="auto"/>
                <w:right w:val="none" w:sz="0" w:space="0" w:color="auto"/>
              </w:divBdr>
            </w:div>
          </w:divsChild>
        </w:div>
        <w:div w:id="386487879">
          <w:marLeft w:val="0"/>
          <w:marRight w:val="0"/>
          <w:marTop w:val="0"/>
          <w:marBottom w:val="0"/>
          <w:divBdr>
            <w:top w:val="none" w:sz="0" w:space="0" w:color="auto"/>
            <w:left w:val="none" w:sz="0" w:space="0" w:color="auto"/>
            <w:bottom w:val="none" w:sz="0" w:space="0" w:color="auto"/>
            <w:right w:val="none" w:sz="0" w:space="0" w:color="auto"/>
          </w:divBdr>
          <w:divsChild>
            <w:div w:id="928197756">
              <w:marLeft w:val="0"/>
              <w:marRight w:val="0"/>
              <w:marTop w:val="0"/>
              <w:marBottom w:val="0"/>
              <w:divBdr>
                <w:top w:val="none" w:sz="0" w:space="0" w:color="auto"/>
                <w:left w:val="none" w:sz="0" w:space="0" w:color="auto"/>
                <w:bottom w:val="none" w:sz="0" w:space="0" w:color="auto"/>
                <w:right w:val="none" w:sz="0" w:space="0" w:color="auto"/>
              </w:divBdr>
            </w:div>
          </w:divsChild>
        </w:div>
        <w:div w:id="492256026">
          <w:marLeft w:val="0"/>
          <w:marRight w:val="0"/>
          <w:marTop w:val="0"/>
          <w:marBottom w:val="0"/>
          <w:divBdr>
            <w:top w:val="none" w:sz="0" w:space="0" w:color="auto"/>
            <w:left w:val="none" w:sz="0" w:space="0" w:color="auto"/>
            <w:bottom w:val="none" w:sz="0" w:space="0" w:color="auto"/>
            <w:right w:val="none" w:sz="0" w:space="0" w:color="auto"/>
          </w:divBdr>
          <w:divsChild>
            <w:div w:id="213975745">
              <w:marLeft w:val="0"/>
              <w:marRight w:val="0"/>
              <w:marTop w:val="0"/>
              <w:marBottom w:val="0"/>
              <w:divBdr>
                <w:top w:val="none" w:sz="0" w:space="0" w:color="auto"/>
                <w:left w:val="none" w:sz="0" w:space="0" w:color="auto"/>
                <w:bottom w:val="none" w:sz="0" w:space="0" w:color="auto"/>
                <w:right w:val="none" w:sz="0" w:space="0" w:color="auto"/>
              </w:divBdr>
            </w:div>
          </w:divsChild>
        </w:div>
        <w:div w:id="514459823">
          <w:marLeft w:val="0"/>
          <w:marRight w:val="0"/>
          <w:marTop w:val="0"/>
          <w:marBottom w:val="0"/>
          <w:divBdr>
            <w:top w:val="none" w:sz="0" w:space="0" w:color="auto"/>
            <w:left w:val="none" w:sz="0" w:space="0" w:color="auto"/>
            <w:bottom w:val="none" w:sz="0" w:space="0" w:color="auto"/>
            <w:right w:val="none" w:sz="0" w:space="0" w:color="auto"/>
          </w:divBdr>
          <w:divsChild>
            <w:div w:id="312754842">
              <w:marLeft w:val="0"/>
              <w:marRight w:val="0"/>
              <w:marTop w:val="0"/>
              <w:marBottom w:val="0"/>
              <w:divBdr>
                <w:top w:val="none" w:sz="0" w:space="0" w:color="auto"/>
                <w:left w:val="none" w:sz="0" w:space="0" w:color="auto"/>
                <w:bottom w:val="none" w:sz="0" w:space="0" w:color="auto"/>
                <w:right w:val="none" w:sz="0" w:space="0" w:color="auto"/>
              </w:divBdr>
            </w:div>
          </w:divsChild>
        </w:div>
        <w:div w:id="534466385">
          <w:marLeft w:val="0"/>
          <w:marRight w:val="0"/>
          <w:marTop w:val="0"/>
          <w:marBottom w:val="0"/>
          <w:divBdr>
            <w:top w:val="none" w:sz="0" w:space="0" w:color="auto"/>
            <w:left w:val="none" w:sz="0" w:space="0" w:color="auto"/>
            <w:bottom w:val="none" w:sz="0" w:space="0" w:color="auto"/>
            <w:right w:val="none" w:sz="0" w:space="0" w:color="auto"/>
          </w:divBdr>
          <w:divsChild>
            <w:div w:id="859859239">
              <w:marLeft w:val="0"/>
              <w:marRight w:val="0"/>
              <w:marTop w:val="0"/>
              <w:marBottom w:val="0"/>
              <w:divBdr>
                <w:top w:val="none" w:sz="0" w:space="0" w:color="auto"/>
                <w:left w:val="none" w:sz="0" w:space="0" w:color="auto"/>
                <w:bottom w:val="none" w:sz="0" w:space="0" w:color="auto"/>
                <w:right w:val="none" w:sz="0" w:space="0" w:color="auto"/>
              </w:divBdr>
            </w:div>
          </w:divsChild>
        </w:div>
        <w:div w:id="570165657">
          <w:marLeft w:val="0"/>
          <w:marRight w:val="0"/>
          <w:marTop w:val="0"/>
          <w:marBottom w:val="0"/>
          <w:divBdr>
            <w:top w:val="none" w:sz="0" w:space="0" w:color="auto"/>
            <w:left w:val="none" w:sz="0" w:space="0" w:color="auto"/>
            <w:bottom w:val="none" w:sz="0" w:space="0" w:color="auto"/>
            <w:right w:val="none" w:sz="0" w:space="0" w:color="auto"/>
          </w:divBdr>
          <w:divsChild>
            <w:div w:id="952128011">
              <w:marLeft w:val="0"/>
              <w:marRight w:val="0"/>
              <w:marTop w:val="0"/>
              <w:marBottom w:val="0"/>
              <w:divBdr>
                <w:top w:val="none" w:sz="0" w:space="0" w:color="auto"/>
                <w:left w:val="none" w:sz="0" w:space="0" w:color="auto"/>
                <w:bottom w:val="none" w:sz="0" w:space="0" w:color="auto"/>
                <w:right w:val="none" w:sz="0" w:space="0" w:color="auto"/>
              </w:divBdr>
            </w:div>
          </w:divsChild>
        </w:div>
        <w:div w:id="632638807">
          <w:marLeft w:val="0"/>
          <w:marRight w:val="0"/>
          <w:marTop w:val="0"/>
          <w:marBottom w:val="0"/>
          <w:divBdr>
            <w:top w:val="none" w:sz="0" w:space="0" w:color="auto"/>
            <w:left w:val="none" w:sz="0" w:space="0" w:color="auto"/>
            <w:bottom w:val="none" w:sz="0" w:space="0" w:color="auto"/>
            <w:right w:val="none" w:sz="0" w:space="0" w:color="auto"/>
          </w:divBdr>
          <w:divsChild>
            <w:div w:id="1256674694">
              <w:marLeft w:val="0"/>
              <w:marRight w:val="0"/>
              <w:marTop w:val="0"/>
              <w:marBottom w:val="0"/>
              <w:divBdr>
                <w:top w:val="none" w:sz="0" w:space="0" w:color="auto"/>
                <w:left w:val="none" w:sz="0" w:space="0" w:color="auto"/>
                <w:bottom w:val="none" w:sz="0" w:space="0" w:color="auto"/>
                <w:right w:val="none" w:sz="0" w:space="0" w:color="auto"/>
              </w:divBdr>
            </w:div>
          </w:divsChild>
        </w:div>
        <w:div w:id="676421306">
          <w:marLeft w:val="0"/>
          <w:marRight w:val="0"/>
          <w:marTop w:val="0"/>
          <w:marBottom w:val="0"/>
          <w:divBdr>
            <w:top w:val="none" w:sz="0" w:space="0" w:color="auto"/>
            <w:left w:val="none" w:sz="0" w:space="0" w:color="auto"/>
            <w:bottom w:val="none" w:sz="0" w:space="0" w:color="auto"/>
            <w:right w:val="none" w:sz="0" w:space="0" w:color="auto"/>
          </w:divBdr>
          <w:divsChild>
            <w:div w:id="108822044">
              <w:marLeft w:val="0"/>
              <w:marRight w:val="0"/>
              <w:marTop w:val="0"/>
              <w:marBottom w:val="0"/>
              <w:divBdr>
                <w:top w:val="none" w:sz="0" w:space="0" w:color="auto"/>
                <w:left w:val="none" w:sz="0" w:space="0" w:color="auto"/>
                <w:bottom w:val="none" w:sz="0" w:space="0" w:color="auto"/>
                <w:right w:val="none" w:sz="0" w:space="0" w:color="auto"/>
              </w:divBdr>
            </w:div>
          </w:divsChild>
        </w:div>
        <w:div w:id="691877330">
          <w:marLeft w:val="0"/>
          <w:marRight w:val="0"/>
          <w:marTop w:val="0"/>
          <w:marBottom w:val="0"/>
          <w:divBdr>
            <w:top w:val="none" w:sz="0" w:space="0" w:color="auto"/>
            <w:left w:val="none" w:sz="0" w:space="0" w:color="auto"/>
            <w:bottom w:val="none" w:sz="0" w:space="0" w:color="auto"/>
            <w:right w:val="none" w:sz="0" w:space="0" w:color="auto"/>
          </w:divBdr>
          <w:divsChild>
            <w:div w:id="598215315">
              <w:marLeft w:val="0"/>
              <w:marRight w:val="0"/>
              <w:marTop w:val="0"/>
              <w:marBottom w:val="0"/>
              <w:divBdr>
                <w:top w:val="none" w:sz="0" w:space="0" w:color="auto"/>
                <w:left w:val="none" w:sz="0" w:space="0" w:color="auto"/>
                <w:bottom w:val="none" w:sz="0" w:space="0" w:color="auto"/>
                <w:right w:val="none" w:sz="0" w:space="0" w:color="auto"/>
              </w:divBdr>
            </w:div>
          </w:divsChild>
        </w:div>
        <w:div w:id="696542078">
          <w:marLeft w:val="0"/>
          <w:marRight w:val="0"/>
          <w:marTop w:val="0"/>
          <w:marBottom w:val="0"/>
          <w:divBdr>
            <w:top w:val="none" w:sz="0" w:space="0" w:color="auto"/>
            <w:left w:val="none" w:sz="0" w:space="0" w:color="auto"/>
            <w:bottom w:val="none" w:sz="0" w:space="0" w:color="auto"/>
            <w:right w:val="none" w:sz="0" w:space="0" w:color="auto"/>
          </w:divBdr>
          <w:divsChild>
            <w:div w:id="957298246">
              <w:marLeft w:val="0"/>
              <w:marRight w:val="0"/>
              <w:marTop w:val="0"/>
              <w:marBottom w:val="0"/>
              <w:divBdr>
                <w:top w:val="none" w:sz="0" w:space="0" w:color="auto"/>
                <w:left w:val="none" w:sz="0" w:space="0" w:color="auto"/>
                <w:bottom w:val="none" w:sz="0" w:space="0" w:color="auto"/>
                <w:right w:val="none" w:sz="0" w:space="0" w:color="auto"/>
              </w:divBdr>
            </w:div>
          </w:divsChild>
        </w:div>
        <w:div w:id="826089731">
          <w:marLeft w:val="0"/>
          <w:marRight w:val="0"/>
          <w:marTop w:val="0"/>
          <w:marBottom w:val="0"/>
          <w:divBdr>
            <w:top w:val="none" w:sz="0" w:space="0" w:color="auto"/>
            <w:left w:val="none" w:sz="0" w:space="0" w:color="auto"/>
            <w:bottom w:val="none" w:sz="0" w:space="0" w:color="auto"/>
            <w:right w:val="none" w:sz="0" w:space="0" w:color="auto"/>
          </w:divBdr>
          <w:divsChild>
            <w:div w:id="1605839236">
              <w:marLeft w:val="0"/>
              <w:marRight w:val="0"/>
              <w:marTop w:val="0"/>
              <w:marBottom w:val="0"/>
              <w:divBdr>
                <w:top w:val="none" w:sz="0" w:space="0" w:color="auto"/>
                <w:left w:val="none" w:sz="0" w:space="0" w:color="auto"/>
                <w:bottom w:val="none" w:sz="0" w:space="0" w:color="auto"/>
                <w:right w:val="none" w:sz="0" w:space="0" w:color="auto"/>
              </w:divBdr>
            </w:div>
          </w:divsChild>
        </w:div>
        <w:div w:id="841312784">
          <w:marLeft w:val="0"/>
          <w:marRight w:val="0"/>
          <w:marTop w:val="0"/>
          <w:marBottom w:val="0"/>
          <w:divBdr>
            <w:top w:val="none" w:sz="0" w:space="0" w:color="auto"/>
            <w:left w:val="none" w:sz="0" w:space="0" w:color="auto"/>
            <w:bottom w:val="none" w:sz="0" w:space="0" w:color="auto"/>
            <w:right w:val="none" w:sz="0" w:space="0" w:color="auto"/>
          </w:divBdr>
          <w:divsChild>
            <w:div w:id="124347967">
              <w:marLeft w:val="0"/>
              <w:marRight w:val="0"/>
              <w:marTop w:val="0"/>
              <w:marBottom w:val="0"/>
              <w:divBdr>
                <w:top w:val="none" w:sz="0" w:space="0" w:color="auto"/>
                <w:left w:val="none" w:sz="0" w:space="0" w:color="auto"/>
                <w:bottom w:val="none" w:sz="0" w:space="0" w:color="auto"/>
                <w:right w:val="none" w:sz="0" w:space="0" w:color="auto"/>
              </w:divBdr>
            </w:div>
          </w:divsChild>
        </w:div>
        <w:div w:id="973027012">
          <w:marLeft w:val="0"/>
          <w:marRight w:val="0"/>
          <w:marTop w:val="0"/>
          <w:marBottom w:val="0"/>
          <w:divBdr>
            <w:top w:val="none" w:sz="0" w:space="0" w:color="auto"/>
            <w:left w:val="none" w:sz="0" w:space="0" w:color="auto"/>
            <w:bottom w:val="none" w:sz="0" w:space="0" w:color="auto"/>
            <w:right w:val="none" w:sz="0" w:space="0" w:color="auto"/>
          </w:divBdr>
          <w:divsChild>
            <w:div w:id="1083574257">
              <w:marLeft w:val="0"/>
              <w:marRight w:val="0"/>
              <w:marTop w:val="0"/>
              <w:marBottom w:val="0"/>
              <w:divBdr>
                <w:top w:val="none" w:sz="0" w:space="0" w:color="auto"/>
                <w:left w:val="none" w:sz="0" w:space="0" w:color="auto"/>
                <w:bottom w:val="none" w:sz="0" w:space="0" w:color="auto"/>
                <w:right w:val="none" w:sz="0" w:space="0" w:color="auto"/>
              </w:divBdr>
            </w:div>
          </w:divsChild>
        </w:div>
        <w:div w:id="1002321259">
          <w:marLeft w:val="0"/>
          <w:marRight w:val="0"/>
          <w:marTop w:val="0"/>
          <w:marBottom w:val="0"/>
          <w:divBdr>
            <w:top w:val="none" w:sz="0" w:space="0" w:color="auto"/>
            <w:left w:val="none" w:sz="0" w:space="0" w:color="auto"/>
            <w:bottom w:val="none" w:sz="0" w:space="0" w:color="auto"/>
            <w:right w:val="none" w:sz="0" w:space="0" w:color="auto"/>
          </w:divBdr>
          <w:divsChild>
            <w:div w:id="1045056238">
              <w:marLeft w:val="0"/>
              <w:marRight w:val="0"/>
              <w:marTop w:val="0"/>
              <w:marBottom w:val="0"/>
              <w:divBdr>
                <w:top w:val="none" w:sz="0" w:space="0" w:color="auto"/>
                <w:left w:val="none" w:sz="0" w:space="0" w:color="auto"/>
                <w:bottom w:val="none" w:sz="0" w:space="0" w:color="auto"/>
                <w:right w:val="none" w:sz="0" w:space="0" w:color="auto"/>
              </w:divBdr>
            </w:div>
          </w:divsChild>
        </w:div>
        <w:div w:id="1015696780">
          <w:marLeft w:val="0"/>
          <w:marRight w:val="0"/>
          <w:marTop w:val="0"/>
          <w:marBottom w:val="0"/>
          <w:divBdr>
            <w:top w:val="none" w:sz="0" w:space="0" w:color="auto"/>
            <w:left w:val="none" w:sz="0" w:space="0" w:color="auto"/>
            <w:bottom w:val="none" w:sz="0" w:space="0" w:color="auto"/>
            <w:right w:val="none" w:sz="0" w:space="0" w:color="auto"/>
          </w:divBdr>
          <w:divsChild>
            <w:div w:id="11302351">
              <w:marLeft w:val="0"/>
              <w:marRight w:val="0"/>
              <w:marTop w:val="0"/>
              <w:marBottom w:val="0"/>
              <w:divBdr>
                <w:top w:val="none" w:sz="0" w:space="0" w:color="auto"/>
                <w:left w:val="none" w:sz="0" w:space="0" w:color="auto"/>
                <w:bottom w:val="none" w:sz="0" w:space="0" w:color="auto"/>
                <w:right w:val="none" w:sz="0" w:space="0" w:color="auto"/>
              </w:divBdr>
            </w:div>
          </w:divsChild>
        </w:div>
        <w:div w:id="1234002810">
          <w:marLeft w:val="0"/>
          <w:marRight w:val="0"/>
          <w:marTop w:val="0"/>
          <w:marBottom w:val="0"/>
          <w:divBdr>
            <w:top w:val="none" w:sz="0" w:space="0" w:color="auto"/>
            <w:left w:val="none" w:sz="0" w:space="0" w:color="auto"/>
            <w:bottom w:val="none" w:sz="0" w:space="0" w:color="auto"/>
            <w:right w:val="none" w:sz="0" w:space="0" w:color="auto"/>
          </w:divBdr>
          <w:divsChild>
            <w:div w:id="1385984507">
              <w:marLeft w:val="0"/>
              <w:marRight w:val="0"/>
              <w:marTop w:val="0"/>
              <w:marBottom w:val="0"/>
              <w:divBdr>
                <w:top w:val="none" w:sz="0" w:space="0" w:color="auto"/>
                <w:left w:val="none" w:sz="0" w:space="0" w:color="auto"/>
                <w:bottom w:val="none" w:sz="0" w:space="0" w:color="auto"/>
                <w:right w:val="none" w:sz="0" w:space="0" w:color="auto"/>
              </w:divBdr>
            </w:div>
          </w:divsChild>
        </w:div>
        <w:div w:id="1281455040">
          <w:marLeft w:val="0"/>
          <w:marRight w:val="0"/>
          <w:marTop w:val="0"/>
          <w:marBottom w:val="0"/>
          <w:divBdr>
            <w:top w:val="none" w:sz="0" w:space="0" w:color="auto"/>
            <w:left w:val="none" w:sz="0" w:space="0" w:color="auto"/>
            <w:bottom w:val="none" w:sz="0" w:space="0" w:color="auto"/>
            <w:right w:val="none" w:sz="0" w:space="0" w:color="auto"/>
          </w:divBdr>
          <w:divsChild>
            <w:div w:id="1861511347">
              <w:marLeft w:val="0"/>
              <w:marRight w:val="0"/>
              <w:marTop w:val="0"/>
              <w:marBottom w:val="0"/>
              <w:divBdr>
                <w:top w:val="none" w:sz="0" w:space="0" w:color="auto"/>
                <w:left w:val="none" w:sz="0" w:space="0" w:color="auto"/>
                <w:bottom w:val="none" w:sz="0" w:space="0" w:color="auto"/>
                <w:right w:val="none" w:sz="0" w:space="0" w:color="auto"/>
              </w:divBdr>
            </w:div>
          </w:divsChild>
        </w:div>
        <w:div w:id="1293440932">
          <w:marLeft w:val="0"/>
          <w:marRight w:val="0"/>
          <w:marTop w:val="0"/>
          <w:marBottom w:val="0"/>
          <w:divBdr>
            <w:top w:val="none" w:sz="0" w:space="0" w:color="auto"/>
            <w:left w:val="none" w:sz="0" w:space="0" w:color="auto"/>
            <w:bottom w:val="none" w:sz="0" w:space="0" w:color="auto"/>
            <w:right w:val="none" w:sz="0" w:space="0" w:color="auto"/>
          </w:divBdr>
          <w:divsChild>
            <w:div w:id="738595453">
              <w:marLeft w:val="0"/>
              <w:marRight w:val="0"/>
              <w:marTop w:val="0"/>
              <w:marBottom w:val="0"/>
              <w:divBdr>
                <w:top w:val="none" w:sz="0" w:space="0" w:color="auto"/>
                <w:left w:val="none" w:sz="0" w:space="0" w:color="auto"/>
                <w:bottom w:val="none" w:sz="0" w:space="0" w:color="auto"/>
                <w:right w:val="none" w:sz="0" w:space="0" w:color="auto"/>
              </w:divBdr>
            </w:div>
          </w:divsChild>
        </w:div>
        <w:div w:id="1324552591">
          <w:marLeft w:val="0"/>
          <w:marRight w:val="0"/>
          <w:marTop w:val="0"/>
          <w:marBottom w:val="0"/>
          <w:divBdr>
            <w:top w:val="none" w:sz="0" w:space="0" w:color="auto"/>
            <w:left w:val="none" w:sz="0" w:space="0" w:color="auto"/>
            <w:bottom w:val="none" w:sz="0" w:space="0" w:color="auto"/>
            <w:right w:val="none" w:sz="0" w:space="0" w:color="auto"/>
          </w:divBdr>
          <w:divsChild>
            <w:div w:id="741148104">
              <w:marLeft w:val="0"/>
              <w:marRight w:val="0"/>
              <w:marTop w:val="0"/>
              <w:marBottom w:val="0"/>
              <w:divBdr>
                <w:top w:val="none" w:sz="0" w:space="0" w:color="auto"/>
                <w:left w:val="none" w:sz="0" w:space="0" w:color="auto"/>
                <w:bottom w:val="none" w:sz="0" w:space="0" w:color="auto"/>
                <w:right w:val="none" w:sz="0" w:space="0" w:color="auto"/>
              </w:divBdr>
            </w:div>
          </w:divsChild>
        </w:div>
        <w:div w:id="1342733294">
          <w:marLeft w:val="0"/>
          <w:marRight w:val="0"/>
          <w:marTop w:val="0"/>
          <w:marBottom w:val="0"/>
          <w:divBdr>
            <w:top w:val="none" w:sz="0" w:space="0" w:color="auto"/>
            <w:left w:val="none" w:sz="0" w:space="0" w:color="auto"/>
            <w:bottom w:val="none" w:sz="0" w:space="0" w:color="auto"/>
            <w:right w:val="none" w:sz="0" w:space="0" w:color="auto"/>
          </w:divBdr>
          <w:divsChild>
            <w:div w:id="1700550340">
              <w:marLeft w:val="0"/>
              <w:marRight w:val="0"/>
              <w:marTop w:val="0"/>
              <w:marBottom w:val="0"/>
              <w:divBdr>
                <w:top w:val="none" w:sz="0" w:space="0" w:color="auto"/>
                <w:left w:val="none" w:sz="0" w:space="0" w:color="auto"/>
                <w:bottom w:val="none" w:sz="0" w:space="0" w:color="auto"/>
                <w:right w:val="none" w:sz="0" w:space="0" w:color="auto"/>
              </w:divBdr>
            </w:div>
          </w:divsChild>
        </w:div>
        <w:div w:id="1344360014">
          <w:marLeft w:val="0"/>
          <w:marRight w:val="0"/>
          <w:marTop w:val="0"/>
          <w:marBottom w:val="0"/>
          <w:divBdr>
            <w:top w:val="none" w:sz="0" w:space="0" w:color="auto"/>
            <w:left w:val="none" w:sz="0" w:space="0" w:color="auto"/>
            <w:bottom w:val="none" w:sz="0" w:space="0" w:color="auto"/>
            <w:right w:val="none" w:sz="0" w:space="0" w:color="auto"/>
          </w:divBdr>
          <w:divsChild>
            <w:div w:id="1437016422">
              <w:marLeft w:val="0"/>
              <w:marRight w:val="0"/>
              <w:marTop w:val="0"/>
              <w:marBottom w:val="0"/>
              <w:divBdr>
                <w:top w:val="none" w:sz="0" w:space="0" w:color="auto"/>
                <w:left w:val="none" w:sz="0" w:space="0" w:color="auto"/>
                <w:bottom w:val="none" w:sz="0" w:space="0" w:color="auto"/>
                <w:right w:val="none" w:sz="0" w:space="0" w:color="auto"/>
              </w:divBdr>
            </w:div>
          </w:divsChild>
        </w:div>
        <w:div w:id="1368142988">
          <w:marLeft w:val="0"/>
          <w:marRight w:val="0"/>
          <w:marTop w:val="0"/>
          <w:marBottom w:val="0"/>
          <w:divBdr>
            <w:top w:val="none" w:sz="0" w:space="0" w:color="auto"/>
            <w:left w:val="none" w:sz="0" w:space="0" w:color="auto"/>
            <w:bottom w:val="none" w:sz="0" w:space="0" w:color="auto"/>
            <w:right w:val="none" w:sz="0" w:space="0" w:color="auto"/>
          </w:divBdr>
          <w:divsChild>
            <w:div w:id="773329236">
              <w:marLeft w:val="0"/>
              <w:marRight w:val="0"/>
              <w:marTop w:val="0"/>
              <w:marBottom w:val="0"/>
              <w:divBdr>
                <w:top w:val="none" w:sz="0" w:space="0" w:color="auto"/>
                <w:left w:val="none" w:sz="0" w:space="0" w:color="auto"/>
                <w:bottom w:val="none" w:sz="0" w:space="0" w:color="auto"/>
                <w:right w:val="none" w:sz="0" w:space="0" w:color="auto"/>
              </w:divBdr>
            </w:div>
          </w:divsChild>
        </w:div>
        <w:div w:id="1410156275">
          <w:marLeft w:val="0"/>
          <w:marRight w:val="0"/>
          <w:marTop w:val="0"/>
          <w:marBottom w:val="0"/>
          <w:divBdr>
            <w:top w:val="none" w:sz="0" w:space="0" w:color="auto"/>
            <w:left w:val="none" w:sz="0" w:space="0" w:color="auto"/>
            <w:bottom w:val="none" w:sz="0" w:space="0" w:color="auto"/>
            <w:right w:val="none" w:sz="0" w:space="0" w:color="auto"/>
          </w:divBdr>
          <w:divsChild>
            <w:div w:id="825242606">
              <w:marLeft w:val="0"/>
              <w:marRight w:val="0"/>
              <w:marTop w:val="0"/>
              <w:marBottom w:val="0"/>
              <w:divBdr>
                <w:top w:val="none" w:sz="0" w:space="0" w:color="auto"/>
                <w:left w:val="none" w:sz="0" w:space="0" w:color="auto"/>
                <w:bottom w:val="none" w:sz="0" w:space="0" w:color="auto"/>
                <w:right w:val="none" w:sz="0" w:space="0" w:color="auto"/>
              </w:divBdr>
            </w:div>
          </w:divsChild>
        </w:div>
        <w:div w:id="1482650284">
          <w:marLeft w:val="0"/>
          <w:marRight w:val="0"/>
          <w:marTop w:val="0"/>
          <w:marBottom w:val="0"/>
          <w:divBdr>
            <w:top w:val="none" w:sz="0" w:space="0" w:color="auto"/>
            <w:left w:val="none" w:sz="0" w:space="0" w:color="auto"/>
            <w:bottom w:val="none" w:sz="0" w:space="0" w:color="auto"/>
            <w:right w:val="none" w:sz="0" w:space="0" w:color="auto"/>
          </w:divBdr>
          <w:divsChild>
            <w:div w:id="1424305147">
              <w:marLeft w:val="0"/>
              <w:marRight w:val="0"/>
              <w:marTop w:val="0"/>
              <w:marBottom w:val="0"/>
              <w:divBdr>
                <w:top w:val="none" w:sz="0" w:space="0" w:color="auto"/>
                <w:left w:val="none" w:sz="0" w:space="0" w:color="auto"/>
                <w:bottom w:val="none" w:sz="0" w:space="0" w:color="auto"/>
                <w:right w:val="none" w:sz="0" w:space="0" w:color="auto"/>
              </w:divBdr>
            </w:div>
          </w:divsChild>
        </w:div>
        <w:div w:id="1534076418">
          <w:marLeft w:val="0"/>
          <w:marRight w:val="0"/>
          <w:marTop w:val="0"/>
          <w:marBottom w:val="0"/>
          <w:divBdr>
            <w:top w:val="none" w:sz="0" w:space="0" w:color="auto"/>
            <w:left w:val="none" w:sz="0" w:space="0" w:color="auto"/>
            <w:bottom w:val="none" w:sz="0" w:space="0" w:color="auto"/>
            <w:right w:val="none" w:sz="0" w:space="0" w:color="auto"/>
          </w:divBdr>
          <w:divsChild>
            <w:div w:id="1958482757">
              <w:marLeft w:val="0"/>
              <w:marRight w:val="0"/>
              <w:marTop w:val="0"/>
              <w:marBottom w:val="0"/>
              <w:divBdr>
                <w:top w:val="none" w:sz="0" w:space="0" w:color="auto"/>
                <w:left w:val="none" w:sz="0" w:space="0" w:color="auto"/>
                <w:bottom w:val="none" w:sz="0" w:space="0" w:color="auto"/>
                <w:right w:val="none" w:sz="0" w:space="0" w:color="auto"/>
              </w:divBdr>
            </w:div>
          </w:divsChild>
        </w:div>
        <w:div w:id="1566448726">
          <w:marLeft w:val="0"/>
          <w:marRight w:val="0"/>
          <w:marTop w:val="0"/>
          <w:marBottom w:val="0"/>
          <w:divBdr>
            <w:top w:val="none" w:sz="0" w:space="0" w:color="auto"/>
            <w:left w:val="none" w:sz="0" w:space="0" w:color="auto"/>
            <w:bottom w:val="none" w:sz="0" w:space="0" w:color="auto"/>
            <w:right w:val="none" w:sz="0" w:space="0" w:color="auto"/>
          </w:divBdr>
          <w:divsChild>
            <w:div w:id="1559438301">
              <w:marLeft w:val="0"/>
              <w:marRight w:val="0"/>
              <w:marTop w:val="0"/>
              <w:marBottom w:val="0"/>
              <w:divBdr>
                <w:top w:val="none" w:sz="0" w:space="0" w:color="auto"/>
                <w:left w:val="none" w:sz="0" w:space="0" w:color="auto"/>
                <w:bottom w:val="none" w:sz="0" w:space="0" w:color="auto"/>
                <w:right w:val="none" w:sz="0" w:space="0" w:color="auto"/>
              </w:divBdr>
            </w:div>
          </w:divsChild>
        </w:div>
        <w:div w:id="1623226740">
          <w:marLeft w:val="0"/>
          <w:marRight w:val="0"/>
          <w:marTop w:val="0"/>
          <w:marBottom w:val="0"/>
          <w:divBdr>
            <w:top w:val="none" w:sz="0" w:space="0" w:color="auto"/>
            <w:left w:val="none" w:sz="0" w:space="0" w:color="auto"/>
            <w:bottom w:val="none" w:sz="0" w:space="0" w:color="auto"/>
            <w:right w:val="none" w:sz="0" w:space="0" w:color="auto"/>
          </w:divBdr>
          <w:divsChild>
            <w:div w:id="1825077793">
              <w:marLeft w:val="0"/>
              <w:marRight w:val="0"/>
              <w:marTop w:val="0"/>
              <w:marBottom w:val="0"/>
              <w:divBdr>
                <w:top w:val="none" w:sz="0" w:space="0" w:color="auto"/>
                <w:left w:val="none" w:sz="0" w:space="0" w:color="auto"/>
                <w:bottom w:val="none" w:sz="0" w:space="0" w:color="auto"/>
                <w:right w:val="none" w:sz="0" w:space="0" w:color="auto"/>
              </w:divBdr>
            </w:div>
          </w:divsChild>
        </w:div>
        <w:div w:id="1624116923">
          <w:marLeft w:val="0"/>
          <w:marRight w:val="0"/>
          <w:marTop w:val="0"/>
          <w:marBottom w:val="0"/>
          <w:divBdr>
            <w:top w:val="none" w:sz="0" w:space="0" w:color="auto"/>
            <w:left w:val="none" w:sz="0" w:space="0" w:color="auto"/>
            <w:bottom w:val="none" w:sz="0" w:space="0" w:color="auto"/>
            <w:right w:val="none" w:sz="0" w:space="0" w:color="auto"/>
          </w:divBdr>
          <w:divsChild>
            <w:div w:id="233515464">
              <w:marLeft w:val="0"/>
              <w:marRight w:val="0"/>
              <w:marTop w:val="0"/>
              <w:marBottom w:val="0"/>
              <w:divBdr>
                <w:top w:val="none" w:sz="0" w:space="0" w:color="auto"/>
                <w:left w:val="none" w:sz="0" w:space="0" w:color="auto"/>
                <w:bottom w:val="none" w:sz="0" w:space="0" w:color="auto"/>
                <w:right w:val="none" w:sz="0" w:space="0" w:color="auto"/>
              </w:divBdr>
            </w:div>
          </w:divsChild>
        </w:div>
        <w:div w:id="1639995807">
          <w:marLeft w:val="0"/>
          <w:marRight w:val="0"/>
          <w:marTop w:val="0"/>
          <w:marBottom w:val="0"/>
          <w:divBdr>
            <w:top w:val="none" w:sz="0" w:space="0" w:color="auto"/>
            <w:left w:val="none" w:sz="0" w:space="0" w:color="auto"/>
            <w:bottom w:val="none" w:sz="0" w:space="0" w:color="auto"/>
            <w:right w:val="none" w:sz="0" w:space="0" w:color="auto"/>
          </w:divBdr>
          <w:divsChild>
            <w:div w:id="944003811">
              <w:marLeft w:val="0"/>
              <w:marRight w:val="0"/>
              <w:marTop w:val="0"/>
              <w:marBottom w:val="0"/>
              <w:divBdr>
                <w:top w:val="none" w:sz="0" w:space="0" w:color="auto"/>
                <w:left w:val="none" w:sz="0" w:space="0" w:color="auto"/>
                <w:bottom w:val="none" w:sz="0" w:space="0" w:color="auto"/>
                <w:right w:val="none" w:sz="0" w:space="0" w:color="auto"/>
              </w:divBdr>
            </w:div>
          </w:divsChild>
        </w:div>
        <w:div w:id="1662806767">
          <w:marLeft w:val="0"/>
          <w:marRight w:val="0"/>
          <w:marTop w:val="0"/>
          <w:marBottom w:val="0"/>
          <w:divBdr>
            <w:top w:val="none" w:sz="0" w:space="0" w:color="auto"/>
            <w:left w:val="none" w:sz="0" w:space="0" w:color="auto"/>
            <w:bottom w:val="none" w:sz="0" w:space="0" w:color="auto"/>
            <w:right w:val="none" w:sz="0" w:space="0" w:color="auto"/>
          </w:divBdr>
          <w:divsChild>
            <w:div w:id="1974359252">
              <w:marLeft w:val="0"/>
              <w:marRight w:val="0"/>
              <w:marTop w:val="0"/>
              <w:marBottom w:val="0"/>
              <w:divBdr>
                <w:top w:val="none" w:sz="0" w:space="0" w:color="auto"/>
                <w:left w:val="none" w:sz="0" w:space="0" w:color="auto"/>
                <w:bottom w:val="none" w:sz="0" w:space="0" w:color="auto"/>
                <w:right w:val="none" w:sz="0" w:space="0" w:color="auto"/>
              </w:divBdr>
            </w:div>
          </w:divsChild>
        </w:div>
        <w:div w:id="1720351442">
          <w:marLeft w:val="0"/>
          <w:marRight w:val="0"/>
          <w:marTop w:val="0"/>
          <w:marBottom w:val="0"/>
          <w:divBdr>
            <w:top w:val="none" w:sz="0" w:space="0" w:color="auto"/>
            <w:left w:val="none" w:sz="0" w:space="0" w:color="auto"/>
            <w:bottom w:val="none" w:sz="0" w:space="0" w:color="auto"/>
            <w:right w:val="none" w:sz="0" w:space="0" w:color="auto"/>
          </w:divBdr>
          <w:divsChild>
            <w:div w:id="826433145">
              <w:marLeft w:val="0"/>
              <w:marRight w:val="0"/>
              <w:marTop w:val="0"/>
              <w:marBottom w:val="0"/>
              <w:divBdr>
                <w:top w:val="none" w:sz="0" w:space="0" w:color="auto"/>
                <w:left w:val="none" w:sz="0" w:space="0" w:color="auto"/>
                <w:bottom w:val="none" w:sz="0" w:space="0" w:color="auto"/>
                <w:right w:val="none" w:sz="0" w:space="0" w:color="auto"/>
              </w:divBdr>
            </w:div>
          </w:divsChild>
        </w:div>
        <w:div w:id="1731078260">
          <w:marLeft w:val="0"/>
          <w:marRight w:val="0"/>
          <w:marTop w:val="0"/>
          <w:marBottom w:val="0"/>
          <w:divBdr>
            <w:top w:val="none" w:sz="0" w:space="0" w:color="auto"/>
            <w:left w:val="none" w:sz="0" w:space="0" w:color="auto"/>
            <w:bottom w:val="none" w:sz="0" w:space="0" w:color="auto"/>
            <w:right w:val="none" w:sz="0" w:space="0" w:color="auto"/>
          </w:divBdr>
          <w:divsChild>
            <w:div w:id="7801783">
              <w:marLeft w:val="0"/>
              <w:marRight w:val="0"/>
              <w:marTop w:val="0"/>
              <w:marBottom w:val="0"/>
              <w:divBdr>
                <w:top w:val="none" w:sz="0" w:space="0" w:color="auto"/>
                <w:left w:val="none" w:sz="0" w:space="0" w:color="auto"/>
                <w:bottom w:val="none" w:sz="0" w:space="0" w:color="auto"/>
                <w:right w:val="none" w:sz="0" w:space="0" w:color="auto"/>
              </w:divBdr>
            </w:div>
          </w:divsChild>
        </w:div>
        <w:div w:id="1902330842">
          <w:marLeft w:val="0"/>
          <w:marRight w:val="0"/>
          <w:marTop w:val="0"/>
          <w:marBottom w:val="0"/>
          <w:divBdr>
            <w:top w:val="none" w:sz="0" w:space="0" w:color="auto"/>
            <w:left w:val="none" w:sz="0" w:space="0" w:color="auto"/>
            <w:bottom w:val="none" w:sz="0" w:space="0" w:color="auto"/>
            <w:right w:val="none" w:sz="0" w:space="0" w:color="auto"/>
          </w:divBdr>
          <w:divsChild>
            <w:div w:id="1708066215">
              <w:marLeft w:val="0"/>
              <w:marRight w:val="0"/>
              <w:marTop w:val="0"/>
              <w:marBottom w:val="0"/>
              <w:divBdr>
                <w:top w:val="none" w:sz="0" w:space="0" w:color="auto"/>
                <w:left w:val="none" w:sz="0" w:space="0" w:color="auto"/>
                <w:bottom w:val="none" w:sz="0" w:space="0" w:color="auto"/>
                <w:right w:val="none" w:sz="0" w:space="0" w:color="auto"/>
              </w:divBdr>
            </w:div>
          </w:divsChild>
        </w:div>
        <w:div w:id="1954169119">
          <w:marLeft w:val="0"/>
          <w:marRight w:val="0"/>
          <w:marTop w:val="0"/>
          <w:marBottom w:val="0"/>
          <w:divBdr>
            <w:top w:val="none" w:sz="0" w:space="0" w:color="auto"/>
            <w:left w:val="none" w:sz="0" w:space="0" w:color="auto"/>
            <w:bottom w:val="none" w:sz="0" w:space="0" w:color="auto"/>
            <w:right w:val="none" w:sz="0" w:space="0" w:color="auto"/>
          </w:divBdr>
          <w:divsChild>
            <w:div w:id="1479572341">
              <w:marLeft w:val="0"/>
              <w:marRight w:val="0"/>
              <w:marTop w:val="0"/>
              <w:marBottom w:val="0"/>
              <w:divBdr>
                <w:top w:val="none" w:sz="0" w:space="0" w:color="auto"/>
                <w:left w:val="none" w:sz="0" w:space="0" w:color="auto"/>
                <w:bottom w:val="none" w:sz="0" w:space="0" w:color="auto"/>
                <w:right w:val="none" w:sz="0" w:space="0" w:color="auto"/>
              </w:divBdr>
            </w:div>
          </w:divsChild>
        </w:div>
        <w:div w:id="2011329715">
          <w:marLeft w:val="0"/>
          <w:marRight w:val="0"/>
          <w:marTop w:val="0"/>
          <w:marBottom w:val="0"/>
          <w:divBdr>
            <w:top w:val="none" w:sz="0" w:space="0" w:color="auto"/>
            <w:left w:val="none" w:sz="0" w:space="0" w:color="auto"/>
            <w:bottom w:val="none" w:sz="0" w:space="0" w:color="auto"/>
            <w:right w:val="none" w:sz="0" w:space="0" w:color="auto"/>
          </w:divBdr>
          <w:divsChild>
            <w:div w:id="1563714877">
              <w:marLeft w:val="0"/>
              <w:marRight w:val="0"/>
              <w:marTop w:val="0"/>
              <w:marBottom w:val="0"/>
              <w:divBdr>
                <w:top w:val="none" w:sz="0" w:space="0" w:color="auto"/>
                <w:left w:val="none" w:sz="0" w:space="0" w:color="auto"/>
                <w:bottom w:val="none" w:sz="0" w:space="0" w:color="auto"/>
                <w:right w:val="none" w:sz="0" w:space="0" w:color="auto"/>
              </w:divBdr>
            </w:div>
          </w:divsChild>
        </w:div>
        <w:div w:id="2015959086">
          <w:marLeft w:val="0"/>
          <w:marRight w:val="0"/>
          <w:marTop w:val="0"/>
          <w:marBottom w:val="0"/>
          <w:divBdr>
            <w:top w:val="none" w:sz="0" w:space="0" w:color="auto"/>
            <w:left w:val="none" w:sz="0" w:space="0" w:color="auto"/>
            <w:bottom w:val="none" w:sz="0" w:space="0" w:color="auto"/>
            <w:right w:val="none" w:sz="0" w:space="0" w:color="auto"/>
          </w:divBdr>
          <w:divsChild>
            <w:div w:id="182977910">
              <w:marLeft w:val="0"/>
              <w:marRight w:val="0"/>
              <w:marTop w:val="0"/>
              <w:marBottom w:val="0"/>
              <w:divBdr>
                <w:top w:val="none" w:sz="0" w:space="0" w:color="auto"/>
                <w:left w:val="none" w:sz="0" w:space="0" w:color="auto"/>
                <w:bottom w:val="none" w:sz="0" w:space="0" w:color="auto"/>
                <w:right w:val="none" w:sz="0" w:space="0" w:color="auto"/>
              </w:divBdr>
            </w:div>
          </w:divsChild>
        </w:div>
        <w:div w:id="2074884127">
          <w:marLeft w:val="0"/>
          <w:marRight w:val="0"/>
          <w:marTop w:val="0"/>
          <w:marBottom w:val="0"/>
          <w:divBdr>
            <w:top w:val="none" w:sz="0" w:space="0" w:color="auto"/>
            <w:left w:val="none" w:sz="0" w:space="0" w:color="auto"/>
            <w:bottom w:val="none" w:sz="0" w:space="0" w:color="auto"/>
            <w:right w:val="none" w:sz="0" w:space="0" w:color="auto"/>
          </w:divBdr>
          <w:divsChild>
            <w:div w:id="60727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501319">
      <w:bodyDiv w:val="1"/>
      <w:marLeft w:val="0"/>
      <w:marRight w:val="0"/>
      <w:marTop w:val="0"/>
      <w:marBottom w:val="0"/>
      <w:divBdr>
        <w:top w:val="none" w:sz="0" w:space="0" w:color="auto"/>
        <w:left w:val="none" w:sz="0" w:space="0" w:color="auto"/>
        <w:bottom w:val="none" w:sz="0" w:space="0" w:color="auto"/>
        <w:right w:val="none" w:sz="0" w:space="0" w:color="auto"/>
      </w:divBdr>
    </w:div>
    <w:div w:id="1920945323">
      <w:bodyDiv w:val="1"/>
      <w:marLeft w:val="0"/>
      <w:marRight w:val="0"/>
      <w:marTop w:val="0"/>
      <w:marBottom w:val="0"/>
      <w:divBdr>
        <w:top w:val="none" w:sz="0" w:space="0" w:color="auto"/>
        <w:left w:val="none" w:sz="0" w:space="0" w:color="auto"/>
        <w:bottom w:val="none" w:sz="0" w:space="0" w:color="auto"/>
        <w:right w:val="none" w:sz="0" w:space="0" w:color="auto"/>
      </w:divBdr>
    </w:div>
    <w:div w:id="1942953856">
      <w:bodyDiv w:val="1"/>
      <w:marLeft w:val="0"/>
      <w:marRight w:val="0"/>
      <w:marTop w:val="0"/>
      <w:marBottom w:val="0"/>
      <w:divBdr>
        <w:top w:val="none" w:sz="0" w:space="0" w:color="auto"/>
        <w:left w:val="none" w:sz="0" w:space="0" w:color="auto"/>
        <w:bottom w:val="none" w:sz="0" w:space="0" w:color="auto"/>
        <w:right w:val="none" w:sz="0" w:space="0" w:color="auto"/>
      </w:divBdr>
    </w:div>
    <w:div w:id="2006202794">
      <w:bodyDiv w:val="1"/>
      <w:marLeft w:val="0"/>
      <w:marRight w:val="0"/>
      <w:marTop w:val="0"/>
      <w:marBottom w:val="0"/>
      <w:divBdr>
        <w:top w:val="none" w:sz="0" w:space="0" w:color="auto"/>
        <w:left w:val="none" w:sz="0" w:space="0" w:color="auto"/>
        <w:bottom w:val="none" w:sz="0" w:space="0" w:color="auto"/>
        <w:right w:val="none" w:sz="0" w:space="0" w:color="auto"/>
      </w:divBdr>
    </w:div>
    <w:div w:id="2081557088">
      <w:bodyDiv w:val="1"/>
      <w:marLeft w:val="0"/>
      <w:marRight w:val="0"/>
      <w:marTop w:val="0"/>
      <w:marBottom w:val="0"/>
      <w:divBdr>
        <w:top w:val="none" w:sz="0" w:space="0" w:color="auto"/>
        <w:left w:val="none" w:sz="0" w:space="0" w:color="auto"/>
        <w:bottom w:val="none" w:sz="0" w:space="0" w:color="auto"/>
        <w:right w:val="none" w:sz="0" w:space="0" w:color="auto"/>
      </w:divBdr>
    </w:div>
    <w:div w:id="2114812893">
      <w:bodyDiv w:val="1"/>
      <w:marLeft w:val="0"/>
      <w:marRight w:val="0"/>
      <w:marTop w:val="0"/>
      <w:marBottom w:val="0"/>
      <w:divBdr>
        <w:top w:val="none" w:sz="0" w:space="0" w:color="auto"/>
        <w:left w:val="none" w:sz="0" w:space="0" w:color="auto"/>
        <w:bottom w:val="none" w:sz="0" w:space="0" w:color="auto"/>
        <w:right w:val="none" w:sz="0" w:space="0" w:color="auto"/>
      </w:divBdr>
    </w:div>
    <w:div w:id="2124377445">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header" Target="header3.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2" Type="http://schemas.openxmlformats.org/officeDocument/2006/relationships/hyperlink" Target="https://www.rba.gov.au/payments-and-infrastructure/resources/payments-data.html" TargetMode="External"/><Relationship Id="rId1" Type="http://schemas.openxmlformats.org/officeDocument/2006/relationships/hyperlink" Target="https://laweconcenter.org/wp-content/uploads/2022/03/Payments-2021-Lit-Review.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nghg19\Downloads\CBAGroup%20Letterhead%20Template_beacon%20Option%201%20(5).dotx" TargetMode="External"/></Relationships>
</file>

<file path=word/theme/theme1.xml><?xml version="1.0" encoding="utf-8"?>
<a:theme xmlns:a="http://schemas.openxmlformats.org/drawingml/2006/main" name="Office Theme">
  <a:themeElements>
    <a:clrScheme name="CBA">
      <a:dk1>
        <a:srgbClr val="1E1E1E"/>
      </a:dk1>
      <a:lt1>
        <a:srgbClr val="FFFFFF"/>
      </a:lt1>
      <a:dk2>
        <a:srgbClr val="FFFF00"/>
      </a:dk2>
      <a:lt2>
        <a:srgbClr val="EBEBEB"/>
      </a:lt2>
      <a:accent1>
        <a:srgbClr val="FFCC00"/>
      </a:accent1>
      <a:accent2>
        <a:srgbClr val="FA915A"/>
      </a:accent2>
      <a:accent3>
        <a:srgbClr val="54C2E8"/>
      </a:accent3>
      <a:accent4>
        <a:srgbClr val="FFAA87"/>
      </a:accent4>
      <a:accent5>
        <a:srgbClr val="1DBEB0"/>
      </a:accent5>
      <a:accent6>
        <a:srgbClr val="BEBEB9"/>
      </a:accent6>
      <a:hlink>
        <a:srgbClr val="126C8B"/>
      </a:hlink>
      <a:folHlink>
        <a:srgbClr val="1E1E1E"/>
      </a:folHlink>
    </a:clrScheme>
    <a:fontScheme name="CBA (fonts)">
      <a:majorFont>
        <a:latin typeface="CBA Beacon Sans Bold"/>
        <a:ea typeface=""/>
        <a:cs typeface=""/>
      </a:majorFont>
      <a:minorFont>
        <a:latin typeface="CBA Beacon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7EC74B12FC2A14FA3F8A8E1F6CF4E88" ma:contentTypeVersion="18" ma:contentTypeDescription="Create a new document." ma:contentTypeScope="" ma:versionID="cdf4d94bf7a3787d8ae9135e0fc15bc9">
  <xsd:schema xmlns:xsd="http://www.w3.org/2001/XMLSchema" xmlns:xs="http://www.w3.org/2001/XMLSchema" xmlns:p="http://schemas.microsoft.com/office/2006/metadata/properties" xmlns:ns2="71a47606-a8e7-4abd-a3a1-302bbf493db1" xmlns:ns3="2fa67866-974d-4c80-ae87-a36a171b10ad" targetNamespace="http://schemas.microsoft.com/office/2006/metadata/properties" ma:root="true" ma:fieldsID="dd51522792eaadbb722ab02b06a24bf2" ns2:_="" ns3:_="">
    <xsd:import namespace="71a47606-a8e7-4abd-a3a1-302bbf493db1"/>
    <xsd:import namespace="2fa67866-974d-4c80-ae87-a36a171b10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47606-a8e7-4abd-a3a1-302bbf493d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9a29f58-3e64-407f-bf73-898981489ce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fa67866-974d-4c80-ae87-a36a171b10a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c19a934-c0f3-4872-9eab-d6ba5378d1cf}" ma:internalName="TaxCatchAll" ma:showField="CatchAllData" ma:web="2fa67866-974d-4c80-ae87-a36a171b10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2fa67866-974d-4c80-ae87-a36a171b10ad">
      <UserInfo>
        <DisplayName>Antonia Schembri</DisplayName>
        <AccountId>2898</AccountId>
        <AccountType/>
      </UserInfo>
      <UserInfo>
        <DisplayName>Matt D Bates</DisplayName>
        <AccountId>20657</AccountId>
        <AccountType/>
      </UserInfo>
      <UserInfo>
        <DisplayName>Claire J Dibbs</DisplayName>
        <AccountId>24307</AccountId>
        <AccountType/>
      </UserInfo>
      <UserInfo>
        <DisplayName>Ben Edwards</DisplayName>
        <AccountId>1558</AccountId>
        <AccountType/>
      </UserInfo>
      <UserInfo>
        <DisplayName>Denzil C Pereira</DisplayName>
        <AccountId>4557</AccountId>
        <AccountType/>
      </UserInfo>
    </SharedWithUsers>
    <lcf76f155ced4ddcb4097134ff3c332f xmlns="71a47606-a8e7-4abd-a3a1-302bbf493db1">
      <Terms xmlns="http://schemas.microsoft.com/office/infopath/2007/PartnerControls"/>
    </lcf76f155ced4ddcb4097134ff3c332f>
    <TaxCatchAll xmlns="2fa67866-974d-4c80-ae87-a36a171b10a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67BFD9-BC63-4275-8FEB-B9C6D34460B8}">
  <ds:schemaRefs>
    <ds:schemaRef ds:uri="http://schemas.microsoft.com/sharepoint/v3/contenttype/forms"/>
  </ds:schemaRefs>
</ds:datastoreItem>
</file>

<file path=customXml/itemProps2.xml><?xml version="1.0" encoding="utf-8"?>
<ds:datastoreItem xmlns:ds="http://schemas.openxmlformats.org/officeDocument/2006/customXml" ds:itemID="{8C8F12AE-8FE6-4868-8EAF-A807B93C9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47606-a8e7-4abd-a3a1-302bbf493db1"/>
    <ds:schemaRef ds:uri="2fa67866-974d-4c80-ae87-a36a171b10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AC1B3A-1742-49A7-AC5C-A0FB6BDE0B69}">
  <ds:schemaRefs>
    <ds:schemaRef ds:uri="http://schemas.microsoft.com/office/2006/metadata/properties"/>
    <ds:schemaRef ds:uri="http://schemas.microsoft.com/office/infopath/2007/PartnerControls"/>
    <ds:schemaRef ds:uri="2fa67866-974d-4c80-ae87-a36a171b10ad"/>
    <ds:schemaRef ds:uri="71a47606-a8e7-4abd-a3a1-302bbf493db1"/>
  </ds:schemaRefs>
</ds:datastoreItem>
</file>

<file path=customXml/itemProps4.xml><?xml version="1.0" encoding="utf-8"?>
<ds:datastoreItem xmlns:ds="http://schemas.openxmlformats.org/officeDocument/2006/customXml" ds:itemID="{614CBB56-6321-42ED-9268-8235F32E3C9C}">
  <ds:schemaRefs>
    <ds:schemaRef ds:uri="http://schemas.openxmlformats.org/officeDocument/2006/bibliography"/>
  </ds:schemaRefs>
</ds:datastoreItem>
</file>

<file path=docMetadata/LabelInfo.xml><?xml version="1.0" encoding="utf-8"?>
<clbl:labelList xmlns:clbl="http://schemas.microsoft.com/office/2020/mipLabelMetadata">
  <clbl:label id="{41c7a5ca-f382-4d46-ae8a-5fb2a9b4adad}" enabled="1" method="Privileged" siteId="{af0d88c1-6605-44c2-999e-e6b2f8790d86}" contentBits="3" removed="0"/>
  <clbl:label id="{dddffba0-6c17-4f34-9748-3fa5e08cc366}" enabled="0" method="" siteId="{dddffba0-6c17-4f34-9748-3fa5e08cc366}" removed="1"/>
</clbl:labelList>
</file>

<file path=docProps/app.xml><?xml version="1.0" encoding="utf-8"?>
<Properties xmlns="http://schemas.openxmlformats.org/officeDocument/2006/extended-properties" xmlns:vt="http://schemas.openxmlformats.org/officeDocument/2006/docPropsVTypes">
  <Template>CBAGroup Letterhead Template_beacon Option 1 (5).dotx</Template>
  <TotalTime>1</TotalTime>
  <Pages>22</Pages>
  <Words>7530</Words>
  <Characters>41491</Characters>
  <Application>Microsoft Office Word</Application>
  <DocSecurity>0</DocSecurity>
  <Lines>846</Lines>
  <Paragraphs>385</Paragraphs>
  <ScaleCrop>false</ScaleCrop>
  <HeadingPairs>
    <vt:vector size="2" baseType="variant">
      <vt:variant>
        <vt:lpstr>Title</vt:lpstr>
      </vt:variant>
      <vt:variant>
        <vt:i4>1</vt:i4>
      </vt:variant>
    </vt:vector>
  </HeadingPairs>
  <TitlesOfParts>
    <vt:vector size="1" baseType="lpstr">
      <vt:lpstr>[Insert meeting name here]</vt:lpstr>
    </vt:vector>
  </TitlesOfParts>
  <Company/>
  <LinksUpToDate>false</LinksUpToDate>
  <CharactersWithSpaces>48636</CharactersWithSpaces>
  <SharedDoc>false</SharedDoc>
  <HLinks>
    <vt:vector size="12" baseType="variant">
      <vt:variant>
        <vt:i4>8126519</vt:i4>
      </vt:variant>
      <vt:variant>
        <vt:i4>3</vt:i4>
      </vt:variant>
      <vt:variant>
        <vt:i4>0</vt:i4>
      </vt:variant>
      <vt:variant>
        <vt:i4>5</vt:i4>
      </vt:variant>
      <vt:variant>
        <vt:lpwstr>https://www.rba.gov.au/payments-and-infrastructure/resources/payments-data.html</vt:lpwstr>
      </vt:variant>
      <vt:variant>
        <vt:lpwstr/>
      </vt:variant>
      <vt:variant>
        <vt:i4>1900551</vt:i4>
      </vt:variant>
      <vt:variant>
        <vt:i4>0</vt:i4>
      </vt:variant>
      <vt:variant>
        <vt:i4>0</vt:i4>
      </vt:variant>
      <vt:variant>
        <vt:i4>5</vt:i4>
      </vt:variant>
      <vt:variant>
        <vt:lpwstr>https://laweconcenter.org/wp-content/uploads/2022/03/Payments-2021-Lit-Review.pdf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meeting name here]</dc:title>
  <dc:subject/>
  <dc:creator>Singh, Gulshan</dc:creator>
  <cp:keywords/>
  <dc:description/>
  <cp:lastModifiedBy>WONG, Sally</cp:lastModifiedBy>
  <cp:revision>4</cp:revision>
  <cp:lastPrinted>2025-09-09T05:52:00Z</cp:lastPrinted>
  <dcterms:created xsi:type="dcterms:W3CDTF">2025-09-09T23:48:00Z</dcterms:created>
  <dcterms:modified xsi:type="dcterms:W3CDTF">2025-09-09T23:49:00Z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a6b3d44-d2fc-4c60-b811-b579f15d49e3_Enabled">
    <vt:lpwstr>True</vt:lpwstr>
  </property>
  <property fmtid="{D5CDD505-2E9C-101B-9397-08002B2CF9AE}" pid="3" name="MSIP_Label_fa6b3d44-d2fc-4c60-b811-b579f15d49e3_SiteId">
    <vt:lpwstr>dddffba0-6c17-4f34-9748-3fa5e08cc366</vt:lpwstr>
  </property>
  <property fmtid="{D5CDD505-2E9C-101B-9397-08002B2CF9AE}" pid="4" name="MSIP_Label_fa6b3d44-d2fc-4c60-b811-b579f15d49e3_Owner">
    <vt:lpwstr>Katreena.Tyson@cba.com.au</vt:lpwstr>
  </property>
  <property fmtid="{D5CDD505-2E9C-101B-9397-08002B2CF9AE}" pid="5" name="MSIP_Label_fa6b3d44-d2fc-4c60-b811-b579f15d49e3_SetDate">
    <vt:lpwstr>2020-10-12T22:22:23.0533737Z</vt:lpwstr>
  </property>
  <property fmtid="{D5CDD505-2E9C-101B-9397-08002B2CF9AE}" pid="6" name="MSIP_Label_fa6b3d44-d2fc-4c60-b811-b579f15d49e3_Name">
    <vt:lpwstr>Group Use</vt:lpwstr>
  </property>
  <property fmtid="{D5CDD505-2E9C-101B-9397-08002B2CF9AE}" pid="7" name="MSIP_Label_fa6b3d44-d2fc-4c60-b811-b579f15d49e3_Application">
    <vt:lpwstr>Microsoft Azure Information Protection</vt:lpwstr>
  </property>
  <property fmtid="{D5CDD505-2E9C-101B-9397-08002B2CF9AE}" pid="8" name="MSIP_Label_fa6b3d44-d2fc-4c60-b811-b579f15d49e3_ActionId">
    <vt:lpwstr>58dfc4a9-4296-4182-9208-b315dc042a53</vt:lpwstr>
  </property>
  <property fmtid="{D5CDD505-2E9C-101B-9397-08002B2CF9AE}" pid="9" name="MSIP_Label_fa6b3d44-d2fc-4c60-b811-b579f15d49e3_Extended_MSFT_Method">
    <vt:lpwstr>Manual</vt:lpwstr>
  </property>
  <property fmtid="{D5CDD505-2E9C-101B-9397-08002B2CF9AE}" pid="10" name="Sensitivity">
    <vt:lpwstr>Group Use</vt:lpwstr>
  </property>
  <property fmtid="{D5CDD505-2E9C-101B-9397-08002B2CF9AE}" pid="11" name="MediaServiceImageTags">
    <vt:lpwstr/>
  </property>
  <property fmtid="{D5CDD505-2E9C-101B-9397-08002B2CF9AE}" pid="12" name="ContentTypeId">
    <vt:lpwstr>0x01010077EC74B12FC2A14FA3F8A8E1F6CF4E88</vt:lpwstr>
  </property>
  <property fmtid="{D5CDD505-2E9C-101B-9397-08002B2CF9AE}" pid="13" name="docLang">
    <vt:lpwstr>en</vt:lpwstr>
  </property>
  <property fmtid="{D5CDD505-2E9C-101B-9397-08002B2CF9AE}" pid="14" name="ClassificationContentMarkingHeaderShapeIds">
    <vt:lpwstr>37f098a0,ed5bc5f,52c7ae3</vt:lpwstr>
  </property>
  <property fmtid="{D5CDD505-2E9C-101B-9397-08002B2CF9AE}" pid="15" name="ClassificationContentMarkingHeaderFontProps">
    <vt:lpwstr>#808080,11,Myriad Pro</vt:lpwstr>
  </property>
  <property fmtid="{D5CDD505-2E9C-101B-9397-08002B2CF9AE}" pid="16" name="ClassificationContentMarkingHeaderText">
    <vt:lpwstr> </vt:lpwstr>
  </property>
  <property fmtid="{D5CDD505-2E9C-101B-9397-08002B2CF9AE}" pid="17" name="ClassificationContentMarkingFooterShapeIds">
    <vt:lpwstr>1f04c3f2,1e848187,61fd0ddf</vt:lpwstr>
  </property>
  <property fmtid="{D5CDD505-2E9C-101B-9397-08002B2CF9AE}" pid="18" name="ClassificationContentMarkingFooterFontProps">
    <vt:lpwstr>#808080,11,Myriad Pro</vt:lpwstr>
  </property>
  <property fmtid="{D5CDD505-2E9C-101B-9397-08002B2CF9AE}" pid="19" name="ClassificationContentMarkingFooterText">
    <vt:lpwstr>GENERAL</vt:lpwstr>
  </property>
</Properties>
</file>