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67C70" w14:textId="60A20E47" w:rsidR="006F1DC0" w:rsidRPr="00BB1B0F" w:rsidRDefault="0861676C" w:rsidP="2BE44BD7">
      <w:pPr>
        <w:pStyle w:val="1TITLE"/>
        <w:contextualSpacing/>
        <w:rPr>
          <w:rFonts w:ascii="Citi Sans Display" w:hAnsi="Citi Sans Display" w:cstheme="minorBidi"/>
          <w:color w:val="244061" w:themeColor="accent1" w:themeShade="80"/>
          <w:sz w:val="44"/>
          <w:szCs w:val="44"/>
        </w:rPr>
      </w:pPr>
      <w:r w:rsidRPr="00BB1B0F">
        <w:rPr>
          <w:rFonts w:ascii="Citi Sans Display" w:hAnsi="Citi Sans Display" w:cstheme="minorBidi"/>
          <w:color w:val="244061" w:themeColor="accent1" w:themeShade="80"/>
          <w:sz w:val="44"/>
          <w:szCs w:val="44"/>
        </w:rPr>
        <w:t>Submission</w:t>
      </w:r>
      <w:r w:rsidR="34DE756D" w:rsidRPr="00BB1B0F">
        <w:rPr>
          <w:rFonts w:ascii="Citi Sans Display" w:hAnsi="Citi Sans Display" w:cstheme="minorBidi"/>
          <w:color w:val="244061" w:themeColor="accent1" w:themeShade="80"/>
          <w:sz w:val="44"/>
          <w:szCs w:val="44"/>
        </w:rPr>
        <w:t xml:space="preserve"> </w:t>
      </w:r>
      <w:r w:rsidRPr="00BB1B0F">
        <w:rPr>
          <w:rFonts w:ascii="Citi Sans Display" w:hAnsi="Citi Sans Display" w:cstheme="minorBidi"/>
          <w:color w:val="244061" w:themeColor="accent1" w:themeShade="80"/>
          <w:sz w:val="44"/>
          <w:szCs w:val="44"/>
        </w:rPr>
        <w:t>to the</w:t>
      </w:r>
      <w:r w:rsidR="0A9668C0" w:rsidRPr="00BB1B0F">
        <w:rPr>
          <w:rFonts w:ascii="Citi Sans Display" w:hAnsi="Citi Sans Display" w:cstheme="minorBidi"/>
          <w:color w:val="244061" w:themeColor="accent1" w:themeShade="80"/>
          <w:sz w:val="44"/>
          <w:szCs w:val="44"/>
        </w:rPr>
        <w:t xml:space="preserve"> </w:t>
      </w:r>
    </w:p>
    <w:p w14:paraId="4EB17F3A" w14:textId="253F2F1E" w:rsidR="00CA01F2" w:rsidRPr="00BB1B0F" w:rsidRDefault="00AC49A2" w:rsidP="00045699">
      <w:pPr>
        <w:pStyle w:val="1TITLE"/>
        <w:spacing w:after="480"/>
        <w:rPr>
          <w:rFonts w:ascii="Citi Sans Display" w:hAnsi="Citi Sans Display" w:cstheme="minorHAnsi"/>
          <w:b/>
          <w:bCs/>
          <w:color w:val="244061" w:themeColor="accent1" w:themeShade="80"/>
          <w:sz w:val="44"/>
          <w:szCs w:val="44"/>
        </w:rPr>
      </w:pPr>
      <w:r w:rsidRPr="00BB1B0F">
        <w:rPr>
          <w:rFonts w:ascii="Citi Sans Display" w:hAnsi="Citi Sans Display" w:cstheme="minorHAnsi"/>
          <w:b/>
          <w:bCs/>
          <w:color w:val="244061" w:themeColor="accent1" w:themeShade="80"/>
          <w:sz w:val="44"/>
          <w:szCs w:val="44"/>
        </w:rPr>
        <w:t>Reserve Bank of Australia</w:t>
      </w:r>
    </w:p>
    <w:p w14:paraId="2BAC1A94" w14:textId="77777777" w:rsidR="004A4BA4" w:rsidRPr="00BB1B0F" w:rsidRDefault="004A4BA4" w:rsidP="00045699">
      <w:pPr>
        <w:pStyle w:val="1TITLE"/>
        <w:spacing w:after="480"/>
        <w:rPr>
          <w:rFonts w:ascii="Citi Sans Display" w:hAnsi="Citi Sans Display" w:cstheme="minorHAnsi"/>
          <w:b/>
          <w:bCs/>
          <w:color w:val="244061" w:themeColor="accent1" w:themeShade="80"/>
          <w:sz w:val="44"/>
          <w:szCs w:val="44"/>
        </w:rPr>
      </w:pPr>
    </w:p>
    <w:p w14:paraId="3CAFF98D" w14:textId="77777777" w:rsidR="00493001" w:rsidRPr="00BB1B0F" w:rsidRDefault="00493001" w:rsidP="00045699">
      <w:pPr>
        <w:spacing w:after="480" w:line="276" w:lineRule="auto"/>
        <w:rPr>
          <w:rFonts w:ascii="Citi Sans Display" w:hAnsi="Citi Sans Display" w:cstheme="minorHAnsi"/>
          <w:color w:val="244061" w:themeColor="accent1" w:themeShade="80"/>
          <w:sz w:val="44"/>
          <w:szCs w:val="44"/>
        </w:rPr>
      </w:pPr>
      <w:r w:rsidRPr="00BB1B0F">
        <w:rPr>
          <w:rFonts w:ascii="Citi Sans Display" w:hAnsi="Citi Sans Display" w:cstheme="minorHAnsi"/>
          <w:color w:val="244061" w:themeColor="accent1" w:themeShade="80"/>
          <w:sz w:val="44"/>
          <w:szCs w:val="44"/>
        </w:rPr>
        <w:t xml:space="preserve">by </w:t>
      </w:r>
    </w:p>
    <w:p w14:paraId="7D0A2072" w14:textId="38CC4048" w:rsidR="00493001" w:rsidRPr="00BB1B0F" w:rsidRDefault="23BFC4F5" w:rsidP="41BF7996">
      <w:pPr>
        <w:spacing w:after="720" w:line="276" w:lineRule="auto"/>
        <w:rPr>
          <w:rFonts w:ascii="Citi Sans Display" w:hAnsi="Citi Sans Display"/>
          <w:b/>
          <w:bCs/>
          <w:color w:val="244061" w:themeColor="accent1" w:themeShade="80"/>
          <w:sz w:val="44"/>
          <w:szCs w:val="44"/>
        </w:rPr>
      </w:pPr>
      <w:r w:rsidRPr="00BB1B0F">
        <w:rPr>
          <w:rFonts w:ascii="Citi Sans Display" w:hAnsi="Citi Sans Display"/>
          <w:b/>
          <w:bCs/>
          <w:color w:val="244061" w:themeColor="accent1" w:themeShade="80"/>
          <w:sz w:val="44"/>
          <w:szCs w:val="44"/>
        </w:rPr>
        <w:t>Citibank</w:t>
      </w:r>
      <w:r w:rsidR="6A15D760" w:rsidRPr="00BB1B0F">
        <w:rPr>
          <w:rFonts w:ascii="Citi Sans Display" w:hAnsi="Citi Sans Display"/>
          <w:b/>
          <w:bCs/>
          <w:color w:val="244061" w:themeColor="accent1" w:themeShade="80"/>
          <w:sz w:val="44"/>
          <w:szCs w:val="44"/>
        </w:rPr>
        <w:t>,</w:t>
      </w:r>
      <w:r w:rsidRPr="00BB1B0F">
        <w:rPr>
          <w:rFonts w:ascii="Citi Sans Display" w:hAnsi="Citi Sans Display"/>
          <w:b/>
          <w:bCs/>
          <w:color w:val="244061" w:themeColor="accent1" w:themeShade="80"/>
          <w:sz w:val="44"/>
          <w:szCs w:val="44"/>
        </w:rPr>
        <w:t xml:space="preserve"> N.A. </w:t>
      </w:r>
      <w:r w:rsidR="05D62470" w:rsidRPr="00BB1B0F">
        <w:rPr>
          <w:rFonts w:ascii="Citi Sans Display" w:hAnsi="Citi Sans Display"/>
          <w:b/>
          <w:bCs/>
          <w:color w:val="244061" w:themeColor="accent1" w:themeShade="80"/>
          <w:sz w:val="44"/>
          <w:szCs w:val="44"/>
        </w:rPr>
        <w:t>Sydney</w:t>
      </w:r>
    </w:p>
    <w:p w14:paraId="395F5DD8" w14:textId="77777777" w:rsidR="004A4BA4" w:rsidRPr="00BB1B0F" w:rsidRDefault="004A4BA4" w:rsidP="00045699">
      <w:pPr>
        <w:spacing w:after="720" w:line="276" w:lineRule="auto"/>
        <w:rPr>
          <w:rFonts w:ascii="Citi Sans Display" w:hAnsi="Citi Sans Display" w:cstheme="minorHAnsi"/>
          <w:b/>
          <w:bCs/>
          <w:color w:val="244061" w:themeColor="accent1" w:themeShade="80"/>
          <w:sz w:val="44"/>
          <w:szCs w:val="44"/>
        </w:rPr>
      </w:pPr>
    </w:p>
    <w:p w14:paraId="22AB5A88" w14:textId="6E53B753" w:rsidR="00A567B2" w:rsidRPr="00BB1B0F" w:rsidRDefault="00CA01F2" w:rsidP="00045699">
      <w:pPr>
        <w:pStyle w:val="BodyText"/>
        <w:spacing w:after="480"/>
        <w:rPr>
          <w:rFonts w:ascii="Citi Sans Display" w:hAnsi="Citi Sans Display" w:cstheme="minorHAnsi"/>
          <w:color w:val="244061" w:themeColor="accent1" w:themeShade="80"/>
          <w:sz w:val="44"/>
          <w:szCs w:val="44"/>
        </w:rPr>
      </w:pPr>
      <w:r w:rsidRPr="00BB1B0F">
        <w:rPr>
          <w:rFonts w:ascii="Citi Sans Display" w:hAnsi="Citi Sans Display" w:cstheme="minorHAnsi"/>
          <w:color w:val="244061" w:themeColor="accent1" w:themeShade="80"/>
          <w:sz w:val="44"/>
          <w:szCs w:val="44"/>
        </w:rPr>
        <w:t xml:space="preserve">on </w:t>
      </w:r>
    </w:p>
    <w:p w14:paraId="3BB47F61" w14:textId="674D2A97" w:rsidR="00F162D7" w:rsidRPr="00BB1B0F" w:rsidRDefault="00AC49A2" w:rsidP="00A567B2">
      <w:pPr>
        <w:pStyle w:val="1TITLE"/>
        <w:spacing w:after="0"/>
        <w:ind w:right="-613"/>
        <w:rPr>
          <w:rFonts w:ascii="Citi Sans Display" w:hAnsi="Citi Sans Display" w:cstheme="minorHAnsi"/>
          <w:b/>
          <w:bCs/>
          <w:iCs/>
          <w:color w:val="244061" w:themeColor="accent1" w:themeShade="80"/>
          <w:sz w:val="44"/>
          <w:szCs w:val="44"/>
        </w:rPr>
      </w:pPr>
      <w:r w:rsidRPr="00BB1B0F">
        <w:rPr>
          <w:rFonts w:ascii="Citi Sans Display" w:hAnsi="Citi Sans Display" w:cstheme="minorHAnsi"/>
          <w:b/>
          <w:bCs/>
          <w:iCs/>
          <w:color w:val="244061" w:themeColor="accent1" w:themeShade="80"/>
          <w:sz w:val="44"/>
          <w:szCs w:val="44"/>
        </w:rPr>
        <w:t>Review of Merchant Card Payment Costs and Surcharging</w:t>
      </w:r>
    </w:p>
    <w:p w14:paraId="06C1AE8F" w14:textId="6272E3C1" w:rsidR="004E7DAE" w:rsidRPr="00BB1B0F" w:rsidRDefault="004E7DAE" w:rsidP="00E02D11">
      <w:pPr>
        <w:spacing w:after="200" w:line="276" w:lineRule="auto"/>
        <w:rPr>
          <w:rFonts w:ascii="Citi Sans Display" w:hAnsi="Citi Sans Display" w:cstheme="minorHAnsi"/>
          <w:color w:val="244061" w:themeColor="accent1" w:themeShade="80"/>
          <w:sz w:val="44"/>
          <w:szCs w:val="44"/>
        </w:rPr>
      </w:pPr>
    </w:p>
    <w:p w14:paraId="6C983BC0" w14:textId="27393062" w:rsidR="00045699" w:rsidRPr="00BB1B0F" w:rsidRDefault="00045699" w:rsidP="00E02D11">
      <w:pPr>
        <w:spacing w:after="200" w:line="276" w:lineRule="auto"/>
        <w:rPr>
          <w:rFonts w:ascii="Citi Sans Display" w:hAnsi="Citi Sans Display" w:cstheme="minorHAnsi"/>
          <w:color w:val="244061" w:themeColor="accent1" w:themeShade="80"/>
          <w:sz w:val="44"/>
          <w:szCs w:val="44"/>
        </w:rPr>
      </w:pPr>
    </w:p>
    <w:p w14:paraId="0E3D8EBC" w14:textId="4B44B716" w:rsidR="00E02D11" w:rsidRDefault="6975B88F" w:rsidP="011C8A50">
      <w:pPr>
        <w:spacing w:after="200" w:line="276" w:lineRule="auto"/>
        <w:rPr>
          <w:rFonts w:ascii="Citi Sans Display" w:hAnsi="Citi Sans Display"/>
          <w:color w:val="244061" w:themeColor="accent1" w:themeShade="80"/>
          <w:sz w:val="44"/>
          <w:szCs w:val="44"/>
        </w:rPr>
      </w:pPr>
      <w:r w:rsidRPr="00BB1B0F">
        <w:rPr>
          <w:rFonts w:ascii="Citi Sans Display" w:hAnsi="Citi Sans Display"/>
          <w:color w:val="244061" w:themeColor="accent1" w:themeShade="80"/>
          <w:sz w:val="44"/>
          <w:szCs w:val="44"/>
        </w:rPr>
        <w:t>26</w:t>
      </w:r>
      <w:r w:rsidRPr="00BB1B0F">
        <w:rPr>
          <w:rFonts w:ascii="Citi Sans Display" w:hAnsi="Citi Sans Display"/>
          <w:color w:val="244061" w:themeColor="accent1" w:themeShade="80"/>
          <w:sz w:val="44"/>
          <w:szCs w:val="44"/>
          <w:vertAlign w:val="superscript"/>
        </w:rPr>
        <w:t>th</w:t>
      </w:r>
      <w:r w:rsidRPr="00BB1B0F">
        <w:rPr>
          <w:rFonts w:ascii="Citi Sans Display" w:hAnsi="Citi Sans Display"/>
          <w:color w:val="244061" w:themeColor="accent1" w:themeShade="80"/>
          <w:sz w:val="44"/>
          <w:szCs w:val="44"/>
        </w:rPr>
        <w:t xml:space="preserve"> </w:t>
      </w:r>
      <w:r w:rsidR="00A74045" w:rsidRPr="00BB1B0F">
        <w:rPr>
          <w:rFonts w:ascii="Citi Sans Display" w:hAnsi="Citi Sans Display"/>
          <w:color w:val="244061" w:themeColor="accent1" w:themeShade="80"/>
          <w:sz w:val="44"/>
          <w:szCs w:val="44"/>
        </w:rPr>
        <w:t>August</w:t>
      </w:r>
      <w:r w:rsidR="001A10ED" w:rsidRPr="00BB1B0F">
        <w:rPr>
          <w:rFonts w:ascii="Citi Sans Display" w:hAnsi="Citi Sans Display"/>
          <w:color w:val="244061" w:themeColor="accent1" w:themeShade="80"/>
          <w:sz w:val="44"/>
          <w:szCs w:val="44"/>
        </w:rPr>
        <w:t xml:space="preserve"> 202</w:t>
      </w:r>
      <w:r w:rsidR="004569B0" w:rsidRPr="00BB1B0F">
        <w:rPr>
          <w:rFonts w:ascii="Citi Sans Display" w:hAnsi="Citi Sans Display"/>
          <w:color w:val="244061" w:themeColor="accent1" w:themeShade="80"/>
          <w:sz w:val="44"/>
          <w:szCs w:val="44"/>
        </w:rPr>
        <w:t>5</w:t>
      </w:r>
    </w:p>
    <w:p w14:paraId="05460B0D" w14:textId="77777777" w:rsidR="00A567B2" w:rsidRPr="00BB1B0F" w:rsidRDefault="00A567B2" w:rsidP="00E40DB2">
      <w:pPr>
        <w:pStyle w:val="3Heading3"/>
        <w:spacing w:before="0" w:after="0"/>
        <w:rPr>
          <w:rFonts w:ascii="Citi Sans Display" w:hAnsi="Citi Sans Display" w:cstheme="minorHAnsi"/>
          <w:b/>
          <w:color w:val="244061" w:themeColor="accent1" w:themeShade="80"/>
        </w:rPr>
      </w:pPr>
    </w:p>
    <w:p w14:paraId="2BD4B91A" w14:textId="7B56CF86" w:rsidR="001A10ED" w:rsidRPr="00BB1B0F" w:rsidRDefault="001A10ED" w:rsidP="627CC2B2">
      <w:pPr>
        <w:spacing w:line="257" w:lineRule="auto"/>
        <w:rPr>
          <w:rFonts w:ascii="Citi Sans Display" w:eastAsia="Aptos" w:hAnsi="Citi Sans Display" w:cs="Aptos"/>
          <w:b/>
          <w:bCs/>
        </w:rPr>
      </w:pPr>
      <w:r w:rsidRPr="00BB1B0F">
        <w:rPr>
          <w:rFonts w:ascii="Citi Sans Display" w:hAnsi="Citi Sans Display"/>
          <w:b/>
          <w:bCs/>
          <w:color w:val="244061" w:themeColor="accent1" w:themeShade="80"/>
        </w:rPr>
        <w:br w:type="page"/>
      </w:r>
      <w:r w:rsidR="13E527D6" w:rsidRPr="00BB1B0F">
        <w:rPr>
          <w:rFonts w:ascii="Citi Sans Text" w:eastAsia="Aptos" w:hAnsi="Citi Sans Text" w:cs="Aptos"/>
          <w:b/>
          <w:bCs/>
        </w:rPr>
        <w:lastRenderedPageBreak/>
        <w:t xml:space="preserve"> </w:t>
      </w:r>
      <w:r w:rsidR="13E527D6" w:rsidRPr="00BB1B0F">
        <w:rPr>
          <w:rFonts w:ascii="Citi Sans Display" w:eastAsia="Aptos" w:hAnsi="Citi Sans Display" w:cs="Aptos"/>
          <w:b/>
          <w:bCs/>
        </w:rPr>
        <w:t>Submission on Review of Merchant Card Payment Costs and Surcharging</w:t>
      </w:r>
    </w:p>
    <w:p w14:paraId="13B112E4" w14:textId="08E0D2AC" w:rsidR="13E527D6" w:rsidRPr="00BB1B0F" w:rsidRDefault="6661628E" w:rsidP="41BF7996">
      <w:pPr>
        <w:spacing w:line="257" w:lineRule="auto"/>
        <w:rPr>
          <w:rFonts w:ascii="Citi Sans Display" w:eastAsia="Aptos" w:hAnsi="Citi Sans Display" w:cs="Aptos"/>
          <w:b/>
          <w:bCs/>
        </w:rPr>
      </w:pPr>
      <w:r w:rsidRPr="00BB1B0F">
        <w:rPr>
          <w:rFonts w:ascii="Citi Sans Display" w:eastAsia="Aptos" w:hAnsi="Citi Sans Display" w:cs="Aptos"/>
          <w:b/>
          <w:bCs/>
        </w:rPr>
        <w:t>1. Introduction</w:t>
      </w:r>
    </w:p>
    <w:p w14:paraId="4A7B409F" w14:textId="04CC081A" w:rsidR="13E527D6" w:rsidRPr="00BB1B0F" w:rsidRDefault="6661628E" w:rsidP="41BF7996">
      <w:pPr>
        <w:spacing w:line="257" w:lineRule="auto"/>
        <w:rPr>
          <w:rFonts w:ascii="Citi Sans Text" w:eastAsia="Aptos" w:hAnsi="Citi Sans Text" w:cs="Aptos"/>
        </w:rPr>
      </w:pPr>
      <w:r w:rsidRPr="00BB1B0F">
        <w:rPr>
          <w:rFonts w:ascii="Citi Sans Text" w:eastAsia="Aptos" w:hAnsi="Citi Sans Text" w:cs="Aptos"/>
        </w:rPr>
        <w:t>Citibank N.A. Sydney ("Citi Australia") appreciates the opportunity to provide feedback to the Reserve Bank of Australia (RBA) regarding its "Review of Merchant Card Payment Costs and Surcharging Consultation Paper."</w:t>
      </w:r>
    </w:p>
    <w:p w14:paraId="6A22D1EA" w14:textId="755879EC" w:rsidR="13E527D6" w:rsidRPr="00BB1B0F" w:rsidRDefault="6661628E" w:rsidP="41BF7996">
      <w:pPr>
        <w:spacing w:line="257" w:lineRule="auto"/>
        <w:rPr>
          <w:rFonts w:ascii="Citi Sans Display" w:eastAsia="Aptos" w:hAnsi="Citi Sans Display" w:cs="Aptos"/>
          <w:b/>
          <w:bCs/>
        </w:rPr>
      </w:pPr>
      <w:r w:rsidRPr="00BB1B0F">
        <w:rPr>
          <w:rFonts w:ascii="Citi Sans Display" w:eastAsia="Aptos" w:hAnsi="Citi Sans Display" w:cs="Aptos"/>
          <w:b/>
          <w:bCs/>
        </w:rPr>
        <w:t>2. Background: Citi Australia and Commercial Cards</w:t>
      </w:r>
    </w:p>
    <w:p w14:paraId="011F1475" w14:textId="53845E39" w:rsidR="13E527D6" w:rsidRPr="00BB1B0F" w:rsidRDefault="4BCEDF94" w:rsidP="41BF7996">
      <w:pPr>
        <w:spacing w:line="257" w:lineRule="auto"/>
        <w:rPr>
          <w:rFonts w:ascii="Citi Sans Text" w:eastAsia="Aptos" w:hAnsi="Citi Sans Text" w:cs="Aptos"/>
        </w:rPr>
      </w:pPr>
      <w:r w:rsidRPr="00BB1B0F">
        <w:rPr>
          <w:rFonts w:ascii="Citi Sans Text" w:eastAsia="Aptos" w:hAnsi="Citi Sans Text" w:cs="Aptos"/>
        </w:rPr>
        <w:t xml:space="preserve">Citi issues commercial cards in 117 countries globally, including proprietary local currency cards in 59 markets. In 2024, Citi supported US$70 billion in global </w:t>
      </w:r>
      <w:r w:rsidR="22FB0C13" w:rsidRPr="00BB1B0F">
        <w:rPr>
          <w:rFonts w:ascii="Citi Sans Text" w:eastAsia="Aptos" w:hAnsi="Citi Sans Text" w:cs="Aptos"/>
        </w:rPr>
        <w:t>C</w:t>
      </w:r>
      <w:r w:rsidRPr="00BB1B0F">
        <w:rPr>
          <w:rFonts w:ascii="Citi Sans Text" w:eastAsia="Aptos" w:hAnsi="Citi Sans Text" w:cs="Aptos"/>
        </w:rPr>
        <w:t xml:space="preserve">ommercial </w:t>
      </w:r>
      <w:r w:rsidR="5FEBCBE5" w:rsidRPr="00BB1B0F">
        <w:rPr>
          <w:rFonts w:ascii="Citi Sans Text" w:eastAsia="Aptos" w:hAnsi="Citi Sans Text" w:cs="Aptos"/>
        </w:rPr>
        <w:t>C</w:t>
      </w:r>
      <w:r w:rsidRPr="00BB1B0F">
        <w:rPr>
          <w:rFonts w:ascii="Citi Sans Text" w:eastAsia="Aptos" w:hAnsi="Citi Sans Text" w:cs="Aptos"/>
        </w:rPr>
        <w:t>ard transactions, enabling corporate and public sector clients to manage expenses and procure goods and services. Citi's Commercial Card products operate on the Visa and Mastercard networks. This global reach and operational insight uniquely position Citi to offer perspectives on the proposed changes outlined in the RBA’s Consultation Paper.</w:t>
      </w:r>
    </w:p>
    <w:p w14:paraId="1056F9F7" w14:textId="08E2648E" w:rsidR="13E527D6" w:rsidRPr="00BB1B0F" w:rsidRDefault="4BCEDF94" w:rsidP="41BF7996">
      <w:pPr>
        <w:spacing w:line="257" w:lineRule="auto"/>
        <w:rPr>
          <w:rFonts w:ascii="Citi Sans Text" w:eastAsia="Aptos" w:hAnsi="Citi Sans Text" w:cs="Aptos"/>
        </w:rPr>
      </w:pPr>
      <w:r w:rsidRPr="00BB1B0F">
        <w:rPr>
          <w:rFonts w:ascii="Citi Sans Text" w:eastAsia="Aptos" w:hAnsi="Citi Sans Text" w:cs="Aptos"/>
        </w:rPr>
        <w:t>Citi Australia's Commercial Card clients include large corporations, public sector entities (including government and non-government organi</w:t>
      </w:r>
      <w:r w:rsidR="13E46ED5" w:rsidRPr="00BB1B0F">
        <w:rPr>
          <w:rFonts w:ascii="Citi Sans Text" w:eastAsia="Aptos" w:hAnsi="Citi Sans Text" w:cs="Aptos"/>
        </w:rPr>
        <w:t>s</w:t>
      </w:r>
      <w:r w:rsidRPr="00BB1B0F">
        <w:rPr>
          <w:rFonts w:ascii="Citi Sans Text" w:eastAsia="Aptos" w:hAnsi="Citi Sans Text" w:cs="Aptos"/>
        </w:rPr>
        <w:t>ations), and a range of middle-market companies.</w:t>
      </w:r>
      <w:r w:rsidR="00D53B86">
        <w:rPr>
          <w:rFonts w:ascii="Citi Sans Text" w:eastAsia="Aptos" w:hAnsi="Citi Sans Text" w:cs="Aptos"/>
        </w:rPr>
        <w:t xml:space="preserve"> </w:t>
      </w:r>
      <w:r w:rsidR="6661628E" w:rsidRPr="00BB1B0F">
        <w:rPr>
          <w:rFonts w:ascii="Citi Sans Text" w:eastAsia="Aptos" w:hAnsi="Citi Sans Text" w:cs="Aptos"/>
        </w:rPr>
        <w:t>Citi provides several Commercial Card products, including:</w:t>
      </w:r>
    </w:p>
    <w:p w14:paraId="74CC3484" w14:textId="35B99E94" w:rsidR="13E527D6" w:rsidRPr="00BB1B0F" w:rsidRDefault="13E527D6" w:rsidP="011C8A50">
      <w:pPr>
        <w:pStyle w:val="ListParagraph"/>
        <w:numPr>
          <w:ilvl w:val="0"/>
          <w:numId w:val="3"/>
        </w:numPr>
        <w:spacing w:after="0" w:line="257" w:lineRule="auto"/>
        <w:rPr>
          <w:rFonts w:ascii="Citi Sans Text" w:eastAsia="Aptos" w:hAnsi="Citi Sans Text" w:cs="Aptos"/>
        </w:rPr>
      </w:pPr>
      <w:r w:rsidRPr="00BB1B0F">
        <w:rPr>
          <w:rFonts w:ascii="Citi Sans Text" w:eastAsia="Aptos" w:hAnsi="Citi Sans Text" w:cs="Aptos"/>
          <w:b/>
          <w:bCs/>
        </w:rPr>
        <w:t>Travel Programs:</w:t>
      </w:r>
      <w:r w:rsidRPr="00BB1B0F">
        <w:rPr>
          <w:rFonts w:ascii="Citi Sans Text" w:eastAsia="Aptos" w:hAnsi="Citi Sans Text" w:cs="Aptos"/>
        </w:rPr>
        <w:t xml:space="preserve"> These form the core of travel booking and expense management strategies for our clients.</w:t>
      </w:r>
    </w:p>
    <w:p w14:paraId="328177E6" w14:textId="7F728D64" w:rsidR="13E527D6" w:rsidRPr="00BB1B0F" w:rsidRDefault="6661628E" w:rsidP="011C8A50">
      <w:pPr>
        <w:pStyle w:val="ListParagraph"/>
        <w:numPr>
          <w:ilvl w:val="0"/>
          <w:numId w:val="3"/>
        </w:numPr>
        <w:spacing w:after="0" w:line="257" w:lineRule="auto"/>
        <w:rPr>
          <w:rFonts w:ascii="Citi Sans Text" w:eastAsia="Aptos" w:hAnsi="Citi Sans Text" w:cs="Aptos"/>
        </w:rPr>
      </w:pPr>
      <w:r w:rsidRPr="00BB1B0F">
        <w:rPr>
          <w:rFonts w:ascii="Citi Sans Text" w:eastAsia="Aptos" w:hAnsi="Citi Sans Text" w:cs="Aptos"/>
          <w:b/>
          <w:bCs/>
        </w:rPr>
        <w:t>Business-to-Business (B2B) Payables Card Programs:</w:t>
      </w:r>
      <w:r w:rsidRPr="00BB1B0F">
        <w:rPr>
          <w:rFonts w:ascii="Citi Sans Text" w:eastAsia="Aptos" w:hAnsi="Citi Sans Text" w:cs="Aptos"/>
        </w:rPr>
        <w:t xml:space="preserve"> These offer clients payment solutions to optimi</w:t>
      </w:r>
      <w:r w:rsidR="7FA8EFDE" w:rsidRPr="00BB1B0F">
        <w:rPr>
          <w:rFonts w:ascii="Citi Sans Text" w:eastAsia="Aptos" w:hAnsi="Citi Sans Text" w:cs="Aptos"/>
        </w:rPr>
        <w:t>s</w:t>
      </w:r>
      <w:r w:rsidRPr="00BB1B0F">
        <w:rPr>
          <w:rFonts w:ascii="Citi Sans Text" w:eastAsia="Aptos" w:hAnsi="Citi Sans Text" w:cs="Aptos"/>
        </w:rPr>
        <w:t>e purchasing and accounts payable processes, utili</w:t>
      </w:r>
      <w:r w:rsidR="2B32723A" w:rsidRPr="00BB1B0F">
        <w:rPr>
          <w:rFonts w:ascii="Citi Sans Text" w:eastAsia="Aptos" w:hAnsi="Citi Sans Text" w:cs="Aptos"/>
        </w:rPr>
        <w:t>s</w:t>
      </w:r>
      <w:r w:rsidRPr="00BB1B0F">
        <w:rPr>
          <w:rFonts w:ascii="Citi Sans Text" w:eastAsia="Aptos" w:hAnsi="Citi Sans Text" w:cs="Aptos"/>
        </w:rPr>
        <w:t>ing both Purchasing Cards and Virtual Card Account solutions.</w:t>
      </w:r>
    </w:p>
    <w:p w14:paraId="0E993D2B" w14:textId="0ECC8B2B" w:rsidR="13E527D6" w:rsidRPr="00BB1B0F" w:rsidRDefault="13E527D6" w:rsidP="011C8A50">
      <w:pPr>
        <w:pStyle w:val="ListParagraph"/>
        <w:numPr>
          <w:ilvl w:val="0"/>
          <w:numId w:val="3"/>
        </w:numPr>
        <w:spacing w:after="0" w:line="257" w:lineRule="auto"/>
        <w:rPr>
          <w:rFonts w:ascii="Citi Sans Text" w:eastAsia="Aptos" w:hAnsi="Citi Sans Text" w:cs="Aptos"/>
        </w:rPr>
      </w:pPr>
      <w:r w:rsidRPr="00BB1B0F">
        <w:rPr>
          <w:rFonts w:ascii="Citi Sans Text" w:eastAsia="Aptos" w:hAnsi="Citi Sans Text" w:cs="Aptos"/>
          <w:b/>
          <w:bCs/>
        </w:rPr>
        <w:t>B2B eCommerce Card Programs:</w:t>
      </w:r>
      <w:r w:rsidRPr="00BB1B0F">
        <w:rPr>
          <w:rFonts w:ascii="Citi Sans Text" w:eastAsia="Aptos" w:hAnsi="Citi Sans Text" w:cs="Aptos"/>
        </w:rPr>
        <w:t xml:space="preserve"> Offered to clients involved in buying and selling goods via digital channels. An example includes Online Travel Aggregators (OTAs).</w:t>
      </w:r>
    </w:p>
    <w:p w14:paraId="7CDC2D08" w14:textId="77777777" w:rsidR="007F618F" w:rsidRPr="00BB1B0F" w:rsidRDefault="007F618F" w:rsidP="00BD634E">
      <w:pPr>
        <w:pStyle w:val="ListParagraph"/>
        <w:spacing w:after="0" w:line="257" w:lineRule="auto"/>
        <w:rPr>
          <w:rFonts w:ascii="Citi Sans Text" w:eastAsia="Aptos" w:hAnsi="Citi Sans Text" w:cs="Aptos"/>
        </w:rPr>
      </w:pPr>
    </w:p>
    <w:p w14:paraId="71ED704E" w14:textId="1098108F" w:rsidR="13E527D6" w:rsidRPr="00BB1B0F" w:rsidRDefault="13E527D6" w:rsidP="011C8A50">
      <w:pPr>
        <w:spacing w:after="0" w:line="257" w:lineRule="auto"/>
        <w:rPr>
          <w:rFonts w:ascii="Citi Sans Display" w:eastAsia="Aptos" w:hAnsi="Citi Sans Display" w:cs="Aptos"/>
          <w:b/>
          <w:bCs/>
        </w:rPr>
      </w:pPr>
      <w:r w:rsidRPr="00BB1B0F">
        <w:rPr>
          <w:rFonts w:ascii="Citi Sans Display" w:eastAsia="Aptos" w:hAnsi="Citi Sans Display" w:cs="Aptos"/>
          <w:b/>
          <w:bCs/>
        </w:rPr>
        <w:t>3. Citi’s Key Views and Recommendations</w:t>
      </w:r>
    </w:p>
    <w:p w14:paraId="1F8C8A81" w14:textId="365525D1"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This submission aims to provide the RBA with Citi’s insights into credit-based commercial card products ("Commercial Cards"), the benefits they offer to institutions (including corporations and public sector entities), their employees, and merchants. It also highlights how Commercial Cards differ from general consumer credit card offerings.</w:t>
      </w:r>
    </w:p>
    <w:p w14:paraId="678D8B4B" w14:textId="58334EE9" w:rsidR="13E527D6" w:rsidRPr="00BB1B0F" w:rsidRDefault="437F0DD6" w:rsidP="2BE44BD7">
      <w:pPr>
        <w:spacing w:line="257" w:lineRule="auto"/>
        <w:rPr>
          <w:rFonts w:ascii="Citi Sans Text" w:eastAsia="Aptos" w:hAnsi="Citi Sans Text" w:cs="Aptos"/>
          <w:b/>
          <w:bCs/>
        </w:rPr>
      </w:pPr>
      <w:r w:rsidRPr="00BB1B0F">
        <w:rPr>
          <w:rFonts w:ascii="Citi Sans Text" w:eastAsia="Aptos" w:hAnsi="Citi Sans Text" w:cs="Aptos"/>
          <w:b/>
          <w:bCs/>
        </w:rPr>
        <w:t>Response to RBA Question 2: "Do the proposed changes to interchange regulation promote the public interest by improving competition and efficiency in the payments system?"</w:t>
      </w:r>
    </w:p>
    <w:p w14:paraId="202F4CEE" w14:textId="0AF3A5C7"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Citi's position is that the proposed changes to interchange regulation specifically for Commercial Card interchange fees</w:t>
      </w:r>
      <w:r w:rsidRPr="00BB1B0F">
        <w:rPr>
          <w:rFonts w:ascii="Citi Sans Text" w:eastAsia="Aptos" w:hAnsi="Citi Sans Text" w:cs="Aptos"/>
          <w:b/>
          <w:bCs/>
        </w:rPr>
        <w:t xml:space="preserve"> </w:t>
      </w:r>
      <w:r w:rsidRPr="00BB1B0F">
        <w:rPr>
          <w:rFonts w:ascii="Citi Sans Text" w:eastAsia="Aptos" w:hAnsi="Citi Sans Text" w:cs="Aptos"/>
        </w:rPr>
        <w:t>will not improve competition and efficiency in the payments system.</w:t>
      </w:r>
    </w:p>
    <w:p w14:paraId="61118564" w14:textId="39883BDD" w:rsidR="13E527D6" w:rsidRPr="00BB1B0F" w:rsidRDefault="437F0DD6" w:rsidP="2BE44BD7">
      <w:pPr>
        <w:spacing w:line="257" w:lineRule="auto"/>
        <w:rPr>
          <w:rFonts w:ascii="Citi Sans Text" w:eastAsia="Aptos" w:hAnsi="Citi Sans Text" w:cs="Aptos"/>
          <w:b/>
          <w:bCs/>
        </w:rPr>
      </w:pPr>
      <w:r w:rsidRPr="00BB1B0F">
        <w:rPr>
          <w:rFonts w:ascii="Citi Sans Text" w:eastAsia="Aptos" w:hAnsi="Citi Sans Text" w:cs="Aptos"/>
          <w:b/>
          <w:bCs/>
        </w:rPr>
        <w:t>Citi's Recommendations:</w:t>
      </w:r>
    </w:p>
    <w:p w14:paraId="16C3DC44" w14:textId="550F6173" w:rsidR="13E527D6" w:rsidRPr="00BB1B0F" w:rsidRDefault="4BCEDF94" w:rsidP="3C30CD1E">
      <w:pPr>
        <w:pStyle w:val="ListParagraph"/>
        <w:numPr>
          <w:ilvl w:val="0"/>
          <w:numId w:val="2"/>
        </w:numPr>
        <w:spacing w:after="0" w:line="257" w:lineRule="auto"/>
        <w:rPr>
          <w:rFonts w:ascii="Citi Sans Text" w:eastAsia="Aptos" w:hAnsi="Citi Sans Text" w:cs="Aptos"/>
        </w:rPr>
      </w:pPr>
      <w:r w:rsidRPr="67DC2A67">
        <w:rPr>
          <w:rFonts w:ascii="Citi Sans Text" w:eastAsia="Aptos" w:hAnsi="Citi Sans Text" w:cs="Aptos"/>
          <w:b/>
          <w:bCs/>
        </w:rPr>
        <w:t>Interchange Cap on Commercial Cards:</w:t>
      </w:r>
      <w:r w:rsidRPr="67DC2A67">
        <w:rPr>
          <w:rFonts w:ascii="Citi Sans Text" w:eastAsia="Aptos" w:hAnsi="Citi Sans Text" w:cs="Aptos"/>
        </w:rPr>
        <w:t xml:space="preserve"> Citi advocates for, at a minimum, maintaining the current interchange cap on Commercial Cards at </w:t>
      </w:r>
      <w:r w:rsidR="00D53B86">
        <w:rPr>
          <w:rFonts w:ascii="Citi Sans Text" w:eastAsia="Aptos" w:hAnsi="Citi Sans Text" w:cs="Aptos"/>
        </w:rPr>
        <w:t>80 basis points (bps)</w:t>
      </w:r>
      <w:r w:rsidRPr="67DC2A67">
        <w:rPr>
          <w:rFonts w:ascii="Citi Sans Text" w:eastAsia="Aptos" w:hAnsi="Citi Sans Text" w:cs="Aptos"/>
        </w:rPr>
        <w:t>. Any reduction in credit interchange fees should apply only to consumer cards (</w:t>
      </w:r>
      <w:r w:rsidR="47CA467C" w:rsidRPr="67DC2A67">
        <w:rPr>
          <w:rFonts w:ascii="Citi Sans Text" w:eastAsia="Aptos" w:hAnsi="Citi Sans Text" w:cs="Aptos"/>
        </w:rPr>
        <w:t>a</w:t>
      </w:r>
      <w:r w:rsidRPr="67DC2A67">
        <w:rPr>
          <w:rFonts w:ascii="Citi Sans Text" w:eastAsia="Aptos" w:hAnsi="Citi Sans Text" w:cs="Aptos"/>
        </w:rPr>
        <w:t>ligning with Option 5).</w:t>
      </w:r>
      <w:r w:rsidR="1B2372E3" w:rsidRPr="67DC2A67">
        <w:rPr>
          <w:rFonts w:ascii="Citi Sans Text" w:eastAsia="Aptos" w:hAnsi="Citi Sans Text" w:cs="Aptos"/>
        </w:rPr>
        <w:t xml:space="preserve">  </w:t>
      </w:r>
    </w:p>
    <w:p w14:paraId="4FB55557" w14:textId="2870D984" w:rsidR="13E527D6" w:rsidRPr="00BB1B0F" w:rsidRDefault="13E527D6" w:rsidP="3C30CD1E">
      <w:pPr>
        <w:pStyle w:val="ListParagraph"/>
        <w:numPr>
          <w:ilvl w:val="0"/>
          <w:numId w:val="2"/>
        </w:numPr>
        <w:spacing w:after="0" w:line="257" w:lineRule="auto"/>
        <w:rPr>
          <w:rFonts w:ascii="Citi Sans Text" w:eastAsia="Aptos" w:hAnsi="Citi Sans Text" w:cs="Aptos"/>
        </w:rPr>
      </w:pPr>
      <w:r w:rsidRPr="733807B9">
        <w:rPr>
          <w:rFonts w:ascii="Citi Sans Text" w:eastAsia="Aptos" w:hAnsi="Citi Sans Text" w:cs="Aptos"/>
          <w:b/>
          <w:bCs/>
        </w:rPr>
        <w:t>Treatment of Foreign-Issued Card Transactions:</w:t>
      </w:r>
      <w:r w:rsidRPr="733807B9">
        <w:rPr>
          <w:rFonts w:ascii="Citi Sans Text" w:eastAsia="Aptos" w:hAnsi="Citi Sans Text" w:cs="Aptos"/>
        </w:rPr>
        <w:t xml:space="preserve"> Citi proposes the continued exclusion of foreign card transactions from the RBA’s interchange regulation (maintaining the status quo, aligning with </w:t>
      </w:r>
      <w:r w:rsidR="2D577D6A" w:rsidRPr="733807B9">
        <w:rPr>
          <w:rFonts w:ascii="Citi Sans Text" w:eastAsia="Aptos" w:hAnsi="Citi Sans Text" w:cs="Aptos"/>
        </w:rPr>
        <w:t>Option</w:t>
      </w:r>
      <w:r w:rsidRPr="733807B9">
        <w:rPr>
          <w:rFonts w:ascii="Citi Sans Text" w:eastAsia="Aptos" w:hAnsi="Citi Sans Text" w:cs="Aptos"/>
        </w:rPr>
        <w:t xml:space="preserve"> 6).</w:t>
      </w:r>
    </w:p>
    <w:p w14:paraId="1372AD02" w14:textId="57F30E30" w:rsidR="627CC2B2" w:rsidRPr="00BB1B0F" w:rsidRDefault="627CC2B2" w:rsidP="2BE44BD7">
      <w:pPr>
        <w:pStyle w:val="ListParagraph"/>
        <w:spacing w:after="0" w:line="257" w:lineRule="auto"/>
        <w:rPr>
          <w:rFonts w:ascii="Citi Sans Text" w:eastAsia="Aptos" w:hAnsi="Citi Sans Text" w:cs="Aptos"/>
        </w:rPr>
      </w:pPr>
    </w:p>
    <w:p w14:paraId="63ACC1AF" w14:textId="32879984" w:rsidR="13E527D6" w:rsidRPr="00BB1B0F" w:rsidRDefault="13E527D6" w:rsidP="3C30CD1E">
      <w:pPr>
        <w:spacing w:line="257" w:lineRule="auto"/>
        <w:rPr>
          <w:rFonts w:ascii="Citi Sans Text" w:eastAsia="Aptos" w:hAnsi="Citi Sans Text" w:cs="Aptos"/>
          <w:b/>
          <w:bCs/>
        </w:rPr>
      </w:pPr>
      <w:r w:rsidRPr="00BB1B0F">
        <w:rPr>
          <w:rFonts w:ascii="Citi Sans Text" w:eastAsia="Aptos" w:hAnsi="Citi Sans Text" w:cs="Aptos"/>
          <w:b/>
          <w:bCs/>
        </w:rPr>
        <w:t>Response to RBA Question 13: "What is your feedback on the proposed implementation timeline for these reforms?"</w:t>
      </w:r>
    </w:p>
    <w:p w14:paraId="4FE60FD6" w14:textId="0EEC56B0" w:rsidR="13E527D6" w:rsidRPr="00BB1B0F" w:rsidRDefault="4BCEDF94" w:rsidP="627CC2B2">
      <w:pPr>
        <w:spacing w:line="257" w:lineRule="auto"/>
        <w:rPr>
          <w:rFonts w:ascii="Citi Sans Text" w:eastAsia="Aptos" w:hAnsi="Citi Sans Text" w:cs="Aptos"/>
        </w:rPr>
      </w:pPr>
      <w:r w:rsidRPr="00BB1B0F">
        <w:rPr>
          <w:rFonts w:ascii="Citi Sans Text" w:eastAsia="Aptos" w:hAnsi="Citi Sans Text" w:cs="Aptos"/>
        </w:rPr>
        <w:lastRenderedPageBreak/>
        <w:t xml:space="preserve">Citi believes that an implementation timeframe of six months post-RBA decision will </w:t>
      </w:r>
      <w:r w:rsidR="00D53B86">
        <w:rPr>
          <w:rFonts w:ascii="Citi Sans Text" w:eastAsia="Aptos" w:hAnsi="Citi Sans Text" w:cs="Aptos"/>
        </w:rPr>
        <w:t>be</w:t>
      </w:r>
      <w:r w:rsidR="00D53B86" w:rsidRPr="00BB1B0F">
        <w:rPr>
          <w:rFonts w:ascii="Citi Sans Text" w:eastAsia="Aptos" w:hAnsi="Citi Sans Text" w:cs="Aptos"/>
        </w:rPr>
        <w:t xml:space="preserve"> </w:t>
      </w:r>
      <w:r w:rsidRPr="00BB1B0F">
        <w:rPr>
          <w:rFonts w:ascii="Citi Sans Text" w:eastAsia="Aptos" w:hAnsi="Citi Sans Text" w:cs="Aptos"/>
        </w:rPr>
        <w:t>insufficient for issuers and their clients to implement all necessary changes to the product's financial model</w:t>
      </w:r>
      <w:r w:rsidR="394A823E" w:rsidRPr="00BB1B0F">
        <w:rPr>
          <w:rFonts w:ascii="Citi Sans Text" w:eastAsia="Aptos" w:hAnsi="Citi Sans Text" w:cs="Aptos"/>
        </w:rPr>
        <w:t>, technical</w:t>
      </w:r>
      <w:r w:rsidR="00D53B86">
        <w:rPr>
          <w:rFonts w:ascii="Citi Sans Text" w:eastAsia="Aptos" w:hAnsi="Citi Sans Text" w:cs="Aptos"/>
        </w:rPr>
        <w:t xml:space="preserve"> changes to</w:t>
      </w:r>
      <w:r w:rsidR="394A823E" w:rsidRPr="00BB1B0F">
        <w:rPr>
          <w:rFonts w:ascii="Citi Sans Text" w:eastAsia="Aptos" w:hAnsi="Citi Sans Text" w:cs="Aptos"/>
        </w:rPr>
        <w:t xml:space="preserve"> </w:t>
      </w:r>
      <w:r w:rsidR="57610ED4" w:rsidRPr="00BB1B0F">
        <w:rPr>
          <w:rFonts w:ascii="Citi Sans Text" w:eastAsia="Aptos" w:hAnsi="Citi Sans Text" w:cs="Aptos"/>
        </w:rPr>
        <w:t>billing</w:t>
      </w:r>
      <w:r w:rsidR="00D53B86">
        <w:rPr>
          <w:rFonts w:ascii="Citi Sans Text" w:eastAsia="Aptos" w:hAnsi="Citi Sans Text" w:cs="Aptos"/>
        </w:rPr>
        <w:t xml:space="preserve"> and</w:t>
      </w:r>
      <w:r w:rsidR="14D914E1" w:rsidRPr="00BB1B0F">
        <w:rPr>
          <w:rFonts w:ascii="Citi Sans Text" w:eastAsia="Aptos" w:hAnsi="Citi Sans Text" w:cs="Aptos"/>
        </w:rPr>
        <w:t xml:space="preserve"> </w:t>
      </w:r>
      <w:r w:rsidR="57610ED4" w:rsidRPr="00BB1B0F">
        <w:rPr>
          <w:rFonts w:ascii="Citi Sans Text" w:eastAsia="Aptos" w:hAnsi="Citi Sans Text" w:cs="Aptos"/>
        </w:rPr>
        <w:t>invoicing</w:t>
      </w:r>
      <w:r w:rsidR="00D53B86">
        <w:rPr>
          <w:rFonts w:ascii="Citi Sans Text" w:eastAsia="Aptos" w:hAnsi="Citi Sans Text" w:cs="Aptos"/>
        </w:rPr>
        <w:t>, and</w:t>
      </w:r>
      <w:r w:rsidR="394A823E" w:rsidRPr="00BB1B0F">
        <w:rPr>
          <w:rFonts w:ascii="Citi Sans Text" w:eastAsia="Aptos" w:hAnsi="Citi Sans Text" w:cs="Aptos"/>
        </w:rPr>
        <w:t xml:space="preserve"> changes </w:t>
      </w:r>
      <w:r w:rsidR="00D53B86">
        <w:rPr>
          <w:rFonts w:ascii="Citi Sans Text" w:eastAsia="Aptos" w:hAnsi="Citi Sans Text" w:cs="Aptos"/>
        </w:rPr>
        <w:t xml:space="preserve">to </w:t>
      </w:r>
      <w:r w:rsidR="394A823E" w:rsidRPr="00BB1B0F">
        <w:rPr>
          <w:rFonts w:ascii="Citi Sans Text" w:eastAsia="Aptos" w:hAnsi="Citi Sans Text" w:cs="Aptos"/>
        </w:rPr>
        <w:t>commercial agreeme</w:t>
      </w:r>
      <w:r w:rsidR="2BA282B3" w:rsidRPr="00BB1B0F">
        <w:rPr>
          <w:rFonts w:ascii="Citi Sans Text" w:eastAsia="Aptos" w:hAnsi="Citi Sans Text" w:cs="Aptos"/>
        </w:rPr>
        <w:t>nts</w:t>
      </w:r>
      <w:r w:rsidRPr="00BB1B0F">
        <w:rPr>
          <w:rFonts w:ascii="Citi Sans Text" w:eastAsia="Aptos" w:hAnsi="Citi Sans Text" w:cs="Aptos"/>
        </w:rPr>
        <w:t xml:space="preserve">. This could potentially cause </w:t>
      </w:r>
      <w:r w:rsidR="07079853" w:rsidRPr="00BB1B0F">
        <w:rPr>
          <w:rFonts w:ascii="Citi Sans Text" w:eastAsia="Aptos" w:hAnsi="Citi Sans Text" w:cs="Aptos"/>
        </w:rPr>
        <w:t>disruptions</w:t>
      </w:r>
      <w:r w:rsidRPr="00BB1B0F">
        <w:rPr>
          <w:rFonts w:ascii="Citi Sans Text" w:eastAsia="Aptos" w:hAnsi="Citi Sans Text" w:cs="Aptos"/>
        </w:rPr>
        <w:t xml:space="preserve"> for businesses should they need to migrate to different payment methodologies.</w:t>
      </w:r>
    </w:p>
    <w:p w14:paraId="609B4A44" w14:textId="710B8B7A" w:rsidR="13E527D6" w:rsidRPr="00BB1B0F" w:rsidRDefault="13E527D6" w:rsidP="627CC2B2">
      <w:pPr>
        <w:spacing w:line="257" w:lineRule="auto"/>
        <w:rPr>
          <w:rFonts w:ascii="Citi Sans Display" w:eastAsia="Aptos" w:hAnsi="Citi Sans Display" w:cs="Aptos"/>
          <w:b/>
          <w:bCs/>
        </w:rPr>
      </w:pPr>
      <w:r w:rsidRPr="00BB1B0F">
        <w:rPr>
          <w:rFonts w:ascii="Citi Sans Display" w:eastAsia="Aptos" w:hAnsi="Citi Sans Display" w:cs="Aptos"/>
          <w:b/>
          <w:bCs/>
        </w:rPr>
        <w:t>4. Distinct Nature of Commercial Cards</w:t>
      </w:r>
    </w:p>
    <w:p w14:paraId="59E80751" w14:textId="7BA93B4B" w:rsidR="13E527D6" w:rsidRPr="00BB1B0F" w:rsidRDefault="437F0DD6" w:rsidP="627CC2B2">
      <w:pPr>
        <w:spacing w:line="257" w:lineRule="auto"/>
        <w:rPr>
          <w:rFonts w:ascii="Citi Sans Text" w:eastAsia="Aptos" w:hAnsi="Citi Sans Text" w:cs="Aptos"/>
        </w:rPr>
      </w:pPr>
      <w:r w:rsidRPr="00BB1B0F">
        <w:rPr>
          <w:rFonts w:ascii="Citi Sans Text" w:eastAsia="Aptos" w:hAnsi="Citi Sans Text" w:cs="Aptos"/>
        </w:rPr>
        <w:t>Citi's position is that Commercial Cards are significantly different from consumer credit cards. They have distinct underlying financial models and offer advanced</w:t>
      </w:r>
      <w:r w:rsidR="0C768BAE" w:rsidRPr="00BB1B0F">
        <w:rPr>
          <w:rFonts w:ascii="Citi Sans Text" w:eastAsia="Aptos" w:hAnsi="Citi Sans Text" w:cs="Aptos"/>
        </w:rPr>
        <w:t xml:space="preserve"> data and </w:t>
      </w:r>
      <w:r w:rsidR="36928243" w:rsidRPr="00BB1B0F">
        <w:rPr>
          <w:rFonts w:ascii="Citi Sans Text" w:eastAsia="Aptos" w:hAnsi="Citi Sans Text" w:cs="Aptos"/>
        </w:rPr>
        <w:t xml:space="preserve">efficiency solutions </w:t>
      </w:r>
      <w:r w:rsidRPr="00BB1B0F">
        <w:rPr>
          <w:rFonts w:ascii="Citi Sans Text" w:eastAsia="Aptos" w:hAnsi="Citi Sans Text" w:cs="Aptos"/>
        </w:rPr>
        <w:t>to business</w:t>
      </w:r>
      <w:r w:rsidR="00D53B86">
        <w:rPr>
          <w:rFonts w:ascii="Citi Sans Text" w:eastAsia="Aptos" w:hAnsi="Citi Sans Text" w:cs="Aptos"/>
        </w:rPr>
        <w:t>es.</w:t>
      </w:r>
    </w:p>
    <w:p w14:paraId="5BCB7C97" w14:textId="075A3436" w:rsidR="13E527D6" w:rsidRPr="00BB1B0F" w:rsidRDefault="13E527D6" w:rsidP="627CC2B2">
      <w:pPr>
        <w:spacing w:line="257" w:lineRule="auto"/>
        <w:rPr>
          <w:rFonts w:ascii="Citi Sans Text" w:eastAsia="Aptos" w:hAnsi="Citi Sans Text" w:cs="Aptos"/>
        </w:rPr>
      </w:pPr>
      <w:r w:rsidRPr="00BB1B0F">
        <w:rPr>
          <w:rFonts w:ascii="Citi Sans Text" w:eastAsia="Aptos" w:hAnsi="Citi Sans Text" w:cs="Aptos"/>
        </w:rPr>
        <w:t>Commercial Cards serve as a payment, data management, reporting, and business process automation tool for business</w:t>
      </w:r>
      <w:r w:rsidR="00D53B86">
        <w:rPr>
          <w:rFonts w:ascii="Citi Sans Text" w:eastAsia="Aptos" w:hAnsi="Citi Sans Text" w:cs="Aptos"/>
        </w:rPr>
        <w:t>es</w:t>
      </w:r>
      <w:r w:rsidRPr="00BB1B0F">
        <w:rPr>
          <w:rFonts w:ascii="Citi Sans Text" w:eastAsia="Aptos" w:hAnsi="Citi Sans Text" w:cs="Aptos"/>
        </w:rPr>
        <w:t>, typically used for higher-value and predictable business payments. These higher-value transactions, coupled with larger credit lines, inherently carry a different risk profile compared to consumer credit cards, which must be reflected in interchange settings.</w:t>
      </w:r>
    </w:p>
    <w:p w14:paraId="3A77E00F" w14:textId="7038555A" w:rsidR="13E527D6" w:rsidRPr="00BB1B0F" w:rsidRDefault="13E527D6" w:rsidP="627CC2B2">
      <w:pPr>
        <w:spacing w:line="257" w:lineRule="auto"/>
        <w:rPr>
          <w:rFonts w:ascii="Citi Sans Text" w:eastAsia="Aptos" w:hAnsi="Citi Sans Text" w:cs="Aptos"/>
        </w:rPr>
      </w:pPr>
      <w:r w:rsidRPr="00BB1B0F">
        <w:rPr>
          <w:rFonts w:ascii="Citi Sans Text" w:eastAsia="Aptos" w:hAnsi="Citi Sans Text" w:cs="Aptos"/>
        </w:rPr>
        <w:t xml:space="preserve">Unlike consumer credit cards, Commercial Cards function as a charge card, requiring payment of monthly outstanding balances in full. Interest costs are not borne by the client and are fully </w:t>
      </w:r>
      <w:r w:rsidR="00D53B86">
        <w:rPr>
          <w:rFonts w:ascii="Citi Sans Text" w:eastAsia="Aptos" w:hAnsi="Citi Sans Text" w:cs="Aptos"/>
        </w:rPr>
        <w:t>absorbed</w:t>
      </w:r>
      <w:r w:rsidR="00D53B86" w:rsidRPr="00BB1B0F">
        <w:rPr>
          <w:rFonts w:ascii="Citi Sans Text" w:eastAsia="Aptos" w:hAnsi="Citi Sans Text" w:cs="Aptos"/>
        </w:rPr>
        <w:t xml:space="preserve"> </w:t>
      </w:r>
      <w:r w:rsidRPr="00BB1B0F">
        <w:rPr>
          <w:rFonts w:ascii="Citi Sans Text" w:eastAsia="Aptos" w:hAnsi="Citi Sans Text" w:cs="Aptos"/>
        </w:rPr>
        <w:t xml:space="preserve">by the Issuer. Therefore, </w:t>
      </w:r>
      <w:r w:rsidR="00D53B86" w:rsidRPr="00BB1B0F">
        <w:rPr>
          <w:rFonts w:ascii="Citi Sans Text" w:eastAsia="Aptos" w:hAnsi="Citi Sans Text" w:cs="Aptos"/>
        </w:rPr>
        <w:t>unlike consumer credit card issuers who receive interest income streams from the revolving nature of the credit line</w:t>
      </w:r>
      <w:r w:rsidR="00D53B86">
        <w:rPr>
          <w:rFonts w:ascii="Citi Sans Text" w:eastAsia="Aptos" w:hAnsi="Citi Sans Text" w:cs="Aptos"/>
        </w:rPr>
        <w:t>, Commercial Card issuers like</w:t>
      </w:r>
      <w:r w:rsidR="00D53B86" w:rsidRPr="00BB1B0F">
        <w:rPr>
          <w:rFonts w:ascii="Citi Sans Text" w:eastAsia="Aptos" w:hAnsi="Citi Sans Text" w:cs="Aptos"/>
        </w:rPr>
        <w:t xml:space="preserve"> </w:t>
      </w:r>
      <w:r w:rsidRPr="00BB1B0F">
        <w:rPr>
          <w:rFonts w:ascii="Citi Sans Text" w:eastAsia="Aptos" w:hAnsi="Citi Sans Text" w:cs="Aptos"/>
        </w:rPr>
        <w:t xml:space="preserve">Citi </w:t>
      </w:r>
      <w:r w:rsidR="00D53B86">
        <w:rPr>
          <w:rFonts w:ascii="Citi Sans Text" w:eastAsia="Aptos" w:hAnsi="Citi Sans Text" w:cs="Aptos"/>
        </w:rPr>
        <w:t>are</w:t>
      </w:r>
      <w:r w:rsidR="00D53B86" w:rsidRPr="00BB1B0F">
        <w:rPr>
          <w:rFonts w:ascii="Citi Sans Text" w:eastAsia="Aptos" w:hAnsi="Citi Sans Text" w:cs="Aptos"/>
        </w:rPr>
        <w:t xml:space="preserve"> </w:t>
      </w:r>
      <w:r w:rsidRPr="00BB1B0F">
        <w:rPr>
          <w:rFonts w:ascii="Citi Sans Text" w:eastAsia="Aptos" w:hAnsi="Citi Sans Text" w:cs="Aptos"/>
        </w:rPr>
        <w:t>largely reliant on interchange fees.</w:t>
      </w:r>
    </w:p>
    <w:p w14:paraId="13B1638F" w14:textId="0EDC5B42" w:rsidR="13E527D6" w:rsidRPr="00BB1B0F" w:rsidRDefault="437F0DD6" w:rsidP="627CC2B2">
      <w:pPr>
        <w:spacing w:line="257" w:lineRule="auto"/>
        <w:rPr>
          <w:rFonts w:ascii="Citi Sans Text" w:eastAsia="Aptos" w:hAnsi="Citi Sans Text" w:cs="Aptos"/>
        </w:rPr>
      </w:pPr>
      <w:r w:rsidRPr="00BB1B0F">
        <w:rPr>
          <w:rFonts w:ascii="Citi Sans Text" w:eastAsia="Aptos" w:hAnsi="Citi Sans Text" w:cs="Aptos"/>
        </w:rPr>
        <w:t xml:space="preserve">A reduction in Commercial Card interchange will significantly impact issuers' ability to provide this product to clients. This </w:t>
      </w:r>
      <w:r w:rsidR="0DC0A389" w:rsidRPr="00BB1B0F">
        <w:rPr>
          <w:rFonts w:ascii="Citi Sans Text" w:eastAsia="Aptos" w:hAnsi="Citi Sans Text" w:cs="Aptos"/>
        </w:rPr>
        <w:t>c</w:t>
      </w:r>
      <w:r w:rsidRPr="00BB1B0F">
        <w:rPr>
          <w:rFonts w:ascii="Citi Sans Text" w:eastAsia="Aptos" w:hAnsi="Citi Sans Text" w:cs="Aptos"/>
        </w:rPr>
        <w:t xml:space="preserve">ould result in fewer payment solutions for businesses, lower competition, increased inefficiencies in accounts payable processes, and a reduction of working capital solutions for middle-market businesses. This change </w:t>
      </w:r>
      <w:r w:rsidR="00D53B86">
        <w:rPr>
          <w:rFonts w:ascii="Citi Sans Text" w:eastAsia="Aptos" w:hAnsi="Citi Sans Text" w:cs="Aptos"/>
        </w:rPr>
        <w:t xml:space="preserve">could lead to </w:t>
      </w:r>
      <w:r w:rsidRPr="00BB1B0F">
        <w:rPr>
          <w:rFonts w:ascii="Citi Sans Text" w:eastAsia="Aptos" w:hAnsi="Citi Sans Text" w:cs="Aptos"/>
        </w:rPr>
        <w:t xml:space="preserve">unintended consequences for merchants, as buyers </w:t>
      </w:r>
      <w:r w:rsidR="061430B8" w:rsidRPr="00BB1B0F">
        <w:rPr>
          <w:rFonts w:ascii="Citi Sans Text" w:eastAsia="Aptos" w:hAnsi="Citi Sans Text" w:cs="Aptos"/>
        </w:rPr>
        <w:t>may</w:t>
      </w:r>
      <w:r w:rsidRPr="00BB1B0F">
        <w:rPr>
          <w:rFonts w:ascii="Citi Sans Text" w:eastAsia="Aptos" w:hAnsi="Citi Sans Text" w:cs="Aptos"/>
        </w:rPr>
        <w:t xml:space="preserve"> re-negotiate payment terms </w:t>
      </w:r>
      <w:r w:rsidR="00D53B86">
        <w:rPr>
          <w:rFonts w:ascii="Citi Sans Text" w:eastAsia="Aptos" w:hAnsi="Citi Sans Text" w:cs="Aptos"/>
        </w:rPr>
        <w:t>in the absence of an</w:t>
      </w:r>
      <w:r w:rsidRPr="00BB1B0F">
        <w:rPr>
          <w:rFonts w:ascii="Citi Sans Text" w:eastAsia="Aptos" w:hAnsi="Citi Sans Text" w:cs="Aptos"/>
        </w:rPr>
        <w:t xml:space="preserve"> interest-free period offered by the Issuer.</w:t>
      </w:r>
    </w:p>
    <w:p w14:paraId="1C324668" w14:textId="45804B09" w:rsidR="13E527D6" w:rsidRPr="00BB1B0F" w:rsidRDefault="13E527D6" w:rsidP="627CC2B2">
      <w:pPr>
        <w:spacing w:line="257" w:lineRule="auto"/>
        <w:rPr>
          <w:rFonts w:ascii="Citi Sans Display" w:eastAsia="Aptos" w:hAnsi="Citi Sans Display" w:cs="Aptos"/>
          <w:b/>
          <w:bCs/>
        </w:rPr>
      </w:pPr>
      <w:r w:rsidRPr="00BB1B0F">
        <w:rPr>
          <w:rFonts w:ascii="Citi Sans Display" w:eastAsia="Aptos" w:hAnsi="Citi Sans Display" w:cs="Aptos"/>
          <w:b/>
          <w:bCs/>
        </w:rPr>
        <w:t>5. Citi’s Experience and Product Benefits</w:t>
      </w:r>
    </w:p>
    <w:p w14:paraId="6E9E9F2E" w14:textId="4113D3E3" w:rsidR="13E527D6" w:rsidRPr="00BB1B0F" w:rsidRDefault="13E527D6" w:rsidP="627CC2B2">
      <w:pPr>
        <w:spacing w:line="257" w:lineRule="auto"/>
        <w:rPr>
          <w:rFonts w:ascii="Citi Sans Text" w:eastAsia="Aptos" w:hAnsi="Citi Sans Text" w:cs="Aptos"/>
          <w:b/>
          <w:bCs/>
        </w:rPr>
      </w:pPr>
      <w:r w:rsidRPr="00BB1B0F">
        <w:rPr>
          <w:rFonts w:ascii="Citi Sans Text" w:eastAsia="Aptos" w:hAnsi="Citi Sans Text" w:cs="Aptos"/>
          <w:b/>
          <w:bCs/>
        </w:rPr>
        <w:t>Revenue Components</w:t>
      </w:r>
    </w:p>
    <w:p w14:paraId="6B39B4A4" w14:textId="697548C1" w:rsidR="51B4DEB6" w:rsidRPr="00BB1B0F" w:rsidRDefault="28B1C64C" w:rsidP="2BE44BD7">
      <w:pPr>
        <w:spacing w:after="0"/>
        <w:rPr>
          <w:rFonts w:ascii="Citi Sans Text" w:eastAsia="Aptos" w:hAnsi="Citi Sans Text" w:cs="Aptos"/>
        </w:rPr>
      </w:pPr>
      <w:r w:rsidRPr="733807B9">
        <w:rPr>
          <w:rFonts w:ascii="Citi Sans Text" w:hAnsi="Citi Sans Text"/>
          <w:lang w:val="en-US"/>
        </w:rPr>
        <w:t>C</w:t>
      </w:r>
      <w:r w:rsidR="1F8C8A12" w:rsidRPr="733807B9">
        <w:rPr>
          <w:rFonts w:ascii="Citi Sans Text" w:hAnsi="Citi Sans Text"/>
          <w:lang w:val="en-US"/>
        </w:rPr>
        <w:t xml:space="preserve">ommercial Cards are fundamentally corporate charge cards and differ from consumer credit cards due to the absence of interest income as a primary revenue stream. While clients are </w:t>
      </w:r>
      <w:proofErr w:type="spellStart"/>
      <w:r w:rsidR="1F8C8A12" w:rsidRPr="733807B9">
        <w:rPr>
          <w:rFonts w:ascii="Citi Sans Text" w:hAnsi="Citi Sans Text"/>
          <w:lang w:val="en-US"/>
        </w:rPr>
        <w:t>penali</w:t>
      </w:r>
      <w:r w:rsidR="687AC080" w:rsidRPr="733807B9">
        <w:rPr>
          <w:rFonts w:ascii="Citi Sans Text" w:hAnsi="Citi Sans Text"/>
          <w:lang w:val="en-US"/>
        </w:rPr>
        <w:t>s</w:t>
      </w:r>
      <w:r w:rsidR="1F8C8A12" w:rsidRPr="733807B9">
        <w:rPr>
          <w:rFonts w:ascii="Citi Sans Text" w:hAnsi="Citi Sans Text"/>
          <w:lang w:val="en-US"/>
        </w:rPr>
        <w:t>ed</w:t>
      </w:r>
      <w:proofErr w:type="spellEnd"/>
      <w:r w:rsidR="1F8C8A12" w:rsidRPr="733807B9">
        <w:rPr>
          <w:rFonts w:ascii="Citi Sans Text" w:hAnsi="Citi Sans Text"/>
          <w:lang w:val="en-US"/>
        </w:rPr>
        <w:t xml:space="preserve"> with late payment fees, card suspension, and cancellation if payments are not made on time, Citi proactively works with clients to </w:t>
      </w:r>
      <w:proofErr w:type="spellStart"/>
      <w:r w:rsidR="1F8C8A12" w:rsidRPr="733807B9">
        <w:rPr>
          <w:rFonts w:ascii="Citi Sans Text" w:hAnsi="Citi Sans Text"/>
          <w:lang w:val="en-US"/>
        </w:rPr>
        <w:t>minimi</w:t>
      </w:r>
      <w:r w:rsidR="1B18F306" w:rsidRPr="733807B9">
        <w:rPr>
          <w:rFonts w:ascii="Citi Sans Text" w:hAnsi="Citi Sans Text"/>
          <w:lang w:val="en-US"/>
        </w:rPr>
        <w:t>s</w:t>
      </w:r>
      <w:r w:rsidR="1F8C8A12" w:rsidRPr="733807B9">
        <w:rPr>
          <w:rFonts w:ascii="Citi Sans Text" w:hAnsi="Citi Sans Text"/>
          <w:lang w:val="en-US"/>
        </w:rPr>
        <w:t>e</w:t>
      </w:r>
      <w:proofErr w:type="spellEnd"/>
      <w:r w:rsidR="1F8C8A12" w:rsidRPr="733807B9">
        <w:rPr>
          <w:rFonts w:ascii="Citi Sans Text" w:hAnsi="Citi Sans Text"/>
          <w:lang w:val="en-US"/>
        </w:rPr>
        <w:t xml:space="preserve"> these charges by </w:t>
      </w:r>
      <w:proofErr w:type="spellStart"/>
      <w:r w:rsidR="1F8C8A12" w:rsidRPr="733807B9">
        <w:rPr>
          <w:rFonts w:ascii="Citi Sans Text" w:hAnsi="Citi Sans Text"/>
          <w:lang w:val="en-US"/>
        </w:rPr>
        <w:t>optimi</w:t>
      </w:r>
      <w:r w:rsidR="15CBC8F2" w:rsidRPr="733807B9">
        <w:rPr>
          <w:rFonts w:ascii="Citi Sans Text" w:hAnsi="Citi Sans Text"/>
          <w:lang w:val="en-US"/>
        </w:rPr>
        <w:t>s</w:t>
      </w:r>
      <w:r w:rsidR="1F8C8A12" w:rsidRPr="733807B9">
        <w:rPr>
          <w:rFonts w:ascii="Citi Sans Text" w:hAnsi="Citi Sans Text"/>
          <w:lang w:val="en-US"/>
        </w:rPr>
        <w:t>ing</w:t>
      </w:r>
      <w:proofErr w:type="spellEnd"/>
      <w:r w:rsidR="1F8C8A12" w:rsidRPr="733807B9">
        <w:rPr>
          <w:rFonts w:ascii="Citi Sans Text" w:hAnsi="Citi Sans Text"/>
          <w:lang w:val="en-US"/>
        </w:rPr>
        <w:t xml:space="preserve"> their payment/reconciliation performance and does not treat this as a </w:t>
      </w:r>
      <w:r w:rsidR="00355F16">
        <w:rPr>
          <w:rFonts w:ascii="Citi Sans Text" w:hAnsi="Citi Sans Text"/>
          <w:lang w:val="en-US"/>
        </w:rPr>
        <w:t>primary</w:t>
      </w:r>
      <w:r w:rsidR="00355F16" w:rsidRPr="733807B9">
        <w:rPr>
          <w:rFonts w:ascii="Citi Sans Text" w:hAnsi="Citi Sans Text"/>
          <w:lang w:val="en-US"/>
        </w:rPr>
        <w:t xml:space="preserve"> </w:t>
      </w:r>
      <w:r w:rsidR="1F8C8A12" w:rsidRPr="733807B9">
        <w:rPr>
          <w:rFonts w:ascii="Citi Sans Text" w:hAnsi="Citi Sans Text"/>
          <w:lang w:val="en-US"/>
        </w:rPr>
        <w:t>revenue source.</w:t>
      </w:r>
      <w:r w:rsidR="1F8C8A12" w:rsidRPr="733807B9">
        <w:rPr>
          <w:rFonts w:ascii="Citi Sans Text" w:hAnsi="Citi Sans Text"/>
        </w:rPr>
        <w:t xml:space="preserve"> </w:t>
      </w:r>
    </w:p>
    <w:p w14:paraId="7402BDDA" w14:textId="3D313AC7" w:rsidR="51B4DEB6" w:rsidRPr="00BB1B0F" w:rsidRDefault="1F8C8A12" w:rsidP="2BE44BD7">
      <w:pPr>
        <w:spacing w:after="0"/>
        <w:rPr>
          <w:rFonts w:ascii="Citi Sans Text" w:eastAsia="Aptos" w:hAnsi="Citi Sans Text" w:cs="Aptos"/>
          <w:lang w:val="en-US"/>
        </w:rPr>
      </w:pPr>
      <w:r w:rsidRPr="00BB1B0F">
        <w:rPr>
          <w:rFonts w:ascii="Citi Sans Text" w:hAnsi="Citi Sans Text"/>
          <w:lang w:val="en-US"/>
        </w:rPr>
        <w:t xml:space="preserve"> </w:t>
      </w:r>
    </w:p>
    <w:p w14:paraId="3366DDE5" w14:textId="55EC0F3B" w:rsidR="51B4DEB6" w:rsidRPr="00BB1B0F" w:rsidRDefault="1F8C8A12" w:rsidP="2BE44BD7">
      <w:pPr>
        <w:spacing w:after="0"/>
        <w:rPr>
          <w:rFonts w:ascii="Citi Sans Text" w:eastAsia="Aptos" w:hAnsi="Citi Sans Text" w:cs="Aptos"/>
        </w:rPr>
      </w:pPr>
      <w:r w:rsidRPr="00BB1B0F">
        <w:rPr>
          <w:rFonts w:ascii="Citi Sans Text" w:hAnsi="Citi Sans Text"/>
          <w:lang w:val="en-US"/>
        </w:rPr>
        <w:t xml:space="preserve">The RBA issuer cost study </w:t>
      </w:r>
      <w:r w:rsidRPr="00BB1B0F">
        <w:rPr>
          <w:rFonts w:ascii="Citi Sans Text" w:hAnsi="Citi Sans Text"/>
          <w:vertAlign w:val="superscript"/>
          <w:lang w:val="en-US"/>
        </w:rPr>
        <w:t>(</w:t>
      </w:r>
      <w:r w:rsidR="00575CC3">
        <w:rPr>
          <w:rStyle w:val="FootnoteReference"/>
          <w:lang w:val="en-US"/>
        </w:rPr>
        <w:footnoteReference w:id="2"/>
      </w:r>
      <w:r w:rsidRPr="00BB1B0F">
        <w:rPr>
          <w:rFonts w:ascii="Citi Sans Text" w:hAnsi="Citi Sans Text"/>
          <w:vertAlign w:val="superscript"/>
          <w:lang w:val="en-US"/>
        </w:rPr>
        <w:t>)</w:t>
      </w:r>
      <w:r w:rsidRPr="00BB1B0F">
        <w:rPr>
          <w:rFonts w:ascii="Citi Sans Text" w:hAnsi="Citi Sans Text"/>
          <w:lang w:val="en-US"/>
        </w:rPr>
        <w:t xml:space="preserve"> reports an all in cost of 130bps for Commercial Card Issuers, of which 19bps is deemed eligible costs, including 10bps </w:t>
      </w:r>
      <w:r w:rsidR="00355F16">
        <w:rPr>
          <w:rFonts w:ascii="Citi Sans Text" w:hAnsi="Citi Sans Text"/>
          <w:lang w:val="en-US"/>
        </w:rPr>
        <w:t>for</w:t>
      </w:r>
      <w:r w:rsidRPr="00BB1B0F">
        <w:rPr>
          <w:rFonts w:ascii="Citi Sans Text" w:hAnsi="Citi Sans Text"/>
          <w:lang w:val="en-US"/>
        </w:rPr>
        <w:t xml:space="preserve"> funding interest-free periods. The RBA </w:t>
      </w:r>
      <w:r w:rsidR="00983E8B">
        <w:rPr>
          <w:rFonts w:ascii="Citi Sans Text" w:hAnsi="Citi Sans Text"/>
          <w:lang w:val="en-US"/>
        </w:rPr>
        <w:t xml:space="preserve">states </w:t>
      </w:r>
      <w:r w:rsidRPr="00BB1B0F">
        <w:rPr>
          <w:rFonts w:ascii="Citi Sans Text" w:hAnsi="Citi Sans Text"/>
          <w:lang w:val="en-US"/>
        </w:rPr>
        <w:t>that non-eligible costs which include product development, technology, application processing and setup, statement production, customer service, account management and other costs including compliance</w:t>
      </w:r>
      <w:r w:rsidR="00355F16">
        <w:rPr>
          <w:rFonts w:ascii="Citi Sans Text" w:hAnsi="Citi Sans Text"/>
          <w:lang w:val="en-US"/>
        </w:rPr>
        <w:t>,</w:t>
      </w:r>
      <w:r w:rsidR="379FDB5C" w:rsidRPr="00BB1B0F">
        <w:rPr>
          <w:rFonts w:ascii="Citi Sans Text" w:hAnsi="Citi Sans Text"/>
          <w:lang w:val="en-US"/>
        </w:rPr>
        <w:t xml:space="preserve"> as well as r</w:t>
      </w:r>
      <w:r w:rsidR="56E4EA1A" w:rsidRPr="00BB1B0F">
        <w:rPr>
          <w:rFonts w:ascii="Citi Sans Text" w:hAnsi="Citi Sans Text"/>
          <w:lang w:val="en-US"/>
        </w:rPr>
        <w:t>emaining non-</w:t>
      </w:r>
      <w:r w:rsidR="5FAC6C78" w:rsidRPr="00BB1B0F">
        <w:rPr>
          <w:rFonts w:ascii="Citi Sans Text" w:hAnsi="Citi Sans Text"/>
          <w:lang w:val="en-US"/>
        </w:rPr>
        <w:t>eligible</w:t>
      </w:r>
      <w:r w:rsidR="56E4EA1A" w:rsidRPr="00BB1B0F">
        <w:rPr>
          <w:rFonts w:ascii="Citi Sans Text" w:hAnsi="Citi Sans Text"/>
          <w:lang w:val="en-US"/>
        </w:rPr>
        <w:t xml:space="preserve"> costs</w:t>
      </w:r>
      <w:r w:rsidR="00355F16">
        <w:rPr>
          <w:rFonts w:ascii="Citi Sans Text" w:hAnsi="Citi Sans Text"/>
          <w:lang w:val="en-US"/>
        </w:rPr>
        <w:t>,</w:t>
      </w:r>
      <w:r w:rsidRPr="00BB1B0F">
        <w:rPr>
          <w:rFonts w:ascii="Citi Sans Text" w:hAnsi="Citi Sans Text"/>
          <w:lang w:val="en-US"/>
        </w:rPr>
        <w:t xml:space="preserve"> can be recouped through revenue streams outside of interchange.  The RBA suggests that issuers could recover non</w:t>
      </w:r>
      <w:r w:rsidR="64B03D08" w:rsidRPr="00BB1B0F">
        <w:rPr>
          <w:rFonts w:ascii="Citi Sans Text" w:hAnsi="Citi Sans Text"/>
          <w:lang w:val="en-US"/>
        </w:rPr>
        <w:t>-</w:t>
      </w:r>
      <w:r w:rsidRPr="00BB1B0F">
        <w:rPr>
          <w:rFonts w:ascii="Citi Sans Text" w:hAnsi="Citi Sans Text"/>
          <w:lang w:val="en-US"/>
        </w:rPr>
        <w:t xml:space="preserve">eligible costs via higher cardholder fees, higher interest rates, or shortening interest-free periods. Due to the </w:t>
      </w:r>
      <w:r w:rsidR="00355F16">
        <w:rPr>
          <w:rFonts w:ascii="Citi Sans Text" w:hAnsi="Citi Sans Text"/>
          <w:lang w:val="en-US"/>
        </w:rPr>
        <w:t>fundamental nature of the product</w:t>
      </w:r>
      <w:r w:rsidRPr="00BB1B0F">
        <w:rPr>
          <w:rFonts w:ascii="Citi Sans Text" w:hAnsi="Citi Sans Text"/>
          <w:lang w:val="en-US"/>
        </w:rPr>
        <w:t>, charging higher interest rates is not a</w:t>
      </w:r>
      <w:r w:rsidR="00355F16">
        <w:rPr>
          <w:rFonts w:ascii="Citi Sans Text" w:hAnsi="Citi Sans Text"/>
          <w:lang w:val="en-US"/>
        </w:rPr>
        <w:t xml:space="preserve"> compatible </w:t>
      </w:r>
      <w:r w:rsidRPr="00BB1B0F">
        <w:rPr>
          <w:rFonts w:ascii="Citi Sans Text" w:hAnsi="Citi Sans Text"/>
          <w:lang w:val="en-US"/>
        </w:rPr>
        <w:t xml:space="preserve">option and would not align </w:t>
      </w:r>
      <w:r w:rsidRPr="00BB1B0F">
        <w:rPr>
          <w:rFonts w:ascii="Citi Sans Text" w:hAnsi="Citi Sans Text"/>
          <w:lang w:val="en-US"/>
        </w:rPr>
        <w:lastRenderedPageBreak/>
        <w:t>with the mindset of procurement departments, who view cards as cost and payment optimization tools.</w:t>
      </w:r>
      <w:r w:rsidRPr="00BB1B0F">
        <w:rPr>
          <w:rFonts w:ascii="Citi Sans Text" w:hAnsi="Citi Sans Text"/>
        </w:rPr>
        <w:t xml:space="preserve"> </w:t>
      </w:r>
    </w:p>
    <w:p w14:paraId="5CA721CD" w14:textId="330E89E4" w:rsidR="51B4DEB6" w:rsidRPr="00BB1B0F" w:rsidRDefault="1F8C8A12" w:rsidP="2BE44BD7">
      <w:pPr>
        <w:spacing w:after="0"/>
        <w:rPr>
          <w:rFonts w:ascii="Citi Sans Text" w:eastAsia="Aptos" w:hAnsi="Citi Sans Text" w:cs="Aptos"/>
        </w:rPr>
      </w:pPr>
      <w:r w:rsidRPr="00BB1B0F">
        <w:rPr>
          <w:rFonts w:ascii="Citi Sans Text" w:hAnsi="Citi Sans Text"/>
        </w:rPr>
        <w:t xml:space="preserve"> </w:t>
      </w:r>
    </w:p>
    <w:p w14:paraId="71912FF4" w14:textId="52A22E1F" w:rsidR="51B4DEB6" w:rsidRPr="00BB1B0F" w:rsidRDefault="1F8C8A12" w:rsidP="2BE44BD7">
      <w:pPr>
        <w:spacing w:after="0"/>
        <w:rPr>
          <w:rFonts w:ascii="Citi Sans Text" w:hAnsi="Citi Sans Text"/>
        </w:rPr>
      </w:pPr>
      <w:r w:rsidRPr="67DC2A67">
        <w:rPr>
          <w:rFonts w:ascii="Citi Sans Text" w:hAnsi="Citi Sans Text"/>
        </w:rPr>
        <w:t xml:space="preserve">The Issuer cost survey has also calculated the cost of funding interest free periods, based on historic </w:t>
      </w:r>
      <w:r w:rsidR="00355F16">
        <w:rPr>
          <w:rFonts w:ascii="Citi Sans Text" w:hAnsi="Citi Sans Text"/>
        </w:rPr>
        <w:t>three-</w:t>
      </w:r>
      <w:r w:rsidRPr="67DC2A67">
        <w:rPr>
          <w:rFonts w:ascii="Citi Sans Text" w:hAnsi="Citi Sans Text"/>
        </w:rPr>
        <w:t xml:space="preserve">year </w:t>
      </w:r>
      <w:r w:rsidR="3BF3C84F" w:rsidRPr="67DC2A67">
        <w:rPr>
          <w:rFonts w:ascii="Citi Sans Text" w:hAnsi="Citi Sans Text"/>
        </w:rPr>
        <w:t>average cash</w:t>
      </w:r>
      <w:r w:rsidRPr="67DC2A67">
        <w:rPr>
          <w:rFonts w:ascii="Citi Sans Text" w:hAnsi="Citi Sans Text"/>
        </w:rPr>
        <w:t xml:space="preserve"> rate, which would have encompassed the period in which the target cash rate was 10bps.   Citi maintains that this is not an accurate reflection of the true cost of funding in a </w:t>
      </w:r>
      <w:r w:rsidR="719D634C" w:rsidRPr="67DC2A67">
        <w:rPr>
          <w:rFonts w:ascii="Citi Sans Text" w:hAnsi="Citi Sans Text"/>
        </w:rPr>
        <w:t>business-as-usual</w:t>
      </w:r>
      <w:r w:rsidRPr="67DC2A67">
        <w:rPr>
          <w:rFonts w:ascii="Citi Sans Text" w:hAnsi="Citi Sans Text"/>
        </w:rPr>
        <w:t xml:space="preserve"> scenario.   Based on the last </w:t>
      </w:r>
      <w:r w:rsidR="00355F16">
        <w:rPr>
          <w:rFonts w:ascii="Citi Sans Text" w:hAnsi="Citi Sans Text"/>
        </w:rPr>
        <w:t>three</w:t>
      </w:r>
      <w:r w:rsidR="00355F16" w:rsidRPr="67DC2A67">
        <w:rPr>
          <w:rFonts w:ascii="Citi Sans Text" w:hAnsi="Citi Sans Text"/>
        </w:rPr>
        <w:t xml:space="preserve"> </w:t>
      </w:r>
      <w:r w:rsidR="00070482" w:rsidRPr="67DC2A67">
        <w:rPr>
          <w:rFonts w:ascii="Citi Sans Text" w:hAnsi="Citi Sans Text"/>
        </w:rPr>
        <w:t>years</w:t>
      </w:r>
      <w:r w:rsidR="00355F16">
        <w:rPr>
          <w:rFonts w:ascii="Citi Sans Text" w:hAnsi="Citi Sans Text"/>
        </w:rPr>
        <w:t>’</w:t>
      </w:r>
      <w:r w:rsidR="7A6B5DD4" w:rsidRPr="67DC2A67">
        <w:rPr>
          <w:rFonts w:ascii="Citi Sans Text" w:hAnsi="Citi Sans Text"/>
        </w:rPr>
        <w:t xml:space="preserve"> average </w:t>
      </w:r>
      <w:r w:rsidRPr="67DC2A67">
        <w:rPr>
          <w:rFonts w:ascii="Citi Sans Text" w:hAnsi="Citi Sans Text"/>
        </w:rPr>
        <w:t>cash rate</w:t>
      </w:r>
      <w:r w:rsidR="288176F6" w:rsidRPr="67DC2A67">
        <w:rPr>
          <w:rFonts w:ascii="Citi Sans Text" w:hAnsi="Citi Sans Text"/>
        </w:rPr>
        <w:t xml:space="preserve"> (July 2022-June 2025)</w:t>
      </w:r>
      <w:r w:rsidRPr="67DC2A67">
        <w:rPr>
          <w:rFonts w:ascii="Citi Sans Text" w:hAnsi="Citi Sans Text"/>
        </w:rPr>
        <w:t xml:space="preserve">, Citi calculates cost of funding </w:t>
      </w:r>
      <w:r w:rsidR="00355F16">
        <w:rPr>
          <w:rFonts w:ascii="Citi Sans Text" w:hAnsi="Citi Sans Text"/>
        </w:rPr>
        <w:t>to</w:t>
      </w:r>
      <w:r w:rsidR="00355F16" w:rsidRPr="67DC2A67">
        <w:rPr>
          <w:rFonts w:ascii="Citi Sans Text" w:hAnsi="Citi Sans Text"/>
        </w:rPr>
        <w:t xml:space="preserve"> </w:t>
      </w:r>
      <w:r w:rsidRPr="67DC2A67">
        <w:rPr>
          <w:rFonts w:ascii="Citi Sans Text" w:hAnsi="Citi Sans Text"/>
        </w:rPr>
        <w:t xml:space="preserve">be </w:t>
      </w:r>
      <w:r w:rsidR="007456A6">
        <w:rPr>
          <w:rFonts w:ascii="Citi Sans Text" w:hAnsi="Citi Sans Text"/>
        </w:rPr>
        <w:t>significantly higher than 10bps.</w:t>
      </w:r>
      <w:r w:rsidR="007456A6" w:rsidRPr="67DC2A67">
        <w:rPr>
          <w:rFonts w:ascii="Citi Sans Text" w:hAnsi="Citi Sans Text"/>
        </w:rPr>
        <w:t xml:space="preserve">   </w:t>
      </w:r>
      <w:r w:rsidRPr="67DC2A67">
        <w:rPr>
          <w:rFonts w:ascii="Citi Sans Text" w:hAnsi="Citi Sans Text"/>
        </w:rPr>
        <w:t xml:space="preserve">As highlighted elsewhere in the paper, the benefits of the interest free period </w:t>
      </w:r>
      <w:r w:rsidR="00355F16">
        <w:rPr>
          <w:rFonts w:ascii="Citi Sans Text" w:hAnsi="Citi Sans Text"/>
        </w:rPr>
        <w:t>are</w:t>
      </w:r>
      <w:r w:rsidR="00355F16" w:rsidRPr="67DC2A67">
        <w:rPr>
          <w:rFonts w:ascii="Citi Sans Text" w:hAnsi="Citi Sans Text"/>
        </w:rPr>
        <w:t xml:space="preserve"> </w:t>
      </w:r>
      <w:r w:rsidRPr="67DC2A67">
        <w:rPr>
          <w:rFonts w:ascii="Citi Sans Text" w:hAnsi="Citi Sans Text"/>
        </w:rPr>
        <w:t>shared between the buyer and merchant, based on improved payment terms, and shorter cash settlement cycles.</w:t>
      </w:r>
    </w:p>
    <w:p w14:paraId="218FB31E" w14:textId="256F196C" w:rsidR="627CC2B2" w:rsidRPr="00BB1B0F" w:rsidRDefault="627CC2B2" w:rsidP="627CC2B2">
      <w:pPr>
        <w:spacing w:line="257" w:lineRule="auto"/>
        <w:rPr>
          <w:rFonts w:ascii="Citi Sans Text" w:eastAsia="Aptos" w:hAnsi="Citi Sans Text" w:cs="Aptos"/>
        </w:rPr>
      </w:pPr>
    </w:p>
    <w:p w14:paraId="43D5620E" w14:textId="512A61D5" w:rsidR="13E527D6" w:rsidRPr="00BB1B0F" w:rsidRDefault="13E527D6" w:rsidP="011C8A50">
      <w:pPr>
        <w:spacing w:line="257" w:lineRule="auto"/>
        <w:rPr>
          <w:rFonts w:ascii="Citi Sans Text" w:eastAsia="Aptos" w:hAnsi="Citi Sans Text" w:cs="Aptos"/>
        </w:rPr>
      </w:pPr>
      <w:r w:rsidRPr="00BB1B0F">
        <w:rPr>
          <w:rFonts w:ascii="Citi Sans Text" w:eastAsia="Aptos" w:hAnsi="Citi Sans Text" w:cs="Aptos"/>
        </w:rPr>
        <w:t xml:space="preserve">A reduction in Commercial Card interchange to 30 bps would </w:t>
      </w:r>
      <w:r w:rsidR="12E9B952" w:rsidRPr="00BB1B0F">
        <w:rPr>
          <w:rFonts w:ascii="Citi Sans Text" w:eastAsia="Aptos" w:hAnsi="Citi Sans Text" w:cs="Aptos"/>
        </w:rPr>
        <w:t xml:space="preserve">potentially </w:t>
      </w:r>
      <w:r w:rsidRPr="00BB1B0F">
        <w:rPr>
          <w:rFonts w:ascii="Citi Sans Text" w:eastAsia="Aptos" w:hAnsi="Citi Sans Text" w:cs="Aptos"/>
        </w:rPr>
        <w:t>render the product financially unviable given these associated costs.</w:t>
      </w:r>
    </w:p>
    <w:p w14:paraId="07F6BE17" w14:textId="1701967A" w:rsidR="13E527D6" w:rsidRPr="00BB1B0F" w:rsidRDefault="13E527D6" w:rsidP="011C8A50">
      <w:pPr>
        <w:spacing w:line="257" w:lineRule="auto"/>
        <w:rPr>
          <w:rFonts w:ascii="Citi Sans Text" w:eastAsia="Aptos" w:hAnsi="Citi Sans Text" w:cs="Aptos"/>
          <w:b/>
          <w:bCs/>
        </w:rPr>
      </w:pPr>
      <w:r w:rsidRPr="00BB1B0F">
        <w:rPr>
          <w:rFonts w:ascii="Citi Sans Text" w:eastAsia="Aptos" w:hAnsi="Citi Sans Text" w:cs="Aptos"/>
          <w:b/>
          <w:bCs/>
        </w:rPr>
        <w:t xml:space="preserve"> </w:t>
      </w:r>
    </w:p>
    <w:p w14:paraId="27E01FB1" w14:textId="4105D26D" w:rsidR="13E527D6" w:rsidRPr="00BB1B0F" w:rsidRDefault="13E527D6" w:rsidP="011C8A50">
      <w:pPr>
        <w:spacing w:line="257" w:lineRule="auto"/>
        <w:rPr>
          <w:rFonts w:ascii="Citi Sans Text" w:eastAsia="Aptos" w:hAnsi="Citi Sans Text" w:cs="Aptos"/>
          <w:b/>
          <w:bCs/>
        </w:rPr>
      </w:pPr>
      <w:r w:rsidRPr="00BB1B0F">
        <w:rPr>
          <w:rFonts w:ascii="Citi Sans Text" w:eastAsia="Aptos" w:hAnsi="Citi Sans Text" w:cs="Aptos"/>
          <w:b/>
          <w:bCs/>
        </w:rPr>
        <w:t>Benefits for Businesses</w:t>
      </w:r>
    </w:p>
    <w:p w14:paraId="31C39034" w14:textId="2390FA17" w:rsidR="13E527D6" w:rsidRPr="00BB1B0F" w:rsidRDefault="4BCEDF94" w:rsidP="011C8A50">
      <w:pPr>
        <w:spacing w:line="257" w:lineRule="auto"/>
        <w:rPr>
          <w:rFonts w:ascii="Citi Sans Text" w:eastAsia="Aptos" w:hAnsi="Citi Sans Text" w:cs="Aptos"/>
        </w:rPr>
      </w:pPr>
      <w:r w:rsidRPr="733807B9">
        <w:rPr>
          <w:rFonts w:ascii="Citi Sans Text" w:eastAsia="Aptos" w:hAnsi="Citi Sans Text" w:cs="Aptos"/>
        </w:rPr>
        <w:t xml:space="preserve">Commercial Cards provide not just a payment solution but also transactional data and reporting capabilities that enable integration with Expense Management Systems (EMS) and Enterprise Resource Planning (ERP) systems. These integrations streamline </w:t>
      </w:r>
      <w:r w:rsidR="5EAC0E1D" w:rsidRPr="733807B9">
        <w:rPr>
          <w:rFonts w:ascii="Citi Sans Text" w:eastAsia="Aptos" w:hAnsi="Citi Sans Text" w:cs="Aptos"/>
        </w:rPr>
        <w:t xml:space="preserve">a </w:t>
      </w:r>
      <w:r w:rsidRPr="733807B9">
        <w:rPr>
          <w:rFonts w:ascii="Citi Sans Text" w:eastAsia="Aptos" w:hAnsi="Citi Sans Text" w:cs="Aptos"/>
        </w:rPr>
        <w:t>company’s internal processes, bringing significant efficiencies to Institutions, which, in turn, accelerate the digiti</w:t>
      </w:r>
      <w:r w:rsidR="7531FA8D" w:rsidRPr="733807B9">
        <w:rPr>
          <w:rFonts w:ascii="Citi Sans Text" w:eastAsia="Aptos" w:hAnsi="Citi Sans Text" w:cs="Aptos"/>
        </w:rPr>
        <w:t>s</w:t>
      </w:r>
      <w:r w:rsidRPr="733807B9">
        <w:rPr>
          <w:rFonts w:ascii="Citi Sans Text" w:eastAsia="Aptos" w:hAnsi="Citi Sans Text" w:cs="Aptos"/>
        </w:rPr>
        <w:t>ation of the economy.</w:t>
      </w:r>
    </w:p>
    <w:p w14:paraId="1E626F4B" w14:textId="00BEBFF7" w:rsidR="13E527D6" w:rsidRPr="00BB1B0F" w:rsidRDefault="13E527D6" w:rsidP="011C8A50">
      <w:pPr>
        <w:spacing w:line="257" w:lineRule="auto"/>
        <w:rPr>
          <w:rFonts w:ascii="Citi Sans Text" w:eastAsia="Aptos" w:hAnsi="Citi Sans Text" w:cs="Aptos"/>
        </w:rPr>
      </w:pPr>
      <w:r w:rsidRPr="00BB1B0F">
        <w:rPr>
          <w:rFonts w:ascii="Citi Sans Text" w:eastAsia="Aptos" w:hAnsi="Citi Sans Text" w:cs="Aptos"/>
        </w:rPr>
        <w:t xml:space="preserve">Data analysis and reporting embedded within these products are key differentiators between consumer credit cards and Commercial Cards. The continuous investments required in developing and maintaining these value-added services translate into considerably more </w:t>
      </w:r>
      <w:r w:rsidR="00355F16">
        <w:rPr>
          <w:rFonts w:ascii="Citi Sans Text" w:eastAsia="Aptos" w:hAnsi="Citi Sans Text" w:cs="Aptos"/>
        </w:rPr>
        <w:t xml:space="preserve">unavoidable </w:t>
      </w:r>
      <w:r w:rsidRPr="00BB1B0F">
        <w:rPr>
          <w:rFonts w:ascii="Citi Sans Text" w:eastAsia="Aptos" w:hAnsi="Citi Sans Text" w:cs="Aptos"/>
        </w:rPr>
        <w:t>expenses than consumer card offerings.</w:t>
      </w:r>
    </w:p>
    <w:p w14:paraId="38E27D52" w14:textId="04C44624" w:rsidR="13E527D6" w:rsidRPr="00BB1B0F" w:rsidRDefault="13E527D6" w:rsidP="011C8A50">
      <w:pPr>
        <w:spacing w:line="257" w:lineRule="auto"/>
        <w:rPr>
          <w:rFonts w:ascii="Citi Sans Text" w:eastAsia="Aptos" w:hAnsi="Citi Sans Text" w:cs="Aptos"/>
        </w:rPr>
      </w:pPr>
      <w:r w:rsidRPr="00BB1B0F">
        <w:rPr>
          <w:rFonts w:ascii="Citi Sans Text" w:eastAsia="Aptos" w:hAnsi="Citi Sans Text" w:cs="Aptos"/>
        </w:rPr>
        <w:t>Commercial Cards provide working capital benefits to both merchants and buyers, including small businesses. The product offers immediate access to fund</w:t>
      </w:r>
      <w:r w:rsidR="10D10B7D" w:rsidRPr="00BB1B0F">
        <w:rPr>
          <w:rFonts w:ascii="Citi Sans Text" w:eastAsia="Aptos" w:hAnsi="Citi Sans Text" w:cs="Aptos"/>
        </w:rPr>
        <w:t>s</w:t>
      </w:r>
      <w:r w:rsidRPr="00BB1B0F">
        <w:rPr>
          <w:rFonts w:ascii="Citi Sans Text" w:eastAsia="Aptos" w:hAnsi="Citi Sans Text" w:cs="Aptos"/>
        </w:rPr>
        <w:t xml:space="preserve"> for the merchant</w:t>
      </w:r>
      <w:r w:rsidR="2D8CE219" w:rsidRPr="00BB1B0F">
        <w:rPr>
          <w:rFonts w:ascii="Citi Sans Text" w:eastAsia="Aptos" w:hAnsi="Citi Sans Text" w:cs="Aptos"/>
        </w:rPr>
        <w:t xml:space="preserve"> (that are available directly on their bank account)</w:t>
      </w:r>
      <w:r w:rsidRPr="00BB1B0F">
        <w:rPr>
          <w:rFonts w:ascii="Citi Sans Text" w:eastAsia="Aptos" w:hAnsi="Citi Sans Text" w:cs="Aptos"/>
        </w:rPr>
        <w:t>, a valuable outcome, particularly for small and medium-sized businesses. For example, in the travel sector, agents rely on the immediacy of payments facilitated by Commercial Cards to enable their business. This is a significant benefit, particularly in a high-interest rate environment, and is funded via the interchange.</w:t>
      </w:r>
    </w:p>
    <w:p w14:paraId="4A3F5B0F" w14:textId="0F46256E" w:rsidR="13E527D6" w:rsidRPr="00BB1B0F" w:rsidRDefault="13E527D6" w:rsidP="011C8A50">
      <w:pPr>
        <w:spacing w:line="257" w:lineRule="auto"/>
        <w:rPr>
          <w:rFonts w:ascii="Citi Sans Text" w:eastAsia="Aptos" w:hAnsi="Citi Sans Text" w:cs="Aptos"/>
        </w:rPr>
      </w:pPr>
      <w:r w:rsidRPr="00BB1B0F">
        <w:rPr>
          <w:rFonts w:ascii="Citi Sans Text" w:eastAsia="Aptos" w:hAnsi="Citi Sans Text" w:cs="Aptos"/>
        </w:rPr>
        <w:t>Commercial Cards provide substantial benefits to merchants, including:</w:t>
      </w:r>
    </w:p>
    <w:p w14:paraId="421377C1" w14:textId="36BD9707" w:rsidR="13E527D6" w:rsidRPr="00BB1B0F" w:rsidRDefault="4BCEDF94" w:rsidP="2BE44BD7">
      <w:pPr>
        <w:pStyle w:val="ListParagraph"/>
        <w:numPr>
          <w:ilvl w:val="0"/>
          <w:numId w:val="1"/>
        </w:numPr>
        <w:spacing w:after="0" w:line="257" w:lineRule="auto"/>
        <w:rPr>
          <w:rFonts w:ascii="Citi Sans Text" w:eastAsia="Aptos" w:hAnsi="Citi Sans Text" w:cs="Aptos"/>
        </w:rPr>
      </w:pPr>
      <w:r w:rsidRPr="00BB1B0F">
        <w:rPr>
          <w:rFonts w:ascii="Citi Sans Text" w:eastAsia="Aptos" w:hAnsi="Citi Sans Text" w:cs="Aptos"/>
        </w:rPr>
        <w:t>Guaranteed receipt of funds, reducing bad debt costs.</w:t>
      </w:r>
    </w:p>
    <w:p w14:paraId="352501F5" w14:textId="0FFE53CF" w:rsidR="13E527D6" w:rsidRPr="00BB1B0F" w:rsidRDefault="437F0DD6" w:rsidP="2BE44BD7">
      <w:pPr>
        <w:pStyle w:val="ListParagraph"/>
        <w:numPr>
          <w:ilvl w:val="0"/>
          <w:numId w:val="1"/>
        </w:numPr>
        <w:spacing w:after="0" w:line="257" w:lineRule="auto"/>
        <w:rPr>
          <w:rFonts w:ascii="Citi Sans Text" w:eastAsia="Aptos" w:hAnsi="Citi Sans Text" w:cs="Aptos"/>
        </w:rPr>
      </w:pPr>
      <w:r w:rsidRPr="00BB1B0F">
        <w:rPr>
          <w:rFonts w:ascii="Citi Sans Text" w:eastAsia="Aptos" w:hAnsi="Citi Sans Text" w:cs="Aptos"/>
        </w:rPr>
        <w:t>Reduction in manual processing errors.</w:t>
      </w:r>
    </w:p>
    <w:p w14:paraId="719715DA" w14:textId="261E6EE3" w:rsidR="13E527D6" w:rsidRPr="00BB1B0F" w:rsidRDefault="437F0DD6" w:rsidP="2BE44BD7">
      <w:pPr>
        <w:pStyle w:val="ListParagraph"/>
        <w:numPr>
          <w:ilvl w:val="0"/>
          <w:numId w:val="1"/>
        </w:numPr>
        <w:spacing w:after="0" w:line="257" w:lineRule="auto"/>
        <w:rPr>
          <w:rFonts w:ascii="Citi Sans Text" w:eastAsia="Aptos" w:hAnsi="Citi Sans Text" w:cs="Aptos"/>
        </w:rPr>
      </w:pPr>
      <w:r w:rsidRPr="00BB1B0F">
        <w:rPr>
          <w:rFonts w:ascii="Citi Sans Text" w:eastAsia="Aptos" w:hAnsi="Citi Sans Text" w:cs="Aptos"/>
        </w:rPr>
        <w:t>Reduction of cash collection costs and faster crediting of funds to merchant accounts.</w:t>
      </w:r>
    </w:p>
    <w:p w14:paraId="58242E80" w14:textId="160F56ED" w:rsidR="13E527D6" w:rsidRPr="00BB1B0F" w:rsidRDefault="437F0DD6" w:rsidP="2BE44BD7">
      <w:pPr>
        <w:pStyle w:val="ListParagraph"/>
        <w:numPr>
          <w:ilvl w:val="0"/>
          <w:numId w:val="1"/>
        </w:numPr>
        <w:spacing w:after="0" w:line="257" w:lineRule="auto"/>
        <w:rPr>
          <w:rFonts w:ascii="Citi Sans Text" w:eastAsia="Aptos" w:hAnsi="Citi Sans Text" w:cs="Aptos"/>
        </w:rPr>
      </w:pPr>
      <w:r w:rsidRPr="00BB1B0F">
        <w:rPr>
          <w:rFonts w:ascii="Citi Sans Text" w:eastAsia="Aptos" w:hAnsi="Citi Sans Text" w:cs="Aptos"/>
        </w:rPr>
        <w:t>Displacement of cash payments (minimi</w:t>
      </w:r>
      <w:r w:rsidR="55C3DAA3" w:rsidRPr="00BB1B0F">
        <w:rPr>
          <w:rFonts w:ascii="Citi Sans Text" w:eastAsia="Aptos" w:hAnsi="Citi Sans Text" w:cs="Aptos"/>
        </w:rPr>
        <w:t>s</w:t>
      </w:r>
      <w:r w:rsidRPr="00BB1B0F">
        <w:rPr>
          <w:rFonts w:ascii="Citi Sans Text" w:eastAsia="Aptos" w:hAnsi="Citi Sans Text" w:cs="Aptos"/>
        </w:rPr>
        <w:t>ing the grey economy).</w:t>
      </w:r>
    </w:p>
    <w:p w14:paraId="70223017" w14:textId="581214B5" w:rsidR="13E527D6" w:rsidRPr="00BB1B0F" w:rsidRDefault="437F0DD6" w:rsidP="2BE44BD7">
      <w:pPr>
        <w:pStyle w:val="ListParagraph"/>
        <w:numPr>
          <w:ilvl w:val="0"/>
          <w:numId w:val="1"/>
        </w:numPr>
        <w:spacing w:after="0" w:line="257" w:lineRule="auto"/>
        <w:rPr>
          <w:rFonts w:ascii="Citi Sans Text" w:eastAsia="Aptos" w:hAnsi="Citi Sans Text" w:cs="Aptos"/>
        </w:rPr>
      </w:pPr>
      <w:r w:rsidRPr="00BB1B0F">
        <w:rPr>
          <w:rFonts w:ascii="Citi Sans Text" w:eastAsia="Aptos" w:hAnsi="Citi Sans Text" w:cs="Aptos"/>
        </w:rPr>
        <w:t>Reduction in payment terms as institutional buyers utili</w:t>
      </w:r>
      <w:r w:rsidR="16653B0F" w:rsidRPr="00BB1B0F">
        <w:rPr>
          <w:rFonts w:ascii="Citi Sans Text" w:eastAsia="Aptos" w:hAnsi="Citi Sans Text" w:cs="Aptos"/>
        </w:rPr>
        <w:t>s</w:t>
      </w:r>
      <w:r w:rsidRPr="00BB1B0F">
        <w:rPr>
          <w:rFonts w:ascii="Citi Sans Text" w:eastAsia="Aptos" w:hAnsi="Citi Sans Text" w:cs="Aptos"/>
        </w:rPr>
        <w:t>e the issuing bank’s credit</w:t>
      </w:r>
      <w:r w:rsidR="00355F16">
        <w:rPr>
          <w:rFonts w:ascii="Citi Sans Text" w:eastAsia="Aptos" w:hAnsi="Citi Sans Text" w:cs="Aptos"/>
        </w:rPr>
        <w:t>.</w:t>
      </w:r>
    </w:p>
    <w:p w14:paraId="293AB893" w14:textId="3F3940D5" w:rsidR="627CC2B2" w:rsidRPr="00BB1B0F" w:rsidRDefault="627CC2B2" w:rsidP="011C8A50">
      <w:pPr>
        <w:pStyle w:val="ListParagraph"/>
        <w:spacing w:after="0" w:line="257" w:lineRule="auto"/>
        <w:rPr>
          <w:rFonts w:ascii="Citi Sans Text" w:eastAsia="Aptos" w:hAnsi="Citi Sans Text" w:cs="Aptos"/>
        </w:rPr>
      </w:pPr>
    </w:p>
    <w:p w14:paraId="487C5367" w14:textId="12709BD5" w:rsidR="13E527D6" w:rsidRPr="00BB1B0F" w:rsidRDefault="437F0DD6" w:rsidP="627CC2B2">
      <w:pPr>
        <w:spacing w:line="257" w:lineRule="auto"/>
        <w:rPr>
          <w:rFonts w:ascii="Citi Sans Text" w:eastAsia="Aptos" w:hAnsi="Citi Sans Text" w:cs="Aptos"/>
        </w:rPr>
      </w:pPr>
      <w:r w:rsidRPr="00BB1B0F">
        <w:rPr>
          <w:rFonts w:ascii="Citi Sans Text" w:eastAsia="Aptos" w:hAnsi="Citi Sans Text" w:cs="Aptos"/>
        </w:rPr>
        <w:t xml:space="preserve">Buyers rely on the interest-free period to make timely payments to their merchants. While the RBA maintains that the buyer benefits from the interest-free period, should this benefit be removed, buyers </w:t>
      </w:r>
      <w:r w:rsidR="61FBFD31" w:rsidRPr="00BB1B0F">
        <w:rPr>
          <w:rFonts w:ascii="Citi Sans Text" w:eastAsia="Aptos" w:hAnsi="Citi Sans Text" w:cs="Aptos"/>
        </w:rPr>
        <w:t>could</w:t>
      </w:r>
      <w:r w:rsidRPr="00BB1B0F">
        <w:rPr>
          <w:rFonts w:ascii="Citi Sans Text" w:eastAsia="Aptos" w:hAnsi="Citi Sans Text" w:cs="Aptos"/>
        </w:rPr>
        <w:t xml:space="preserve"> renegotiate payment terms with their merchants, to the merchants' detriment. Within the current ecosystem, merchants are willing to pay for better payment terms, as demonstrated with Buy Now Pay Later services or transacting with Payment Facilitators to receive shorter payment cycles.</w:t>
      </w:r>
    </w:p>
    <w:p w14:paraId="5F327160" w14:textId="7CD6E4A6" w:rsidR="13E527D6" w:rsidRPr="00BB1B0F" w:rsidRDefault="437F0DD6" w:rsidP="2BE44BD7">
      <w:pPr>
        <w:spacing w:line="257" w:lineRule="auto"/>
        <w:rPr>
          <w:rFonts w:ascii="Citi Sans Text" w:eastAsia="Aptos" w:hAnsi="Citi Sans Text" w:cs="Aptos"/>
          <w:b/>
          <w:bCs/>
        </w:rPr>
      </w:pPr>
      <w:r w:rsidRPr="00BB1B0F">
        <w:rPr>
          <w:rFonts w:ascii="Citi Sans Text" w:eastAsia="Aptos" w:hAnsi="Citi Sans Text" w:cs="Aptos"/>
          <w:b/>
          <w:bCs/>
        </w:rPr>
        <w:lastRenderedPageBreak/>
        <w:t>Benefits for Employees</w:t>
      </w:r>
    </w:p>
    <w:p w14:paraId="19AE990D" w14:textId="1952BA55"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 xml:space="preserve">Commercial Cards shift the credit liability for reimbursable business expenses from the employee (who might use a personal credit card) to the corporate client or employer, thereby removing credit risk for employees. An unintended consequence of reducing Commercial Card interchange and the resultant exit of participants could be that businesses are forced to revert to requiring </w:t>
      </w:r>
      <w:proofErr w:type="spellStart"/>
      <w:r w:rsidR="63FD1BDF" w:rsidRPr="00BB1B0F">
        <w:rPr>
          <w:rFonts w:ascii="Citi Sans Text" w:eastAsia="Aptos" w:hAnsi="Citi Sans Text" w:cs="Aptos"/>
        </w:rPr>
        <w:t>employees</w:t>
      </w:r>
      <w:proofErr w:type="spellEnd"/>
      <w:r w:rsidR="63FD1BDF" w:rsidRPr="00BB1B0F">
        <w:rPr>
          <w:rFonts w:ascii="Citi Sans Text" w:eastAsia="Aptos" w:hAnsi="Citi Sans Text" w:cs="Aptos"/>
        </w:rPr>
        <w:t xml:space="preserve"> </w:t>
      </w:r>
      <w:r w:rsidRPr="00BB1B0F">
        <w:rPr>
          <w:rFonts w:ascii="Citi Sans Text" w:eastAsia="Aptos" w:hAnsi="Citi Sans Text" w:cs="Aptos"/>
        </w:rPr>
        <w:t xml:space="preserve">to pay for business expenses, followed by an inefficient expense reimbursement process. </w:t>
      </w:r>
    </w:p>
    <w:p w14:paraId="7B397C48" w14:textId="720566EA" w:rsidR="13E527D6" w:rsidRPr="00BB1B0F" w:rsidRDefault="3BE6249F" w:rsidP="2BE44BD7">
      <w:pPr>
        <w:spacing w:line="257" w:lineRule="auto"/>
        <w:rPr>
          <w:rFonts w:ascii="Citi Sans Text" w:eastAsia="Aptos" w:hAnsi="Citi Sans Text" w:cs="Aptos"/>
        </w:rPr>
      </w:pPr>
      <w:r w:rsidRPr="733807B9">
        <w:rPr>
          <w:rFonts w:ascii="Citi Sans Text" w:eastAsia="Aptos" w:hAnsi="Citi Sans Text" w:cs="Aptos"/>
        </w:rPr>
        <w:t>M</w:t>
      </w:r>
      <w:r w:rsidR="437F0DD6" w:rsidRPr="733807B9">
        <w:rPr>
          <w:rFonts w:ascii="Citi Sans Text" w:eastAsia="Aptos" w:hAnsi="Citi Sans Text" w:cs="Aptos"/>
        </w:rPr>
        <w:t>anual process</w:t>
      </w:r>
      <w:r w:rsidR="590793A1" w:rsidRPr="733807B9">
        <w:rPr>
          <w:rFonts w:ascii="Citi Sans Text" w:eastAsia="Aptos" w:hAnsi="Citi Sans Text" w:cs="Aptos"/>
        </w:rPr>
        <w:t>ing</w:t>
      </w:r>
      <w:r w:rsidR="437F0DD6" w:rsidRPr="733807B9">
        <w:rPr>
          <w:rFonts w:ascii="Citi Sans Text" w:eastAsia="Aptos" w:hAnsi="Citi Sans Text" w:cs="Aptos"/>
        </w:rPr>
        <w:t xml:space="preserve"> of out-of-pocket expenses followed by a claim process could add significant costs to business operations, necessitating additional staff to handle invoices and claim processes. These additional costs will eventually find their way into consumer prices and negatively affect employee productivity within these organi</w:t>
      </w:r>
      <w:r w:rsidR="5912878F" w:rsidRPr="733807B9">
        <w:rPr>
          <w:rFonts w:ascii="Citi Sans Text" w:eastAsia="Aptos" w:hAnsi="Citi Sans Text" w:cs="Aptos"/>
        </w:rPr>
        <w:t>s</w:t>
      </w:r>
      <w:r w:rsidR="437F0DD6" w:rsidRPr="733807B9">
        <w:rPr>
          <w:rFonts w:ascii="Citi Sans Text" w:eastAsia="Aptos" w:hAnsi="Citi Sans Text" w:cs="Aptos"/>
        </w:rPr>
        <w:t xml:space="preserve">ations. For example, a teacher at a public school can seamlessly procure supplies for their students using a </w:t>
      </w:r>
      <w:r w:rsidR="64DBFEC5" w:rsidRPr="733807B9">
        <w:rPr>
          <w:rFonts w:ascii="Citi Sans Text" w:eastAsia="Aptos" w:hAnsi="Citi Sans Text" w:cs="Aptos"/>
        </w:rPr>
        <w:t>P</w:t>
      </w:r>
      <w:r w:rsidR="437F0DD6" w:rsidRPr="733807B9">
        <w:rPr>
          <w:rFonts w:ascii="Citi Sans Text" w:eastAsia="Aptos" w:hAnsi="Citi Sans Text" w:cs="Aptos"/>
        </w:rPr>
        <w:t>urchasing card (a type of Commercial Card) provided by the government, significantly reducing the administrative activities related to claiming an invoice and freeing up the teacher’s time to focus on their primary role of teaching.</w:t>
      </w:r>
    </w:p>
    <w:p w14:paraId="1C8D014A" w14:textId="6533280B" w:rsidR="13E527D6" w:rsidRPr="00BB1B0F" w:rsidRDefault="437F0DD6" w:rsidP="2BE44BD7">
      <w:pPr>
        <w:spacing w:line="257" w:lineRule="auto"/>
        <w:rPr>
          <w:rFonts w:ascii="Citi Sans Text" w:eastAsia="Aptos" w:hAnsi="Citi Sans Text" w:cs="Aptos"/>
          <w:b/>
          <w:bCs/>
        </w:rPr>
      </w:pPr>
      <w:r w:rsidRPr="00BB1B0F">
        <w:rPr>
          <w:rFonts w:ascii="Citi Sans Text" w:eastAsia="Aptos" w:hAnsi="Citi Sans Text" w:cs="Aptos"/>
          <w:b/>
          <w:bCs/>
        </w:rPr>
        <w:t>Competitive Landscape</w:t>
      </w:r>
    </w:p>
    <w:p w14:paraId="6519A262" w14:textId="32EBB165"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 xml:space="preserve">A cap on interchange that only impacts the four-party model of Mastercard and Visa networks will skew the competitive landscape towards the American Express (Amex) network.  </w:t>
      </w:r>
      <w:r w:rsidR="7BAC424A" w:rsidRPr="00BB1B0F">
        <w:rPr>
          <w:rFonts w:ascii="Citi Sans Text" w:eastAsia="Aptos" w:hAnsi="Citi Sans Text" w:cs="Aptos"/>
        </w:rPr>
        <w:t>Lowering</w:t>
      </w:r>
      <w:r w:rsidRPr="00BB1B0F">
        <w:rPr>
          <w:rFonts w:ascii="Citi Sans Text" w:eastAsia="Aptos" w:hAnsi="Citi Sans Text" w:cs="Aptos"/>
        </w:rPr>
        <w:t xml:space="preserve"> of interchange for Mastercard and Visa card issuers could result in a reduction of competition, leading to lower innovation, deterioration in quality of service, and higher costs and poorer outcomes for Institutions.</w:t>
      </w:r>
    </w:p>
    <w:p w14:paraId="679D9C78" w14:textId="3F3B379C" w:rsidR="13E527D6" w:rsidRPr="00BB1B0F" w:rsidRDefault="437F0DD6" w:rsidP="2BE44BD7">
      <w:pPr>
        <w:spacing w:line="257" w:lineRule="auto"/>
        <w:rPr>
          <w:rFonts w:ascii="Citi Sans Text" w:eastAsia="Aptos" w:hAnsi="Citi Sans Text" w:cs="Aptos"/>
          <w:b/>
          <w:bCs/>
        </w:rPr>
      </w:pPr>
      <w:r w:rsidRPr="00BB1B0F">
        <w:rPr>
          <w:rFonts w:ascii="Citi Sans Text" w:eastAsia="Aptos" w:hAnsi="Citi Sans Text" w:cs="Aptos"/>
          <w:b/>
          <w:bCs/>
        </w:rPr>
        <w:t>Global Context</w:t>
      </w:r>
    </w:p>
    <w:p w14:paraId="7992B4DC" w14:textId="28E69264"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Citi also notes that the inclusion of Commercial Cards in a capped interchange of 30 bps would make Australia an outlier compared to markets such as the US, UK, and EU. Despite enforcing elements of regulations on the cost of acceptance, these markets treat commercial cards as a niche product, retaining full interchange income given their wholesale nature.</w:t>
      </w:r>
    </w:p>
    <w:p w14:paraId="7A78F5AD" w14:textId="1EF62E70"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 xml:space="preserve"> </w:t>
      </w:r>
    </w:p>
    <w:p w14:paraId="23535CF9" w14:textId="04582C38" w:rsidR="13E527D6" w:rsidRPr="00BB1B0F" w:rsidRDefault="437F0DD6" w:rsidP="2BE44BD7">
      <w:pPr>
        <w:spacing w:line="257" w:lineRule="auto"/>
        <w:rPr>
          <w:rFonts w:ascii="Citi Sans Display" w:eastAsia="Aptos" w:hAnsi="Citi Sans Display" w:cs="Aptos"/>
          <w:b/>
          <w:bCs/>
        </w:rPr>
      </w:pPr>
      <w:r w:rsidRPr="00BB1B0F">
        <w:rPr>
          <w:rFonts w:ascii="Citi Sans Display" w:eastAsia="Aptos" w:hAnsi="Citi Sans Display" w:cs="Aptos"/>
          <w:b/>
          <w:bCs/>
        </w:rPr>
        <w:t>6. Conclusion</w:t>
      </w:r>
    </w:p>
    <w:p w14:paraId="7218F5C7" w14:textId="451BE1C8"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 xml:space="preserve">Citi Australia appreciates the opportunity to provide a comprehensive response to the RBA’s Consultation Paper. We strongly contend that the proposed changes to interchange regulation for Commercial Cards, particularly the imposition of a </w:t>
      </w:r>
      <w:proofErr w:type="gramStart"/>
      <w:r w:rsidRPr="00BB1B0F">
        <w:rPr>
          <w:rFonts w:ascii="Citi Sans Text" w:eastAsia="Aptos" w:hAnsi="Citi Sans Text" w:cs="Aptos"/>
        </w:rPr>
        <w:t>30 bps</w:t>
      </w:r>
      <w:proofErr w:type="gramEnd"/>
      <w:r w:rsidRPr="00BB1B0F">
        <w:rPr>
          <w:rFonts w:ascii="Citi Sans Text" w:eastAsia="Aptos" w:hAnsi="Citi Sans Text" w:cs="Aptos"/>
        </w:rPr>
        <w:t xml:space="preserve"> cap, do not adequately consider the distinct nature, benefits, and financial models of these products compared to consumer credit cards.</w:t>
      </w:r>
    </w:p>
    <w:p w14:paraId="7E971913" w14:textId="31E788BE" w:rsidR="13E527D6" w:rsidRPr="00BB1B0F" w:rsidRDefault="437F0DD6" w:rsidP="2BE44BD7">
      <w:pPr>
        <w:spacing w:line="257" w:lineRule="auto"/>
        <w:rPr>
          <w:rFonts w:ascii="Citi Sans Text" w:eastAsia="Aptos" w:hAnsi="Citi Sans Text" w:cs="Aptos"/>
        </w:rPr>
      </w:pPr>
      <w:r w:rsidRPr="00BB1B0F">
        <w:rPr>
          <w:rFonts w:ascii="Citi Sans Text" w:eastAsia="Aptos" w:hAnsi="Citi Sans Text" w:cs="Aptos"/>
        </w:rPr>
        <w:t xml:space="preserve">Implementing such a cap would render Commercial Cards financially unviable for issuers, leading to reduced product availability, stifled innovation, and increased inefficiencies for businesses and public sector entities. </w:t>
      </w:r>
      <w:r w:rsidR="4AFE4A2A" w:rsidRPr="00BB1B0F">
        <w:rPr>
          <w:rFonts w:ascii="Citi Sans Text" w:eastAsia="Aptos" w:hAnsi="Citi Sans Text" w:cs="Aptos"/>
        </w:rPr>
        <w:t xml:space="preserve"> It would also result in </w:t>
      </w:r>
      <w:r w:rsidR="12696DA0" w:rsidRPr="00BB1B0F">
        <w:rPr>
          <w:rFonts w:ascii="Citi Sans Text" w:eastAsia="Aptos" w:hAnsi="Citi Sans Text" w:cs="Aptos"/>
        </w:rPr>
        <w:t xml:space="preserve">unintended </w:t>
      </w:r>
      <w:r w:rsidR="68A9372F" w:rsidRPr="00BB1B0F">
        <w:rPr>
          <w:rFonts w:ascii="Citi Sans Text" w:eastAsia="Aptos" w:hAnsi="Citi Sans Text" w:cs="Aptos"/>
        </w:rPr>
        <w:t xml:space="preserve">detrimental consequences to merchants, including small businesses.   </w:t>
      </w:r>
      <w:r w:rsidRPr="00BB1B0F">
        <w:rPr>
          <w:rFonts w:ascii="Citi Sans Text" w:eastAsia="Aptos" w:hAnsi="Citi Sans Text" w:cs="Aptos"/>
        </w:rPr>
        <w:t>This would ultimately undermine the very goals of promoting competition and efficiency within the Australian payments system. Furthermore, the proposed six-month implementation timeline is insufficient and risks significant disruption for businesses reliant on these payment solutions.</w:t>
      </w:r>
    </w:p>
    <w:p w14:paraId="71BDDFCF" w14:textId="0C20BDFD" w:rsidR="13E527D6" w:rsidRPr="00BB1B0F" w:rsidRDefault="4BCEDF94">
      <w:pPr>
        <w:spacing w:line="257" w:lineRule="auto"/>
        <w:rPr>
          <w:rFonts w:ascii="Citi Sans Text" w:eastAsia="Aptos" w:hAnsi="Citi Sans Text" w:cs="Aptos"/>
        </w:rPr>
      </w:pPr>
      <w:r w:rsidRPr="67DC2A67">
        <w:rPr>
          <w:rFonts w:ascii="Citi Sans Text" w:eastAsia="Aptos" w:hAnsi="Citi Sans Text" w:cs="Aptos"/>
        </w:rPr>
        <w:t>We urge the RBA to reconsider its approach and adopt policy options that recogni</w:t>
      </w:r>
      <w:r w:rsidR="0CE151B0" w:rsidRPr="67DC2A67">
        <w:rPr>
          <w:rFonts w:ascii="Citi Sans Text" w:eastAsia="Aptos" w:hAnsi="Citi Sans Text" w:cs="Aptos"/>
        </w:rPr>
        <w:t>s</w:t>
      </w:r>
      <w:r w:rsidRPr="67DC2A67">
        <w:rPr>
          <w:rFonts w:ascii="Citi Sans Text" w:eastAsia="Aptos" w:hAnsi="Citi Sans Text" w:cs="Aptos"/>
        </w:rPr>
        <w:t>e the unique value of Commercial Cards, specifically by applying at a minimum a separate interchange regulation (Option 5) and to continue to exclude foreign card transactions from the RBA</w:t>
      </w:r>
      <w:r w:rsidR="63193E03" w:rsidRPr="67DC2A67">
        <w:rPr>
          <w:rFonts w:ascii="Citi Sans Text" w:eastAsia="Aptos" w:hAnsi="Citi Sans Text" w:cs="Aptos"/>
        </w:rPr>
        <w:t>’</w:t>
      </w:r>
      <w:r w:rsidRPr="67DC2A67">
        <w:rPr>
          <w:rFonts w:ascii="Citi Sans Text" w:eastAsia="Aptos" w:hAnsi="Citi Sans Text" w:cs="Aptos"/>
        </w:rPr>
        <w:t xml:space="preserve">s interchange </w:t>
      </w:r>
      <w:r w:rsidR="383C12BB" w:rsidRPr="67DC2A67">
        <w:rPr>
          <w:rFonts w:ascii="Citi Sans Text" w:eastAsia="Aptos" w:hAnsi="Citi Sans Text" w:cs="Aptos"/>
        </w:rPr>
        <w:t>regulation (</w:t>
      </w:r>
      <w:r w:rsidRPr="67DC2A67">
        <w:rPr>
          <w:rFonts w:ascii="Citi Sans Text" w:eastAsia="Aptos" w:hAnsi="Citi Sans Text" w:cs="Aptos"/>
        </w:rPr>
        <w:t xml:space="preserve">Option 6). This approach would ensure the continued availability of essential business </w:t>
      </w:r>
      <w:r w:rsidRPr="67DC2A67">
        <w:rPr>
          <w:rFonts w:ascii="Citi Sans Text" w:eastAsia="Aptos" w:hAnsi="Citi Sans Text" w:cs="Aptos"/>
        </w:rPr>
        <w:lastRenderedPageBreak/>
        <w:t>payment solutions, support the digiti</w:t>
      </w:r>
      <w:r w:rsidR="3181ECA4" w:rsidRPr="67DC2A67">
        <w:rPr>
          <w:rFonts w:ascii="Citi Sans Text" w:eastAsia="Aptos" w:hAnsi="Citi Sans Text" w:cs="Aptos"/>
        </w:rPr>
        <w:t>s</w:t>
      </w:r>
      <w:r w:rsidRPr="67DC2A67">
        <w:rPr>
          <w:rFonts w:ascii="Citi Sans Text" w:eastAsia="Aptos" w:hAnsi="Citi Sans Text" w:cs="Aptos"/>
        </w:rPr>
        <w:t>ation of the economy, and avoid unintended negative consequences for merchants, businesses, and employees across Australia.</w:t>
      </w:r>
    </w:p>
    <w:p w14:paraId="74A75821" w14:textId="5BF2BE45" w:rsidR="00CC16A6" w:rsidRPr="00BB1B0F" w:rsidRDefault="34F11E96" w:rsidP="011C8A50">
      <w:pPr>
        <w:spacing w:line="257" w:lineRule="auto"/>
        <w:rPr>
          <w:rFonts w:ascii="Citi Sans Text" w:eastAsia="Aptos" w:hAnsi="Citi Sans Text" w:cs="Aptos"/>
        </w:rPr>
      </w:pPr>
      <w:r w:rsidRPr="00BB1B0F">
        <w:rPr>
          <w:rFonts w:ascii="Citi Sans Text" w:eastAsia="Aptos" w:hAnsi="Citi Sans Text" w:cs="Aptos"/>
        </w:rPr>
        <w:t xml:space="preserve">Citi </w:t>
      </w:r>
      <w:r w:rsidR="5D7724A3" w:rsidRPr="00BB1B0F">
        <w:rPr>
          <w:rFonts w:ascii="Citi Sans Text" w:eastAsia="Aptos" w:hAnsi="Citi Sans Text" w:cs="Aptos"/>
        </w:rPr>
        <w:t xml:space="preserve">Australia </w:t>
      </w:r>
      <w:r w:rsidR="5FEAE94D" w:rsidRPr="00BB1B0F">
        <w:rPr>
          <w:rFonts w:ascii="Citi Sans Text" w:eastAsia="Aptos" w:hAnsi="Citi Sans Text" w:cs="Aptos"/>
        </w:rPr>
        <w:t xml:space="preserve">is </w:t>
      </w:r>
      <w:r w:rsidR="002C56AE">
        <w:rPr>
          <w:rFonts w:ascii="Citi Sans Text" w:eastAsia="Aptos" w:hAnsi="Citi Sans Text" w:cs="Aptos"/>
        </w:rPr>
        <w:t>open to a more detailed conversation with</w:t>
      </w:r>
      <w:r w:rsidR="5FEAE94D" w:rsidRPr="00BB1B0F">
        <w:rPr>
          <w:rFonts w:ascii="Citi Sans Text" w:eastAsia="Aptos" w:hAnsi="Citi Sans Text" w:cs="Aptos"/>
        </w:rPr>
        <w:t xml:space="preserve"> the RBA following the review of our submission, to discuss</w:t>
      </w:r>
      <w:r w:rsidR="3598C0E9" w:rsidRPr="00BB1B0F">
        <w:rPr>
          <w:rFonts w:ascii="Citi Sans Text" w:eastAsia="Aptos" w:hAnsi="Citi Sans Text" w:cs="Aptos"/>
        </w:rPr>
        <w:t xml:space="preserve"> further details regarding the implications </w:t>
      </w:r>
      <w:r w:rsidR="7CD7C07E" w:rsidRPr="00BB1B0F">
        <w:rPr>
          <w:rFonts w:ascii="Citi Sans Text" w:eastAsia="Aptos" w:hAnsi="Citi Sans Text" w:cs="Aptos"/>
        </w:rPr>
        <w:t>of the proposed changes to Commercial Card interchange</w:t>
      </w:r>
      <w:r w:rsidR="7B2FE926" w:rsidRPr="00BB1B0F">
        <w:rPr>
          <w:rFonts w:ascii="Citi Sans Text" w:eastAsia="Aptos" w:hAnsi="Citi Sans Text" w:cs="Aptos"/>
        </w:rPr>
        <w:t>.</w:t>
      </w:r>
    </w:p>
    <w:p w14:paraId="4C332CDD" w14:textId="11CE5EE8" w:rsidR="001A10ED" w:rsidRPr="00BB1B0F" w:rsidRDefault="001A10ED" w:rsidP="011C8A50">
      <w:pPr>
        <w:spacing w:beforeAutospacing="1" w:afterAutospacing="1"/>
        <w:rPr>
          <w:rFonts w:ascii="Citi Sans Text" w:hAnsi="Citi Sans Text"/>
        </w:rPr>
      </w:pPr>
    </w:p>
    <w:sectPr w:rsidR="001A10ED" w:rsidRPr="00BB1B0F" w:rsidSect="0068506C">
      <w:headerReference w:type="default" r:id="rId8"/>
      <w:headerReference w:type="first" r:id="rId9"/>
      <w:pgSz w:w="11906" w:h="16838"/>
      <w:pgMar w:top="1440" w:right="1440" w:bottom="1440" w:left="1440"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166EE" w14:textId="77777777" w:rsidR="00976B9D" w:rsidRDefault="00976B9D" w:rsidP="00412553">
      <w:pPr>
        <w:spacing w:after="0"/>
      </w:pPr>
      <w:r>
        <w:separator/>
      </w:r>
    </w:p>
  </w:endnote>
  <w:endnote w:type="continuationSeparator" w:id="0">
    <w:p w14:paraId="65CAB157" w14:textId="77777777" w:rsidR="00976B9D" w:rsidRDefault="00976B9D" w:rsidP="00412553">
      <w:pPr>
        <w:spacing w:after="0"/>
      </w:pPr>
      <w:r>
        <w:continuationSeparator/>
      </w:r>
    </w:p>
  </w:endnote>
  <w:endnote w:type="continuationNotice" w:id="1">
    <w:p w14:paraId="6BC14ECF" w14:textId="77777777" w:rsidR="00976B9D" w:rsidRDefault="00976B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iti Sans Display">
    <w:altName w:val="Calibri"/>
    <w:charset w:val="00"/>
    <w:family w:val="auto"/>
    <w:pitch w:val="variable"/>
    <w:sig w:usb0="A100006F" w:usb1="0000206B" w:usb2="00000000" w:usb3="00000000" w:csb0="00000193" w:csb1="00000000"/>
  </w:font>
  <w:font w:name="Aptos">
    <w:charset w:val="00"/>
    <w:family w:val="swiss"/>
    <w:pitch w:val="variable"/>
    <w:sig w:usb0="20000287" w:usb1="00000003" w:usb2="00000000" w:usb3="00000000" w:csb0="0000019F" w:csb1="00000000"/>
  </w:font>
  <w:font w:name="Citi Sans Text">
    <w:altName w:val="Calibri"/>
    <w:charset w:val="00"/>
    <w:family w:val="auto"/>
    <w:pitch w:val="variable"/>
    <w:sig w:usb0="A100006F" w:usb1="0000206B" w:usb2="00000000" w:usb3="00000000" w:csb0="0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D838F" w14:textId="77777777" w:rsidR="00976B9D" w:rsidRDefault="00976B9D" w:rsidP="00412553">
      <w:pPr>
        <w:spacing w:after="0"/>
      </w:pPr>
      <w:r>
        <w:separator/>
      </w:r>
    </w:p>
  </w:footnote>
  <w:footnote w:type="continuationSeparator" w:id="0">
    <w:p w14:paraId="6ED09497" w14:textId="77777777" w:rsidR="00976B9D" w:rsidRDefault="00976B9D" w:rsidP="00412553">
      <w:pPr>
        <w:spacing w:after="0"/>
      </w:pPr>
      <w:r>
        <w:continuationSeparator/>
      </w:r>
    </w:p>
  </w:footnote>
  <w:footnote w:type="continuationNotice" w:id="1">
    <w:p w14:paraId="294860B8" w14:textId="77777777" w:rsidR="00976B9D" w:rsidRDefault="00976B9D">
      <w:pPr>
        <w:spacing w:after="0" w:line="240" w:lineRule="auto"/>
      </w:pPr>
    </w:p>
  </w:footnote>
  <w:footnote w:id="2">
    <w:p w14:paraId="39F07756" w14:textId="202ED70D" w:rsidR="00575CC3" w:rsidRPr="00575CC3" w:rsidRDefault="00575CC3">
      <w:pPr>
        <w:pStyle w:val="FootnoteText"/>
        <w:rPr>
          <w:lang w:val="en-AU"/>
        </w:rPr>
      </w:pPr>
      <w:r>
        <w:rPr>
          <w:rStyle w:val="FootnoteReference"/>
        </w:rPr>
        <w:footnoteRef/>
      </w:r>
      <w:r>
        <w:t xml:space="preserve"> </w:t>
      </w:r>
      <w:r w:rsidR="00A211B4">
        <w:t xml:space="preserve">Review of Merchant </w:t>
      </w:r>
      <w:r w:rsidR="00534655">
        <w:t>Card Payments Costs and Surcharging: Issuer Cost Survey 19</w:t>
      </w:r>
      <w:r w:rsidR="00534655" w:rsidRPr="00534655">
        <w:rPr>
          <w:vertAlign w:val="superscript"/>
        </w:rPr>
        <w:t>th</w:t>
      </w:r>
      <w:r w:rsidR="00534655">
        <w:t xml:space="preserve"> August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11C8A50" w14:paraId="38CFB460" w14:textId="77777777" w:rsidTr="011C8A50">
      <w:trPr>
        <w:trHeight w:val="300"/>
      </w:trPr>
      <w:tc>
        <w:tcPr>
          <w:tcW w:w="3005" w:type="dxa"/>
        </w:tcPr>
        <w:p w14:paraId="7DED5A3B" w14:textId="4C2E3812" w:rsidR="011C8A50" w:rsidRDefault="011C8A50" w:rsidP="011C8A50">
          <w:pPr>
            <w:pStyle w:val="Header"/>
            <w:ind w:left="-115"/>
          </w:pPr>
        </w:p>
      </w:tc>
      <w:tc>
        <w:tcPr>
          <w:tcW w:w="3005" w:type="dxa"/>
        </w:tcPr>
        <w:p w14:paraId="71590F50" w14:textId="10345EE9" w:rsidR="011C8A50" w:rsidRDefault="011C8A50" w:rsidP="011C8A50">
          <w:pPr>
            <w:pStyle w:val="Header"/>
            <w:jc w:val="center"/>
          </w:pPr>
        </w:p>
      </w:tc>
      <w:tc>
        <w:tcPr>
          <w:tcW w:w="3005" w:type="dxa"/>
        </w:tcPr>
        <w:p w14:paraId="64031508" w14:textId="47B441A9" w:rsidR="011C8A50" w:rsidRDefault="011C8A50" w:rsidP="011C8A50">
          <w:pPr>
            <w:pStyle w:val="Header"/>
            <w:ind w:right="-115"/>
            <w:jc w:val="right"/>
          </w:pPr>
        </w:p>
      </w:tc>
    </w:tr>
  </w:tbl>
  <w:p w14:paraId="6A216340" w14:textId="6768FC02" w:rsidR="011C8A50" w:rsidRDefault="011C8A50" w:rsidP="011C8A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C3905" w14:textId="5A9EBCEE" w:rsidR="003A6D31" w:rsidRDefault="003A6D31">
    <w:pPr>
      <w:pStyle w:val="Header"/>
      <w:rPr>
        <w:lang w:val="en-AU"/>
      </w:rPr>
    </w:pPr>
  </w:p>
  <w:p w14:paraId="49A7A7FF" w14:textId="77777777" w:rsidR="003A6D31" w:rsidRDefault="003A6D31">
    <w:pPr>
      <w:pStyle w:val="Header"/>
      <w:rPr>
        <w:lang w:val="en-AU"/>
      </w:rPr>
    </w:pPr>
  </w:p>
  <w:p w14:paraId="3FE4BABA" w14:textId="15584AD1" w:rsidR="003A6D31" w:rsidRPr="008E53CC" w:rsidRDefault="003A6D31" w:rsidP="008E53CC">
    <w:pPr>
      <w:pStyle w:val="Header"/>
      <w:jc w:val="right"/>
      <w:rPr>
        <w:lang w:val="en-AU"/>
      </w:rPr>
    </w:pPr>
    <w:r>
      <w:rPr>
        <w:noProof/>
        <w:lang w:val="en-US" w:eastAsia="zh-CN"/>
      </w:rPr>
      <w:drawing>
        <wp:inline distT="0" distB="0" distL="0" distR="0" wp14:anchorId="44DC55C0" wp14:editId="562CF24D">
          <wp:extent cx="1152525" cy="790575"/>
          <wp:effectExtent l="0" t="0" r="9525" b="9525"/>
          <wp:docPr id="2" name="Picture 2" descr="citi-co-r_2c-blu_po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iti-co-r_2c-blu_pos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790575"/>
                  </a:xfrm>
                  <a:prstGeom prst="rect">
                    <a:avLst/>
                  </a:prstGeom>
                  <a:solidFill>
                    <a:srgbClr val="FFFFFF"/>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53B49"/>
    <w:multiLevelType w:val="hybridMultilevel"/>
    <w:tmpl w:val="01C4F6A8"/>
    <w:lvl w:ilvl="0" w:tplc="2A86C55C">
      <w:start w:val="1"/>
      <w:numFmt w:val="bullet"/>
      <w:lvlText w:val=""/>
      <w:lvlJc w:val="left"/>
      <w:pPr>
        <w:ind w:left="720" w:hanging="360"/>
      </w:pPr>
      <w:rPr>
        <w:rFonts w:ascii="Symbol" w:hAnsi="Symbol" w:hint="default"/>
      </w:rPr>
    </w:lvl>
    <w:lvl w:ilvl="1" w:tplc="139A44B2">
      <w:start w:val="1"/>
      <w:numFmt w:val="bullet"/>
      <w:lvlText w:val="o"/>
      <w:lvlJc w:val="left"/>
      <w:pPr>
        <w:ind w:left="1440" w:hanging="360"/>
      </w:pPr>
      <w:rPr>
        <w:rFonts w:ascii="Courier New" w:hAnsi="Courier New" w:hint="default"/>
      </w:rPr>
    </w:lvl>
    <w:lvl w:ilvl="2" w:tplc="AD809B6E">
      <w:start w:val="1"/>
      <w:numFmt w:val="bullet"/>
      <w:lvlText w:val=""/>
      <w:lvlJc w:val="left"/>
      <w:pPr>
        <w:ind w:left="2160" w:hanging="360"/>
      </w:pPr>
      <w:rPr>
        <w:rFonts w:ascii="Wingdings" w:hAnsi="Wingdings" w:hint="default"/>
      </w:rPr>
    </w:lvl>
    <w:lvl w:ilvl="3" w:tplc="72A8FB70">
      <w:start w:val="1"/>
      <w:numFmt w:val="bullet"/>
      <w:lvlText w:val=""/>
      <w:lvlJc w:val="left"/>
      <w:pPr>
        <w:ind w:left="2880" w:hanging="360"/>
      </w:pPr>
      <w:rPr>
        <w:rFonts w:ascii="Symbol" w:hAnsi="Symbol" w:hint="default"/>
      </w:rPr>
    </w:lvl>
    <w:lvl w:ilvl="4" w:tplc="C53C49C0">
      <w:start w:val="1"/>
      <w:numFmt w:val="bullet"/>
      <w:lvlText w:val="o"/>
      <w:lvlJc w:val="left"/>
      <w:pPr>
        <w:ind w:left="3600" w:hanging="360"/>
      </w:pPr>
      <w:rPr>
        <w:rFonts w:ascii="Courier New" w:hAnsi="Courier New" w:hint="default"/>
      </w:rPr>
    </w:lvl>
    <w:lvl w:ilvl="5" w:tplc="9A36B22C">
      <w:start w:val="1"/>
      <w:numFmt w:val="bullet"/>
      <w:lvlText w:val=""/>
      <w:lvlJc w:val="left"/>
      <w:pPr>
        <w:ind w:left="4320" w:hanging="360"/>
      </w:pPr>
      <w:rPr>
        <w:rFonts w:ascii="Wingdings" w:hAnsi="Wingdings" w:hint="default"/>
      </w:rPr>
    </w:lvl>
    <w:lvl w:ilvl="6" w:tplc="CB1CA6E8">
      <w:start w:val="1"/>
      <w:numFmt w:val="bullet"/>
      <w:lvlText w:val=""/>
      <w:lvlJc w:val="left"/>
      <w:pPr>
        <w:ind w:left="5040" w:hanging="360"/>
      </w:pPr>
      <w:rPr>
        <w:rFonts w:ascii="Symbol" w:hAnsi="Symbol" w:hint="default"/>
      </w:rPr>
    </w:lvl>
    <w:lvl w:ilvl="7" w:tplc="925E9874">
      <w:start w:val="1"/>
      <w:numFmt w:val="bullet"/>
      <w:lvlText w:val="o"/>
      <w:lvlJc w:val="left"/>
      <w:pPr>
        <w:ind w:left="5760" w:hanging="360"/>
      </w:pPr>
      <w:rPr>
        <w:rFonts w:ascii="Courier New" w:hAnsi="Courier New" w:hint="default"/>
      </w:rPr>
    </w:lvl>
    <w:lvl w:ilvl="8" w:tplc="228CD212">
      <w:start w:val="1"/>
      <w:numFmt w:val="bullet"/>
      <w:lvlText w:val=""/>
      <w:lvlJc w:val="left"/>
      <w:pPr>
        <w:ind w:left="6480" w:hanging="360"/>
      </w:pPr>
      <w:rPr>
        <w:rFonts w:ascii="Wingdings" w:hAnsi="Wingdings" w:hint="default"/>
      </w:rPr>
    </w:lvl>
  </w:abstractNum>
  <w:abstractNum w:abstractNumId="1" w15:restartNumberingAfterBreak="0">
    <w:nsid w:val="0DFF2FEE"/>
    <w:multiLevelType w:val="hybridMultilevel"/>
    <w:tmpl w:val="F40C2CBC"/>
    <w:lvl w:ilvl="0" w:tplc="49EEC4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7A599C"/>
    <w:multiLevelType w:val="multilevel"/>
    <w:tmpl w:val="91A03504"/>
    <w:lvl w:ilvl="0">
      <w:start w:val="1"/>
      <w:numFmt w:val="bullet"/>
      <w:pStyle w:val="ListBullet"/>
      <w:lvlText w:val=""/>
      <w:lvlJc w:val="left"/>
      <w:pPr>
        <w:ind w:left="928" w:hanging="360"/>
      </w:pPr>
      <w:rPr>
        <w:rFonts w:ascii="Symbol" w:hAnsi="Symbol" w:hint="default"/>
        <w:color w:val="auto"/>
        <w:position w:val="2"/>
        <w:sz w:val="14"/>
      </w:rPr>
    </w:lvl>
    <w:lvl w:ilvl="1">
      <w:start w:val="1"/>
      <w:numFmt w:val="bullet"/>
      <w:lvlText w:val="–"/>
      <w:lvlJc w:val="left"/>
      <w:pPr>
        <w:tabs>
          <w:tab w:val="num" w:pos="1135"/>
        </w:tabs>
        <w:ind w:left="1135" w:hanging="283"/>
      </w:pPr>
      <w:rPr>
        <w:rFonts w:ascii="Arial Black" w:hAnsi="Arial Black" w:hint="default"/>
        <w:b w:val="0"/>
        <w:i w:val="0"/>
        <w:color w:val="013799"/>
      </w:rPr>
    </w:lvl>
    <w:lvl w:ilvl="2">
      <w:start w:val="1"/>
      <w:numFmt w:val="bullet"/>
      <w:lvlText w:val=""/>
      <w:lvlJc w:val="left"/>
      <w:pPr>
        <w:tabs>
          <w:tab w:val="num" w:pos="1419"/>
        </w:tabs>
        <w:ind w:left="1419" w:hanging="284"/>
      </w:pPr>
      <w:rPr>
        <w:rFonts w:ascii="Wingdings" w:hAnsi="Wingdings" w:hint="default"/>
        <w:color w:val="013799"/>
        <w:sz w:val="24"/>
      </w:rPr>
    </w:lvl>
    <w:lvl w:ilvl="3">
      <w:start w:val="1"/>
      <w:numFmt w:val="bullet"/>
      <w:lvlText w:val=""/>
      <w:lvlJc w:val="left"/>
      <w:pPr>
        <w:tabs>
          <w:tab w:val="num" w:pos="1986"/>
        </w:tabs>
        <w:ind w:left="1986" w:hanging="284"/>
      </w:pPr>
      <w:rPr>
        <w:rFonts w:ascii="Symbol" w:hAnsi="Symbol" w:hint="default"/>
      </w:rPr>
    </w:lvl>
    <w:lvl w:ilvl="4">
      <w:start w:val="1"/>
      <w:numFmt w:val="bullet"/>
      <w:lvlText w:val=""/>
      <w:lvlJc w:val="left"/>
      <w:pPr>
        <w:tabs>
          <w:tab w:val="num" w:pos="2269"/>
        </w:tabs>
        <w:ind w:left="2269" w:hanging="283"/>
      </w:pPr>
      <w:rPr>
        <w:rFonts w:ascii="Symbol" w:hAnsi="Symbol" w:hint="default"/>
      </w:rPr>
    </w:lvl>
    <w:lvl w:ilvl="5">
      <w:start w:val="1"/>
      <w:numFmt w:val="bullet"/>
      <w:lvlText w:val=""/>
      <w:lvlJc w:val="left"/>
      <w:pPr>
        <w:tabs>
          <w:tab w:val="num" w:pos="2553"/>
        </w:tabs>
        <w:ind w:left="2553" w:hanging="284"/>
      </w:pPr>
      <w:rPr>
        <w:rFonts w:ascii="Wingdings" w:hAnsi="Wingdings" w:hint="default"/>
      </w:rPr>
    </w:lvl>
    <w:lvl w:ilvl="6">
      <w:start w:val="1"/>
      <w:numFmt w:val="bullet"/>
      <w:lvlText w:val=""/>
      <w:lvlJc w:val="left"/>
      <w:pPr>
        <w:tabs>
          <w:tab w:val="num" w:pos="2836"/>
        </w:tabs>
        <w:ind w:left="2836" w:hanging="283"/>
      </w:pPr>
      <w:rPr>
        <w:rFonts w:ascii="Wingdings" w:hAnsi="Wingdings" w:hint="default"/>
      </w:rPr>
    </w:lvl>
    <w:lvl w:ilvl="7">
      <w:start w:val="1"/>
      <w:numFmt w:val="bullet"/>
      <w:lvlText w:val=""/>
      <w:lvlJc w:val="left"/>
      <w:pPr>
        <w:tabs>
          <w:tab w:val="num" w:pos="3120"/>
        </w:tabs>
        <w:ind w:left="3120" w:hanging="284"/>
      </w:pPr>
      <w:rPr>
        <w:rFonts w:ascii="Symbol" w:hAnsi="Symbol" w:hint="default"/>
      </w:rPr>
    </w:lvl>
    <w:lvl w:ilvl="8">
      <w:start w:val="1"/>
      <w:numFmt w:val="bullet"/>
      <w:lvlText w:val=""/>
      <w:lvlJc w:val="left"/>
      <w:pPr>
        <w:tabs>
          <w:tab w:val="num" w:pos="3403"/>
        </w:tabs>
        <w:ind w:left="3403" w:hanging="283"/>
      </w:pPr>
      <w:rPr>
        <w:rFonts w:ascii="Symbol" w:hAnsi="Symbol" w:hint="default"/>
      </w:rPr>
    </w:lvl>
  </w:abstractNum>
  <w:abstractNum w:abstractNumId="3" w15:restartNumberingAfterBreak="0">
    <w:nsid w:val="20104D8C"/>
    <w:multiLevelType w:val="hybridMultilevel"/>
    <w:tmpl w:val="54DC0F2C"/>
    <w:lvl w:ilvl="0" w:tplc="4814B242">
      <w:start w:val="1"/>
      <w:numFmt w:val="lowerRoman"/>
      <w:lvlText w:val="%1."/>
      <w:lvlJc w:val="right"/>
      <w:pPr>
        <w:ind w:left="1797" w:hanging="360"/>
      </w:pPr>
      <w:rPr>
        <w:rFonts w:ascii="Arial" w:hAnsi="Arial" w:hint="default"/>
        <w:color w:val="244061" w:themeColor="accent1" w:themeShade="80"/>
        <w:sz w:val="22"/>
      </w:r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4" w15:restartNumberingAfterBreak="0">
    <w:nsid w:val="26FA0538"/>
    <w:multiLevelType w:val="hybridMultilevel"/>
    <w:tmpl w:val="FF7286F6"/>
    <w:lvl w:ilvl="0" w:tplc="7E760C10">
      <w:start w:val="1"/>
      <w:numFmt w:val="lowerLetter"/>
      <w:lvlText w:val="%1)"/>
      <w:lvlJc w:val="left"/>
      <w:pPr>
        <w:ind w:left="1080" w:hanging="360"/>
      </w:pPr>
      <w:rPr>
        <w:rFonts w:hint="default"/>
      </w:rPr>
    </w:lvl>
    <w:lvl w:ilvl="1" w:tplc="4814B242">
      <w:start w:val="1"/>
      <w:numFmt w:val="lowerRoman"/>
      <w:lvlText w:val="%2."/>
      <w:lvlJc w:val="right"/>
      <w:pPr>
        <w:ind w:left="1800" w:hanging="360"/>
      </w:pPr>
      <w:rPr>
        <w:rFonts w:ascii="Arial" w:hAnsi="Arial" w:hint="default"/>
        <w:color w:val="244061" w:themeColor="accent1" w:themeShade="80"/>
        <w:sz w:val="22"/>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E0A6EE6"/>
    <w:multiLevelType w:val="hybridMultilevel"/>
    <w:tmpl w:val="1480BD78"/>
    <w:lvl w:ilvl="0" w:tplc="5C767978">
      <w:start w:val="1"/>
      <w:numFmt w:val="decimal"/>
      <w:pStyle w:val="4normalParagraph"/>
      <w:lvlText w:val="%1."/>
      <w:lvlJc w:val="left"/>
      <w:pPr>
        <w:ind w:left="720" w:hanging="720"/>
      </w:pPr>
      <w:rPr>
        <w:rFonts w:hint="default"/>
        <w:color w:val="auto"/>
        <w:sz w:val="22"/>
        <w:szCs w:val="24"/>
      </w:rPr>
    </w:lvl>
    <w:lvl w:ilvl="1" w:tplc="14090019">
      <w:start w:val="1"/>
      <w:numFmt w:val="lowerLetter"/>
      <w:lvlText w:val="%2."/>
      <w:lvlJc w:val="left"/>
      <w:pPr>
        <w:ind w:left="1080" w:hanging="360"/>
      </w:pPr>
    </w:lvl>
    <w:lvl w:ilvl="2" w:tplc="1409001B">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6" w15:restartNumberingAfterBreak="0">
    <w:nsid w:val="30097BDE"/>
    <w:multiLevelType w:val="hybridMultilevel"/>
    <w:tmpl w:val="28B28FB0"/>
    <w:lvl w:ilvl="0" w:tplc="C7CECB1A">
      <w:start w:val="1"/>
      <w:numFmt w:val="bullet"/>
      <w:pStyle w:val="BULLET2"/>
      <w:lvlText w:val="o"/>
      <w:lvlJc w:val="center"/>
      <w:pPr>
        <w:ind w:left="720" w:hanging="360"/>
      </w:pPr>
      <w:rPr>
        <w:rFonts w:ascii="Courier New" w:hAnsi="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3099131A"/>
    <w:multiLevelType w:val="hybridMultilevel"/>
    <w:tmpl w:val="190663E2"/>
    <w:lvl w:ilvl="0" w:tplc="6C1E16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86D5FA3"/>
    <w:multiLevelType w:val="hybridMultilevel"/>
    <w:tmpl w:val="7486CE1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4BC74C7"/>
    <w:multiLevelType w:val="hybridMultilevel"/>
    <w:tmpl w:val="9EC6BED4"/>
    <w:lvl w:ilvl="0" w:tplc="58DEB81A">
      <w:start w:val="1"/>
      <w:numFmt w:val="decimal"/>
      <w:lvlText w:val="%1."/>
      <w:lvlJc w:val="left"/>
      <w:pPr>
        <w:ind w:left="720" w:hanging="360"/>
      </w:pPr>
    </w:lvl>
    <w:lvl w:ilvl="1" w:tplc="43F8E88A">
      <w:start w:val="1"/>
      <w:numFmt w:val="lowerLetter"/>
      <w:lvlText w:val="%2."/>
      <w:lvlJc w:val="left"/>
      <w:pPr>
        <w:ind w:left="1440" w:hanging="360"/>
      </w:pPr>
    </w:lvl>
    <w:lvl w:ilvl="2" w:tplc="8ABE38B8">
      <w:start w:val="1"/>
      <w:numFmt w:val="lowerRoman"/>
      <w:lvlText w:val="%3."/>
      <w:lvlJc w:val="right"/>
      <w:pPr>
        <w:ind w:left="2160" w:hanging="180"/>
      </w:pPr>
    </w:lvl>
    <w:lvl w:ilvl="3" w:tplc="5DB66F42">
      <w:start w:val="1"/>
      <w:numFmt w:val="decimal"/>
      <w:lvlText w:val="%4."/>
      <w:lvlJc w:val="left"/>
      <w:pPr>
        <w:ind w:left="2880" w:hanging="360"/>
      </w:pPr>
    </w:lvl>
    <w:lvl w:ilvl="4" w:tplc="937A2BDC">
      <w:start w:val="1"/>
      <w:numFmt w:val="lowerLetter"/>
      <w:lvlText w:val="%5."/>
      <w:lvlJc w:val="left"/>
      <w:pPr>
        <w:ind w:left="3600" w:hanging="360"/>
      </w:pPr>
    </w:lvl>
    <w:lvl w:ilvl="5" w:tplc="2432F49C">
      <w:start w:val="1"/>
      <w:numFmt w:val="lowerRoman"/>
      <w:lvlText w:val="%6."/>
      <w:lvlJc w:val="right"/>
      <w:pPr>
        <w:ind w:left="4320" w:hanging="180"/>
      </w:pPr>
    </w:lvl>
    <w:lvl w:ilvl="6" w:tplc="8DF8F876">
      <w:start w:val="1"/>
      <w:numFmt w:val="decimal"/>
      <w:lvlText w:val="%7."/>
      <w:lvlJc w:val="left"/>
      <w:pPr>
        <w:ind w:left="5040" w:hanging="360"/>
      </w:pPr>
    </w:lvl>
    <w:lvl w:ilvl="7" w:tplc="5A9C7FF6">
      <w:start w:val="1"/>
      <w:numFmt w:val="lowerLetter"/>
      <w:lvlText w:val="%8."/>
      <w:lvlJc w:val="left"/>
      <w:pPr>
        <w:ind w:left="5760" w:hanging="360"/>
      </w:pPr>
    </w:lvl>
    <w:lvl w:ilvl="8" w:tplc="93D6DB74">
      <w:start w:val="1"/>
      <w:numFmt w:val="lowerRoman"/>
      <w:lvlText w:val="%9."/>
      <w:lvlJc w:val="right"/>
      <w:pPr>
        <w:ind w:left="6480" w:hanging="180"/>
      </w:pPr>
    </w:lvl>
  </w:abstractNum>
  <w:abstractNum w:abstractNumId="10" w15:restartNumberingAfterBreak="0">
    <w:nsid w:val="4E1547CB"/>
    <w:multiLevelType w:val="hybridMultilevel"/>
    <w:tmpl w:val="D5F22AE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50593B6B"/>
    <w:multiLevelType w:val="hybridMultilevel"/>
    <w:tmpl w:val="866EB2BA"/>
    <w:lvl w:ilvl="0" w:tplc="04090017">
      <w:start w:val="1"/>
      <w:numFmt w:val="lowerLetter"/>
      <w:lvlText w:val="%1)"/>
      <w:lvlJc w:val="left"/>
      <w:pPr>
        <w:ind w:left="720" w:hanging="720"/>
      </w:pPr>
      <w:rPr>
        <w:rFonts w:hint="default"/>
        <w:color w:val="auto"/>
        <w:sz w:val="22"/>
        <w:szCs w:val="24"/>
      </w:rPr>
    </w:lvl>
    <w:lvl w:ilvl="1" w:tplc="14090019">
      <w:start w:val="1"/>
      <w:numFmt w:val="lowerLetter"/>
      <w:lvlText w:val="%2."/>
      <w:lvlJc w:val="left"/>
      <w:pPr>
        <w:ind w:left="1080" w:hanging="360"/>
      </w:pPr>
    </w:lvl>
    <w:lvl w:ilvl="2" w:tplc="1409001B">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2" w15:restartNumberingAfterBreak="0">
    <w:nsid w:val="512B252E"/>
    <w:multiLevelType w:val="hybridMultilevel"/>
    <w:tmpl w:val="1E54D73E"/>
    <w:lvl w:ilvl="0" w:tplc="F0C8AE52">
      <w:start w:val="1"/>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57C341E"/>
    <w:multiLevelType w:val="hybridMultilevel"/>
    <w:tmpl w:val="67CA3D62"/>
    <w:lvl w:ilvl="0" w:tplc="9D987E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8753E78"/>
    <w:multiLevelType w:val="hybridMultilevel"/>
    <w:tmpl w:val="0434BBA2"/>
    <w:lvl w:ilvl="0" w:tplc="81E22796">
      <w:start w:val="1"/>
      <w:numFmt w:val="decimal"/>
      <w:pStyle w:val="Chapter3"/>
      <w:lvlText w:val="4.%1"/>
      <w:lvlJc w:val="left"/>
      <w:pPr>
        <w:ind w:left="360" w:hanging="360"/>
      </w:pPr>
      <w:rPr>
        <w:rFonts w:hint="default"/>
        <w:b w:val="0"/>
      </w:rPr>
    </w:lvl>
    <w:lvl w:ilvl="1" w:tplc="0C090001">
      <w:start w:val="1"/>
      <w:numFmt w:val="bullet"/>
      <w:lvlText w:val=""/>
      <w:lvlJc w:val="left"/>
      <w:pPr>
        <w:tabs>
          <w:tab w:val="num" w:pos="1440"/>
        </w:tabs>
        <w:ind w:left="1440" w:hanging="360"/>
      </w:pPr>
      <w:rPr>
        <w:rFonts w:ascii="Symbol" w:hAnsi="Symbol"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5" w15:restartNumberingAfterBreak="0">
    <w:nsid w:val="5DB40155"/>
    <w:multiLevelType w:val="hybridMultilevel"/>
    <w:tmpl w:val="9A4601A2"/>
    <w:lvl w:ilvl="0" w:tplc="1A56BDA4">
      <w:start w:val="1"/>
      <w:numFmt w:val="bullet"/>
      <w:pStyle w:val="BULLET3"/>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635F6FB0"/>
    <w:multiLevelType w:val="multilevel"/>
    <w:tmpl w:val="F512434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77C5F4A"/>
    <w:multiLevelType w:val="multilevel"/>
    <w:tmpl w:val="7E367BE8"/>
    <w:lvl w:ilvl="0">
      <w:start w:val="1"/>
      <w:numFmt w:val="decimal"/>
      <w:pStyle w:val="ListNumber"/>
      <w:lvlText w:val="%1"/>
      <w:lvlJc w:val="left"/>
      <w:pPr>
        <w:tabs>
          <w:tab w:val="num" w:pos="360"/>
        </w:tabs>
        <w:ind w:left="360" w:hanging="360"/>
      </w:pPr>
      <w:rPr>
        <w:rFonts w:hint="default"/>
        <w:b w:val="0"/>
        <w:i w:val="0"/>
        <w:color w:val="auto"/>
        <w:sz w:val="1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6E9337D2"/>
    <w:multiLevelType w:val="hybridMultilevel"/>
    <w:tmpl w:val="3E2A2C92"/>
    <w:lvl w:ilvl="0" w:tplc="3BFECAB6">
      <w:start w:val="1"/>
      <w:numFmt w:val="decimal"/>
      <w:lvlText w:val="%1."/>
      <w:lvlJc w:val="left"/>
      <w:pPr>
        <w:ind w:left="720" w:hanging="360"/>
      </w:pPr>
    </w:lvl>
    <w:lvl w:ilvl="1" w:tplc="2D1CDF90">
      <w:start w:val="1"/>
      <w:numFmt w:val="lowerLetter"/>
      <w:lvlText w:val="%2."/>
      <w:lvlJc w:val="left"/>
      <w:pPr>
        <w:ind w:left="1440" w:hanging="360"/>
      </w:pPr>
    </w:lvl>
    <w:lvl w:ilvl="2" w:tplc="5044C266">
      <w:start w:val="1"/>
      <w:numFmt w:val="lowerRoman"/>
      <w:lvlText w:val="%3."/>
      <w:lvlJc w:val="right"/>
      <w:pPr>
        <w:ind w:left="2160" w:hanging="180"/>
      </w:pPr>
    </w:lvl>
    <w:lvl w:ilvl="3" w:tplc="39C6DE42">
      <w:start w:val="1"/>
      <w:numFmt w:val="decimal"/>
      <w:lvlText w:val="%4."/>
      <w:lvlJc w:val="left"/>
      <w:pPr>
        <w:ind w:left="2880" w:hanging="360"/>
      </w:pPr>
    </w:lvl>
    <w:lvl w:ilvl="4" w:tplc="2DA695A8">
      <w:start w:val="1"/>
      <w:numFmt w:val="lowerLetter"/>
      <w:lvlText w:val="%5."/>
      <w:lvlJc w:val="left"/>
      <w:pPr>
        <w:ind w:left="3600" w:hanging="360"/>
      </w:pPr>
    </w:lvl>
    <w:lvl w:ilvl="5" w:tplc="FA80A7E8">
      <w:start w:val="1"/>
      <w:numFmt w:val="lowerRoman"/>
      <w:lvlText w:val="%6."/>
      <w:lvlJc w:val="right"/>
      <w:pPr>
        <w:ind w:left="4320" w:hanging="180"/>
      </w:pPr>
    </w:lvl>
    <w:lvl w:ilvl="6" w:tplc="FC5E3BB2">
      <w:start w:val="1"/>
      <w:numFmt w:val="decimal"/>
      <w:lvlText w:val="%7."/>
      <w:lvlJc w:val="left"/>
      <w:pPr>
        <w:ind w:left="5040" w:hanging="360"/>
      </w:pPr>
    </w:lvl>
    <w:lvl w:ilvl="7" w:tplc="6FFC7BB8">
      <w:start w:val="1"/>
      <w:numFmt w:val="lowerLetter"/>
      <w:lvlText w:val="%8."/>
      <w:lvlJc w:val="left"/>
      <w:pPr>
        <w:ind w:left="5760" w:hanging="360"/>
      </w:pPr>
    </w:lvl>
    <w:lvl w:ilvl="8" w:tplc="E3A60F4C">
      <w:start w:val="1"/>
      <w:numFmt w:val="lowerRoman"/>
      <w:lvlText w:val="%9."/>
      <w:lvlJc w:val="right"/>
      <w:pPr>
        <w:ind w:left="6480" w:hanging="180"/>
      </w:pPr>
    </w:lvl>
  </w:abstractNum>
  <w:abstractNum w:abstractNumId="19" w15:restartNumberingAfterBreak="0">
    <w:nsid w:val="79213419"/>
    <w:multiLevelType w:val="hybridMultilevel"/>
    <w:tmpl w:val="0D8E763C"/>
    <w:lvl w:ilvl="0" w:tplc="4A90D9D8">
      <w:start w:val="1"/>
      <w:numFmt w:val="bullet"/>
      <w:pStyle w:val="BULLET1"/>
      <w:lvlText w:val=""/>
      <w:lvlJc w:val="left"/>
      <w:pPr>
        <w:tabs>
          <w:tab w:val="num" w:pos="1080"/>
        </w:tabs>
        <w:ind w:left="1080" w:hanging="360"/>
      </w:pPr>
      <w:rPr>
        <w:rFonts w:ascii="Symbol" w:hAnsi="Symbol"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15:restartNumberingAfterBreak="0">
    <w:nsid w:val="79C67BED"/>
    <w:multiLevelType w:val="hybridMultilevel"/>
    <w:tmpl w:val="C5F4A4A6"/>
    <w:lvl w:ilvl="0" w:tplc="DF7A0F0A">
      <w:start w:val="1"/>
      <w:numFmt w:val="bullet"/>
      <w:pStyle w:val="BULLET4"/>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936477395">
    <w:abstractNumId w:val="9"/>
  </w:num>
  <w:num w:numId="2" w16cid:durableId="23101019">
    <w:abstractNumId w:val="18"/>
  </w:num>
  <w:num w:numId="3" w16cid:durableId="1631547974">
    <w:abstractNumId w:val="0"/>
  </w:num>
  <w:num w:numId="4" w16cid:durableId="1756781598">
    <w:abstractNumId w:val="2"/>
  </w:num>
  <w:num w:numId="5" w16cid:durableId="1169098072">
    <w:abstractNumId w:val="17"/>
  </w:num>
  <w:num w:numId="6" w16cid:durableId="1378118642">
    <w:abstractNumId w:val="5"/>
  </w:num>
  <w:num w:numId="7" w16cid:durableId="1211377059">
    <w:abstractNumId w:val="19"/>
  </w:num>
  <w:num w:numId="8" w16cid:durableId="1899441033">
    <w:abstractNumId w:val="15"/>
  </w:num>
  <w:num w:numId="9" w16cid:durableId="81684026">
    <w:abstractNumId w:val="20"/>
  </w:num>
  <w:num w:numId="10" w16cid:durableId="1012219822">
    <w:abstractNumId w:val="6"/>
    <w:lvlOverride w:ilvl="0">
      <w:startOverride w:val="1"/>
    </w:lvlOverride>
  </w:num>
  <w:num w:numId="11" w16cid:durableId="545290700">
    <w:abstractNumId w:val="14"/>
  </w:num>
  <w:num w:numId="12" w16cid:durableId="511839862">
    <w:abstractNumId w:val="11"/>
  </w:num>
  <w:num w:numId="13" w16cid:durableId="1739858324">
    <w:abstractNumId w:val="13"/>
  </w:num>
  <w:num w:numId="14" w16cid:durableId="1678995829">
    <w:abstractNumId w:val="7"/>
  </w:num>
  <w:num w:numId="15" w16cid:durableId="551235811">
    <w:abstractNumId w:val="12"/>
  </w:num>
  <w:num w:numId="16" w16cid:durableId="125318000">
    <w:abstractNumId w:val="4"/>
  </w:num>
  <w:num w:numId="17" w16cid:durableId="532040954">
    <w:abstractNumId w:val="3"/>
  </w:num>
  <w:num w:numId="18" w16cid:durableId="574629402">
    <w:abstractNumId w:val="1"/>
  </w:num>
  <w:num w:numId="19" w16cid:durableId="132603397">
    <w:abstractNumId w:val="8"/>
  </w:num>
  <w:num w:numId="20" w16cid:durableId="70010473">
    <w:abstractNumId w:val="16"/>
  </w:num>
  <w:num w:numId="21" w16cid:durableId="1014527375">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trackRevisions/>
  <w:defaultTabStop w:val="720"/>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D0"/>
    <w:rsid w:val="00001A0A"/>
    <w:rsid w:val="000035E1"/>
    <w:rsid w:val="00005162"/>
    <w:rsid w:val="00005AC4"/>
    <w:rsid w:val="000071F1"/>
    <w:rsid w:val="00010E39"/>
    <w:rsid w:val="00010FA8"/>
    <w:rsid w:val="00012348"/>
    <w:rsid w:val="00014F98"/>
    <w:rsid w:val="00015176"/>
    <w:rsid w:val="00017295"/>
    <w:rsid w:val="00017D9F"/>
    <w:rsid w:val="000268C5"/>
    <w:rsid w:val="000271BF"/>
    <w:rsid w:val="00034924"/>
    <w:rsid w:val="00036859"/>
    <w:rsid w:val="0004078D"/>
    <w:rsid w:val="000407A3"/>
    <w:rsid w:val="00045699"/>
    <w:rsid w:val="00045E21"/>
    <w:rsid w:val="0004675A"/>
    <w:rsid w:val="00050D49"/>
    <w:rsid w:val="00050FF4"/>
    <w:rsid w:val="000523B3"/>
    <w:rsid w:val="00055EB6"/>
    <w:rsid w:val="00056110"/>
    <w:rsid w:val="000569B3"/>
    <w:rsid w:val="00062382"/>
    <w:rsid w:val="000673A8"/>
    <w:rsid w:val="00070482"/>
    <w:rsid w:val="00070B4B"/>
    <w:rsid w:val="00073A26"/>
    <w:rsid w:val="00074A03"/>
    <w:rsid w:val="00074A8C"/>
    <w:rsid w:val="00074AD3"/>
    <w:rsid w:val="0008505F"/>
    <w:rsid w:val="00085E49"/>
    <w:rsid w:val="00087B18"/>
    <w:rsid w:val="00092C18"/>
    <w:rsid w:val="0009342C"/>
    <w:rsid w:val="00094FDC"/>
    <w:rsid w:val="00095E23"/>
    <w:rsid w:val="000A079E"/>
    <w:rsid w:val="000A16B6"/>
    <w:rsid w:val="000A3918"/>
    <w:rsid w:val="000A717B"/>
    <w:rsid w:val="000B0208"/>
    <w:rsid w:val="000B14DD"/>
    <w:rsid w:val="000B17D3"/>
    <w:rsid w:val="000B3829"/>
    <w:rsid w:val="000C083C"/>
    <w:rsid w:val="000C0A2A"/>
    <w:rsid w:val="000C20A9"/>
    <w:rsid w:val="000C2544"/>
    <w:rsid w:val="000C379E"/>
    <w:rsid w:val="000C4590"/>
    <w:rsid w:val="000C4C84"/>
    <w:rsid w:val="000C64DC"/>
    <w:rsid w:val="000D0331"/>
    <w:rsid w:val="000D1066"/>
    <w:rsid w:val="000D17B1"/>
    <w:rsid w:val="000D1D45"/>
    <w:rsid w:val="000D2851"/>
    <w:rsid w:val="000D2B85"/>
    <w:rsid w:val="000D3C58"/>
    <w:rsid w:val="000D3ED9"/>
    <w:rsid w:val="000D5690"/>
    <w:rsid w:val="000D588C"/>
    <w:rsid w:val="000D6D23"/>
    <w:rsid w:val="000E3068"/>
    <w:rsid w:val="000E4C8E"/>
    <w:rsid w:val="000E4DD2"/>
    <w:rsid w:val="000E5D1B"/>
    <w:rsid w:val="000E65F8"/>
    <w:rsid w:val="000F25D1"/>
    <w:rsid w:val="000F26AF"/>
    <w:rsid w:val="000F45B5"/>
    <w:rsid w:val="000F502C"/>
    <w:rsid w:val="000F6876"/>
    <w:rsid w:val="000F72ED"/>
    <w:rsid w:val="001009BC"/>
    <w:rsid w:val="00101CC7"/>
    <w:rsid w:val="00103F4E"/>
    <w:rsid w:val="001041C8"/>
    <w:rsid w:val="00107806"/>
    <w:rsid w:val="0011080F"/>
    <w:rsid w:val="00111A7C"/>
    <w:rsid w:val="001141AB"/>
    <w:rsid w:val="00115447"/>
    <w:rsid w:val="00115830"/>
    <w:rsid w:val="0011617B"/>
    <w:rsid w:val="001170C3"/>
    <w:rsid w:val="00120A49"/>
    <w:rsid w:val="00120AE3"/>
    <w:rsid w:val="00120C25"/>
    <w:rsid w:val="00121A13"/>
    <w:rsid w:val="00121C6D"/>
    <w:rsid w:val="001222F6"/>
    <w:rsid w:val="001230C9"/>
    <w:rsid w:val="001235E1"/>
    <w:rsid w:val="00123CCA"/>
    <w:rsid w:val="00124BA5"/>
    <w:rsid w:val="00125DFA"/>
    <w:rsid w:val="0012753A"/>
    <w:rsid w:val="001320C4"/>
    <w:rsid w:val="001341FE"/>
    <w:rsid w:val="00135265"/>
    <w:rsid w:val="00136911"/>
    <w:rsid w:val="00137521"/>
    <w:rsid w:val="001379FE"/>
    <w:rsid w:val="00140E72"/>
    <w:rsid w:val="00142188"/>
    <w:rsid w:val="00144D54"/>
    <w:rsid w:val="00147560"/>
    <w:rsid w:val="001479C5"/>
    <w:rsid w:val="00147BEE"/>
    <w:rsid w:val="001526FB"/>
    <w:rsid w:val="001529E6"/>
    <w:rsid w:val="00152BA1"/>
    <w:rsid w:val="00152E01"/>
    <w:rsid w:val="00153854"/>
    <w:rsid w:val="00154ED8"/>
    <w:rsid w:val="00156DF4"/>
    <w:rsid w:val="001575D2"/>
    <w:rsid w:val="0016392A"/>
    <w:rsid w:val="00166F01"/>
    <w:rsid w:val="00167118"/>
    <w:rsid w:val="00167286"/>
    <w:rsid w:val="00172838"/>
    <w:rsid w:val="001761CB"/>
    <w:rsid w:val="00176AA3"/>
    <w:rsid w:val="00177115"/>
    <w:rsid w:val="00180D11"/>
    <w:rsid w:val="00181438"/>
    <w:rsid w:val="0018212D"/>
    <w:rsid w:val="00182951"/>
    <w:rsid w:val="00184394"/>
    <w:rsid w:val="00185766"/>
    <w:rsid w:val="0018639B"/>
    <w:rsid w:val="00186BEF"/>
    <w:rsid w:val="0018747B"/>
    <w:rsid w:val="001877BA"/>
    <w:rsid w:val="00190018"/>
    <w:rsid w:val="001903CC"/>
    <w:rsid w:val="00191894"/>
    <w:rsid w:val="00192406"/>
    <w:rsid w:val="001938FB"/>
    <w:rsid w:val="001949B8"/>
    <w:rsid w:val="00194C5F"/>
    <w:rsid w:val="00195BA2"/>
    <w:rsid w:val="00195FFE"/>
    <w:rsid w:val="00196E83"/>
    <w:rsid w:val="001A0784"/>
    <w:rsid w:val="001A10ED"/>
    <w:rsid w:val="001A22A0"/>
    <w:rsid w:val="001A2515"/>
    <w:rsid w:val="001A2671"/>
    <w:rsid w:val="001A6CA3"/>
    <w:rsid w:val="001A72EE"/>
    <w:rsid w:val="001A7EB9"/>
    <w:rsid w:val="001B0CD4"/>
    <w:rsid w:val="001B31AE"/>
    <w:rsid w:val="001B3569"/>
    <w:rsid w:val="001B51C9"/>
    <w:rsid w:val="001B5878"/>
    <w:rsid w:val="001B74EA"/>
    <w:rsid w:val="001C0DC4"/>
    <w:rsid w:val="001C29BA"/>
    <w:rsid w:val="001C3773"/>
    <w:rsid w:val="001C5451"/>
    <w:rsid w:val="001C617D"/>
    <w:rsid w:val="001D3711"/>
    <w:rsid w:val="001D548B"/>
    <w:rsid w:val="001D782E"/>
    <w:rsid w:val="001E07F0"/>
    <w:rsid w:val="001E08F9"/>
    <w:rsid w:val="001E1E84"/>
    <w:rsid w:val="001E3AE2"/>
    <w:rsid w:val="001E679C"/>
    <w:rsid w:val="001E6D7C"/>
    <w:rsid w:val="001E745D"/>
    <w:rsid w:val="001F1E42"/>
    <w:rsid w:val="001F392C"/>
    <w:rsid w:val="001F3F90"/>
    <w:rsid w:val="001F4F56"/>
    <w:rsid w:val="001F6B38"/>
    <w:rsid w:val="001F71CD"/>
    <w:rsid w:val="0020008F"/>
    <w:rsid w:val="00204C2D"/>
    <w:rsid w:val="002065F4"/>
    <w:rsid w:val="0020774E"/>
    <w:rsid w:val="00207C4E"/>
    <w:rsid w:val="0021063D"/>
    <w:rsid w:val="00212619"/>
    <w:rsid w:val="00212B75"/>
    <w:rsid w:val="00212F94"/>
    <w:rsid w:val="0021320A"/>
    <w:rsid w:val="002147E1"/>
    <w:rsid w:val="00214BED"/>
    <w:rsid w:val="00216D93"/>
    <w:rsid w:val="00216E8D"/>
    <w:rsid w:val="00217EDA"/>
    <w:rsid w:val="00220361"/>
    <w:rsid w:val="0022169E"/>
    <w:rsid w:val="00224D84"/>
    <w:rsid w:val="00225C79"/>
    <w:rsid w:val="002264AC"/>
    <w:rsid w:val="0023288B"/>
    <w:rsid w:val="00232A70"/>
    <w:rsid w:val="00237CDC"/>
    <w:rsid w:val="00237D60"/>
    <w:rsid w:val="00240254"/>
    <w:rsid w:val="00241015"/>
    <w:rsid w:val="002432C3"/>
    <w:rsid w:val="00244A0B"/>
    <w:rsid w:val="0024667A"/>
    <w:rsid w:val="00246F9F"/>
    <w:rsid w:val="002507E0"/>
    <w:rsid w:val="002516F0"/>
    <w:rsid w:val="00251E78"/>
    <w:rsid w:val="002523B2"/>
    <w:rsid w:val="002537A0"/>
    <w:rsid w:val="00254462"/>
    <w:rsid w:val="00254A1D"/>
    <w:rsid w:val="00257823"/>
    <w:rsid w:val="002623C8"/>
    <w:rsid w:val="00262E1D"/>
    <w:rsid w:val="002637AC"/>
    <w:rsid w:val="00264B19"/>
    <w:rsid w:val="00265345"/>
    <w:rsid w:val="00266F22"/>
    <w:rsid w:val="00270308"/>
    <w:rsid w:val="00271B20"/>
    <w:rsid w:val="00273834"/>
    <w:rsid w:val="00277BE4"/>
    <w:rsid w:val="00280FC6"/>
    <w:rsid w:val="0028200A"/>
    <w:rsid w:val="00282762"/>
    <w:rsid w:val="0028277C"/>
    <w:rsid w:val="00283049"/>
    <w:rsid w:val="00286446"/>
    <w:rsid w:val="0029103D"/>
    <w:rsid w:val="002910CC"/>
    <w:rsid w:val="0029440F"/>
    <w:rsid w:val="00296000"/>
    <w:rsid w:val="002A0467"/>
    <w:rsid w:val="002A0A0C"/>
    <w:rsid w:val="002A20FB"/>
    <w:rsid w:val="002A2DA0"/>
    <w:rsid w:val="002A78F2"/>
    <w:rsid w:val="002A7EFF"/>
    <w:rsid w:val="002B063B"/>
    <w:rsid w:val="002B08AE"/>
    <w:rsid w:val="002B32D7"/>
    <w:rsid w:val="002B6B71"/>
    <w:rsid w:val="002B73A0"/>
    <w:rsid w:val="002C518D"/>
    <w:rsid w:val="002C56AE"/>
    <w:rsid w:val="002C6B99"/>
    <w:rsid w:val="002D4E5A"/>
    <w:rsid w:val="002D5EF4"/>
    <w:rsid w:val="002E035E"/>
    <w:rsid w:val="002E09AD"/>
    <w:rsid w:val="002E0F9B"/>
    <w:rsid w:val="002E22B2"/>
    <w:rsid w:val="002E48E3"/>
    <w:rsid w:val="002E4FC6"/>
    <w:rsid w:val="002E642A"/>
    <w:rsid w:val="002E6D6E"/>
    <w:rsid w:val="002E759C"/>
    <w:rsid w:val="002E7FD5"/>
    <w:rsid w:val="002F31E7"/>
    <w:rsid w:val="002F4966"/>
    <w:rsid w:val="002F69E4"/>
    <w:rsid w:val="002F7F51"/>
    <w:rsid w:val="00300AA7"/>
    <w:rsid w:val="00304407"/>
    <w:rsid w:val="003053D1"/>
    <w:rsid w:val="00305443"/>
    <w:rsid w:val="00310331"/>
    <w:rsid w:val="00314164"/>
    <w:rsid w:val="00316724"/>
    <w:rsid w:val="00316C95"/>
    <w:rsid w:val="00317ED6"/>
    <w:rsid w:val="00324F0C"/>
    <w:rsid w:val="00324F55"/>
    <w:rsid w:val="00326FAD"/>
    <w:rsid w:val="003277BA"/>
    <w:rsid w:val="00330142"/>
    <w:rsid w:val="003302FE"/>
    <w:rsid w:val="0033252F"/>
    <w:rsid w:val="00333096"/>
    <w:rsid w:val="0033441A"/>
    <w:rsid w:val="003351F3"/>
    <w:rsid w:val="00335A55"/>
    <w:rsid w:val="00335B5B"/>
    <w:rsid w:val="00335C63"/>
    <w:rsid w:val="00336867"/>
    <w:rsid w:val="00341446"/>
    <w:rsid w:val="0034174B"/>
    <w:rsid w:val="00343D7F"/>
    <w:rsid w:val="003442CF"/>
    <w:rsid w:val="00350055"/>
    <w:rsid w:val="0035150A"/>
    <w:rsid w:val="00353B69"/>
    <w:rsid w:val="0035485A"/>
    <w:rsid w:val="00355F16"/>
    <w:rsid w:val="003574A3"/>
    <w:rsid w:val="00361A24"/>
    <w:rsid w:val="003621F7"/>
    <w:rsid w:val="00364A7E"/>
    <w:rsid w:val="00367149"/>
    <w:rsid w:val="00367604"/>
    <w:rsid w:val="00370BFE"/>
    <w:rsid w:val="00372820"/>
    <w:rsid w:val="00372BA8"/>
    <w:rsid w:val="00374EA7"/>
    <w:rsid w:val="00375C73"/>
    <w:rsid w:val="003761E5"/>
    <w:rsid w:val="00376F94"/>
    <w:rsid w:val="00381E14"/>
    <w:rsid w:val="00382F74"/>
    <w:rsid w:val="00386151"/>
    <w:rsid w:val="003928D4"/>
    <w:rsid w:val="00394085"/>
    <w:rsid w:val="003977F3"/>
    <w:rsid w:val="00397E43"/>
    <w:rsid w:val="003A20C5"/>
    <w:rsid w:val="003A31FC"/>
    <w:rsid w:val="003A37DA"/>
    <w:rsid w:val="003A39A4"/>
    <w:rsid w:val="003A44D2"/>
    <w:rsid w:val="003A5700"/>
    <w:rsid w:val="003A664E"/>
    <w:rsid w:val="003A6D31"/>
    <w:rsid w:val="003A6E27"/>
    <w:rsid w:val="003B0410"/>
    <w:rsid w:val="003B0494"/>
    <w:rsid w:val="003B0E7D"/>
    <w:rsid w:val="003B0EDE"/>
    <w:rsid w:val="003B2045"/>
    <w:rsid w:val="003B3A0D"/>
    <w:rsid w:val="003C55DD"/>
    <w:rsid w:val="003C650C"/>
    <w:rsid w:val="003C68B2"/>
    <w:rsid w:val="003C772B"/>
    <w:rsid w:val="003C7E11"/>
    <w:rsid w:val="003D1030"/>
    <w:rsid w:val="003D70D9"/>
    <w:rsid w:val="003E0693"/>
    <w:rsid w:val="003E2B77"/>
    <w:rsid w:val="003E4387"/>
    <w:rsid w:val="003E5348"/>
    <w:rsid w:val="003E5896"/>
    <w:rsid w:val="003F11F8"/>
    <w:rsid w:val="003F31B1"/>
    <w:rsid w:val="003F3C2C"/>
    <w:rsid w:val="003F41A8"/>
    <w:rsid w:val="003F4857"/>
    <w:rsid w:val="003F528C"/>
    <w:rsid w:val="003F5F98"/>
    <w:rsid w:val="003F61AA"/>
    <w:rsid w:val="003F7E4B"/>
    <w:rsid w:val="003F7ECD"/>
    <w:rsid w:val="00400611"/>
    <w:rsid w:val="00401DA3"/>
    <w:rsid w:val="004032E5"/>
    <w:rsid w:val="00403C0B"/>
    <w:rsid w:val="004045D3"/>
    <w:rsid w:val="004055BD"/>
    <w:rsid w:val="00406C1D"/>
    <w:rsid w:val="00411CBE"/>
    <w:rsid w:val="00411FF5"/>
    <w:rsid w:val="00412553"/>
    <w:rsid w:val="00413A90"/>
    <w:rsid w:val="00415929"/>
    <w:rsid w:val="00415CF0"/>
    <w:rsid w:val="004161FE"/>
    <w:rsid w:val="00416D32"/>
    <w:rsid w:val="004170C7"/>
    <w:rsid w:val="0041720E"/>
    <w:rsid w:val="00417BFC"/>
    <w:rsid w:val="0042176B"/>
    <w:rsid w:val="0042221E"/>
    <w:rsid w:val="0042314E"/>
    <w:rsid w:val="00424492"/>
    <w:rsid w:val="00430544"/>
    <w:rsid w:val="004339F1"/>
    <w:rsid w:val="00434C8C"/>
    <w:rsid w:val="00437FE8"/>
    <w:rsid w:val="00440CAF"/>
    <w:rsid w:val="0044241B"/>
    <w:rsid w:val="00442742"/>
    <w:rsid w:val="00445EB9"/>
    <w:rsid w:val="00446C33"/>
    <w:rsid w:val="00447170"/>
    <w:rsid w:val="00450117"/>
    <w:rsid w:val="00450A50"/>
    <w:rsid w:val="004518D8"/>
    <w:rsid w:val="00451FA6"/>
    <w:rsid w:val="0045485E"/>
    <w:rsid w:val="004569B0"/>
    <w:rsid w:val="00457E50"/>
    <w:rsid w:val="0046067C"/>
    <w:rsid w:val="004608BD"/>
    <w:rsid w:val="00460D77"/>
    <w:rsid w:val="004662F8"/>
    <w:rsid w:val="004679DE"/>
    <w:rsid w:val="004700C1"/>
    <w:rsid w:val="00470F5A"/>
    <w:rsid w:val="00472CEA"/>
    <w:rsid w:val="00475873"/>
    <w:rsid w:val="0047702A"/>
    <w:rsid w:val="00477664"/>
    <w:rsid w:val="00482722"/>
    <w:rsid w:val="00482DE4"/>
    <w:rsid w:val="00483FCF"/>
    <w:rsid w:val="00484F4B"/>
    <w:rsid w:val="00485672"/>
    <w:rsid w:val="00491B03"/>
    <w:rsid w:val="00493001"/>
    <w:rsid w:val="0049436C"/>
    <w:rsid w:val="00497509"/>
    <w:rsid w:val="004A06D4"/>
    <w:rsid w:val="004A0943"/>
    <w:rsid w:val="004A21BF"/>
    <w:rsid w:val="004A34FC"/>
    <w:rsid w:val="004A36CF"/>
    <w:rsid w:val="004A4580"/>
    <w:rsid w:val="004A4BA4"/>
    <w:rsid w:val="004A535C"/>
    <w:rsid w:val="004A58C4"/>
    <w:rsid w:val="004B482F"/>
    <w:rsid w:val="004B4B93"/>
    <w:rsid w:val="004B50DB"/>
    <w:rsid w:val="004B76E0"/>
    <w:rsid w:val="004C0943"/>
    <w:rsid w:val="004C0D24"/>
    <w:rsid w:val="004C365D"/>
    <w:rsid w:val="004C6213"/>
    <w:rsid w:val="004D080F"/>
    <w:rsid w:val="004D16C0"/>
    <w:rsid w:val="004D3496"/>
    <w:rsid w:val="004D35D3"/>
    <w:rsid w:val="004D427E"/>
    <w:rsid w:val="004D4952"/>
    <w:rsid w:val="004E0B0F"/>
    <w:rsid w:val="004E0E93"/>
    <w:rsid w:val="004E149D"/>
    <w:rsid w:val="004E1717"/>
    <w:rsid w:val="004E1E4B"/>
    <w:rsid w:val="004E2B21"/>
    <w:rsid w:val="004E389F"/>
    <w:rsid w:val="004E3C5C"/>
    <w:rsid w:val="004E4350"/>
    <w:rsid w:val="004E4595"/>
    <w:rsid w:val="004E67F5"/>
    <w:rsid w:val="004E7DAE"/>
    <w:rsid w:val="004F2FD3"/>
    <w:rsid w:val="004F4476"/>
    <w:rsid w:val="004F53AE"/>
    <w:rsid w:val="004F56B3"/>
    <w:rsid w:val="004F6DBE"/>
    <w:rsid w:val="004F7B78"/>
    <w:rsid w:val="0050157F"/>
    <w:rsid w:val="005040DA"/>
    <w:rsid w:val="00505238"/>
    <w:rsid w:val="00507EC0"/>
    <w:rsid w:val="00507FEE"/>
    <w:rsid w:val="005114EB"/>
    <w:rsid w:val="00511A66"/>
    <w:rsid w:val="00512193"/>
    <w:rsid w:val="00513322"/>
    <w:rsid w:val="00517FD0"/>
    <w:rsid w:val="00520261"/>
    <w:rsid w:val="005221B9"/>
    <w:rsid w:val="005227F1"/>
    <w:rsid w:val="00524613"/>
    <w:rsid w:val="00524B0C"/>
    <w:rsid w:val="005274AA"/>
    <w:rsid w:val="00533281"/>
    <w:rsid w:val="00533714"/>
    <w:rsid w:val="00533EFA"/>
    <w:rsid w:val="00534655"/>
    <w:rsid w:val="00535F8D"/>
    <w:rsid w:val="00536C3E"/>
    <w:rsid w:val="00540492"/>
    <w:rsid w:val="005411A2"/>
    <w:rsid w:val="00541A5D"/>
    <w:rsid w:val="00542E83"/>
    <w:rsid w:val="005446B0"/>
    <w:rsid w:val="005455C2"/>
    <w:rsid w:val="00550845"/>
    <w:rsid w:val="00550D86"/>
    <w:rsid w:val="00551A04"/>
    <w:rsid w:val="00552197"/>
    <w:rsid w:val="00552EEC"/>
    <w:rsid w:val="005537E6"/>
    <w:rsid w:val="00555D05"/>
    <w:rsid w:val="005567EA"/>
    <w:rsid w:val="00557CF1"/>
    <w:rsid w:val="00560072"/>
    <w:rsid w:val="00561432"/>
    <w:rsid w:val="005618F2"/>
    <w:rsid w:val="00561D02"/>
    <w:rsid w:val="00561DE5"/>
    <w:rsid w:val="00562A91"/>
    <w:rsid w:val="00564A55"/>
    <w:rsid w:val="00566A82"/>
    <w:rsid w:val="00570E25"/>
    <w:rsid w:val="005734C3"/>
    <w:rsid w:val="00574691"/>
    <w:rsid w:val="00575CC3"/>
    <w:rsid w:val="005809E5"/>
    <w:rsid w:val="0058124F"/>
    <w:rsid w:val="00581312"/>
    <w:rsid w:val="00583402"/>
    <w:rsid w:val="00584101"/>
    <w:rsid w:val="00584D6B"/>
    <w:rsid w:val="005870A2"/>
    <w:rsid w:val="00587CF9"/>
    <w:rsid w:val="005900C0"/>
    <w:rsid w:val="00590E81"/>
    <w:rsid w:val="00591DAD"/>
    <w:rsid w:val="005920F8"/>
    <w:rsid w:val="005924F6"/>
    <w:rsid w:val="00595BB5"/>
    <w:rsid w:val="00595C1F"/>
    <w:rsid w:val="00595D35"/>
    <w:rsid w:val="00596642"/>
    <w:rsid w:val="0059695A"/>
    <w:rsid w:val="00597752"/>
    <w:rsid w:val="00597A32"/>
    <w:rsid w:val="005A0D16"/>
    <w:rsid w:val="005A689B"/>
    <w:rsid w:val="005A69B6"/>
    <w:rsid w:val="005A6BF7"/>
    <w:rsid w:val="005A6CE5"/>
    <w:rsid w:val="005A749F"/>
    <w:rsid w:val="005B18E2"/>
    <w:rsid w:val="005B1EB1"/>
    <w:rsid w:val="005B232C"/>
    <w:rsid w:val="005B2467"/>
    <w:rsid w:val="005B4708"/>
    <w:rsid w:val="005B5904"/>
    <w:rsid w:val="005B6470"/>
    <w:rsid w:val="005B6556"/>
    <w:rsid w:val="005C0A6A"/>
    <w:rsid w:val="005C1C91"/>
    <w:rsid w:val="005C3CB3"/>
    <w:rsid w:val="005C58EC"/>
    <w:rsid w:val="005C755B"/>
    <w:rsid w:val="005D38D0"/>
    <w:rsid w:val="005D41FB"/>
    <w:rsid w:val="005D5C45"/>
    <w:rsid w:val="005D6BD7"/>
    <w:rsid w:val="005E3088"/>
    <w:rsid w:val="005E3CE7"/>
    <w:rsid w:val="005E3D3F"/>
    <w:rsid w:val="005E4986"/>
    <w:rsid w:val="005E51B3"/>
    <w:rsid w:val="005E62CC"/>
    <w:rsid w:val="005F16DB"/>
    <w:rsid w:val="005F5282"/>
    <w:rsid w:val="005F5D2D"/>
    <w:rsid w:val="005F6742"/>
    <w:rsid w:val="005F738F"/>
    <w:rsid w:val="005F76AE"/>
    <w:rsid w:val="00602E97"/>
    <w:rsid w:val="00603058"/>
    <w:rsid w:val="00604D0D"/>
    <w:rsid w:val="00606E97"/>
    <w:rsid w:val="0061014D"/>
    <w:rsid w:val="006101BA"/>
    <w:rsid w:val="006121F5"/>
    <w:rsid w:val="006127D9"/>
    <w:rsid w:val="00613926"/>
    <w:rsid w:val="006149ED"/>
    <w:rsid w:val="006155E9"/>
    <w:rsid w:val="0061590B"/>
    <w:rsid w:val="0061646A"/>
    <w:rsid w:val="00616D9D"/>
    <w:rsid w:val="00621332"/>
    <w:rsid w:val="0062176C"/>
    <w:rsid w:val="006227ED"/>
    <w:rsid w:val="00624F55"/>
    <w:rsid w:val="00625B1B"/>
    <w:rsid w:val="006271EE"/>
    <w:rsid w:val="006273C6"/>
    <w:rsid w:val="00627AF2"/>
    <w:rsid w:val="00631092"/>
    <w:rsid w:val="006317D2"/>
    <w:rsid w:val="006337B1"/>
    <w:rsid w:val="00633FF1"/>
    <w:rsid w:val="00636F5F"/>
    <w:rsid w:val="00641865"/>
    <w:rsid w:val="00642454"/>
    <w:rsid w:val="00643499"/>
    <w:rsid w:val="00643892"/>
    <w:rsid w:val="00643AE0"/>
    <w:rsid w:val="00643EAA"/>
    <w:rsid w:val="00644509"/>
    <w:rsid w:val="00644B97"/>
    <w:rsid w:val="00646BC6"/>
    <w:rsid w:val="00651450"/>
    <w:rsid w:val="0065202E"/>
    <w:rsid w:val="00652450"/>
    <w:rsid w:val="00652BB7"/>
    <w:rsid w:val="006530A9"/>
    <w:rsid w:val="00654051"/>
    <w:rsid w:val="00656D0F"/>
    <w:rsid w:val="00657DAF"/>
    <w:rsid w:val="006627DF"/>
    <w:rsid w:val="006629FE"/>
    <w:rsid w:val="00664306"/>
    <w:rsid w:val="00665772"/>
    <w:rsid w:val="006666D2"/>
    <w:rsid w:val="006713FD"/>
    <w:rsid w:val="00676355"/>
    <w:rsid w:val="00676D9F"/>
    <w:rsid w:val="00680640"/>
    <w:rsid w:val="00680B10"/>
    <w:rsid w:val="00680E05"/>
    <w:rsid w:val="00683D20"/>
    <w:rsid w:val="00684116"/>
    <w:rsid w:val="0068506C"/>
    <w:rsid w:val="0068556C"/>
    <w:rsid w:val="00685EEE"/>
    <w:rsid w:val="006900A4"/>
    <w:rsid w:val="0069342A"/>
    <w:rsid w:val="00694072"/>
    <w:rsid w:val="00694566"/>
    <w:rsid w:val="00697DE2"/>
    <w:rsid w:val="006A38E5"/>
    <w:rsid w:val="006A498E"/>
    <w:rsid w:val="006A59B0"/>
    <w:rsid w:val="006A7CC6"/>
    <w:rsid w:val="006A7E2C"/>
    <w:rsid w:val="006B0543"/>
    <w:rsid w:val="006B2AAD"/>
    <w:rsid w:val="006B2C6E"/>
    <w:rsid w:val="006B692F"/>
    <w:rsid w:val="006B6AD5"/>
    <w:rsid w:val="006B7397"/>
    <w:rsid w:val="006C0335"/>
    <w:rsid w:val="006C07E4"/>
    <w:rsid w:val="006C28F0"/>
    <w:rsid w:val="006C3B35"/>
    <w:rsid w:val="006C59B5"/>
    <w:rsid w:val="006C59EE"/>
    <w:rsid w:val="006C5BF9"/>
    <w:rsid w:val="006C7F72"/>
    <w:rsid w:val="006D44FE"/>
    <w:rsid w:val="006D4AFF"/>
    <w:rsid w:val="006D5351"/>
    <w:rsid w:val="006D5F0A"/>
    <w:rsid w:val="006D683C"/>
    <w:rsid w:val="006D6AD3"/>
    <w:rsid w:val="006E1629"/>
    <w:rsid w:val="006E4052"/>
    <w:rsid w:val="006E4282"/>
    <w:rsid w:val="006E5786"/>
    <w:rsid w:val="006E6D89"/>
    <w:rsid w:val="006E794B"/>
    <w:rsid w:val="006F01FD"/>
    <w:rsid w:val="006F06BC"/>
    <w:rsid w:val="006F0D62"/>
    <w:rsid w:val="006F1DC0"/>
    <w:rsid w:val="006F2DC1"/>
    <w:rsid w:val="006F41DC"/>
    <w:rsid w:val="006F4A80"/>
    <w:rsid w:val="006F73BA"/>
    <w:rsid w:val="00701346"/>
    <w:rsid w:val="00701E97"/>
    <w:rsid w:val="0070269B"/>
    <w:rsid w:val="0070404C"/>
    <w:rsid w:val="00705416"/>
    <w:rsid w:val="007057AD"/>
    <w:rsid w:val="007125C6"/>
    <w:rsid w:val="00715141"/>
    <w:rsid w:val="00717328"/>
    <w:rsid w:val="0071797F"/>
    <w:rsid w:val="00720027"/>
    <w:rsid w:val="00720EC9"/>
    <w:rsid w:val="007215F7"/>
    <w:rsid w:val="007216AA"/>
    <w:rsid w:val="007233B1"/>
    <w:rsid w:val="007241CF"/>
    <w:rsid w:val="007261A9"/>
    <w:rsid w:val="0072709E"/>
    <w:rsid w:val="00730B78"/>
    <w:rsid w:val="00731F3B"/>
    <w:rsid w:val="00733110"/>
    <w:rsid w:val="00736623"/>
    <w:rsid w:val="00740CCF"/>
    <w:rsid w:val="00742730"/>
    <w:rsid w:val="00742E73"/>
    <w:rsid w:val="00744175"/>
    <w:rsid w:val="007445DD"/>
    <w:rsid w:val="00744C5E"/>
    <w:rsid w:val="007456A6"/>
    <w:rsid w:val="00745701"/>
    <w:rsid w:val="0075299E"/>
    <w:rsid w:val="007530CE"/>
    <w:rsid w:val="0075346C"/>
    <w:rsid w:val="007605FE"/>
    <w:rsid w:val="00762188"/>
    <w:rsid w:val="0076341A"/>
    <w:rsid w:val="007653DA"/>
    <w:rsid w:val="00767C28"/>
    <w:rsid w:val="00771CB9"/>
    <w:rsid w:val="0077202E"/>
    <w:rsid w:val="00772B22"/>
    <w:rsid w:val="00773314"/>
    <w:rsid w:val="00773507"/>
    <w:rsid w:val="00773F1A"/>
    <w:rsid w:val="00776B49"/>
    <w:rsid w:val="00780DB3"/>
    <w:rsid w:val="007818F2"/>
    <w:rsid w:val="007822F4"/>
    <w:rsid w:val="0078281B"/>
    <w:rsid w:val="00782F94"/>
    <w:rsid w:val="00784B2B"/>
    <w:rsid w:val="00786543"/>
    <w:rsid w:val="00786956"/>
    <w:rsid w:val="007913BA"/>
    <w:rsid w:val="0079154B"/>
    <w:rsid w:val="0079339A"/>
    <w:rsid w:val="007933A6"/>
    <w:rsid w:val="00795029"/>
    <w:rsid w:val="007A05A8"/>
    <w:rsid w:val="007A0A98"/>
    <w:rsid w:val="007A235F"/>
    <w:rsid w:val="007A6966"/>
    <w:rsid w:val="007B1A81"/>
    <w:rsid w:val="007B3381"/>
    <w:rsid w:val="007B46CB"/>
    <w:rsid w:val="007B4840"/>
    <w:rsid w:val="007B56BD"/>
    <w:rsid w:val="007B664E"/>
    <w:rsid w:val="007B6E4F"/>
    <w:rsid w:val="007B7F57"/>
    <w:rsid w:val="007C0AA6"/>
    <w:rsid w:val="007C208E"/>
    <w:rsid w:val="007C4126"/>
    <w:rsid w:val="007C49A6"/>
    <w:rsid w:val="007C4C04"/>
    <w:rsid w:val="007C6431"/>
    <w:rsid w:val="007C653A"/>
    <w:rsid w:val="007D1575"/>
    <w:rsid w:val="007D1673"/>
    <w:rsid w:val="007D3291"/>
    <w:rsid w:val="007D330C"/>
    <w:rsid w:val="007D426A"/>
    <w:rsid w:val="007D6DBE"/>
    <w:rsid w:val="007E0B7D"/>
    <w:rsid w:val="007E1C99"/>
    <w:rsid w:val="007E1E13"/>
    <w:rsid w:val="007E1EB5"/>
    <w:rsid w:val="007E3A6D"/>
    <w:rsid w:val="007E4B10"/>
    <w:rsid w:val="007E5B8A"/>
    <w:rsid w:val="007E7776"/>
    <w:rsid w:val="007F1CF6"/>
    <w:rsid w:val="007F33FC"/>
    <w:rsid w:val="007F3839"/>
    <w:rsid w:val="007F3CEB"/>
    <w:rsid w:val="007F4C4E"/>
    <w:rsid w:val="007F550C"/>
    <w:rsid w:val="007F618F"/>
    <w:rsid w:val="007F6263"/>
    <w:rsid w:val="00800709"/>
    <w:rsid w:val="008043D1"/>
    <w:rsid w:val="00805BC8"/>
    <w:rsid w:val="00810AB6"/>
    <w:rsid w:val="00811B61"/>
    <w:rsid w:val="00815380"/>
    <w:rsid w:val="008161A1"/>
    <w:rsid w:val="008163D2"/>
    <w:rsid w:val="0082003A"/>
    <w:rsid w:val="008219D0"/>
    <w:rsid w:val="00822AFE"/>
    <w:rsid w:val="00822EA0"/>
    <w:rsid w:val="00823C54"/>
    <w:rsid w:val="00823F16"/>
    <w:rsid w:val="0082402A"/>
    <w:rsid w:val="008256B7"/>
    <w:rsid w:val="00831FDB"/>
    <w:rsid w:val="00832951"/>
    <w:rsid w:val="008334F1"/>
    <w:rsid w:val="00833AF0"/>
    <w:rsid w:val="00834057"/>
    <w:rsid w:val="008412D4"/>
    <w:rsid w:val="008424D6"/>
    <w:rsid w:val="00843062"/>
    <w:rsid w:val="00843756"/>
    <w:rsid w:val="008439AE"/>
    <w:rsid w:val="00844064"/>
    <w:rsid w:val="008468B9"/>
    <w:rsid w:val="00846DB2"/>
    <w:rsid w:val="00847ACF"/>
    <w:rsid w:val="008508F0"/>
    <w:rsid w:val="00852CFF"/>
    <w:rsid w:val="00854B63"/>
    <w:rsid w:val="00854D1A"/>
    <w:rsid w:val="00856346"/>
    <w:rsid w:val="008573B5"/>
    <w:rsid w:val="00866002"/>
    <w:rsid w:val="00866507"/>
    <w:rsid w:val="00870763"/>
    <w:rsid w:val="00870D9A"/>
    <w:rsid w:val="0087181E"/>
    <w:rsid w:val="00873B25"/>
    <w:rsid w:val="0087509E"/>
    <w:rsid w:val="00877B1C"/>
    <w:rsid w:val="008805C8"/>
    <w:rsid w:val="00881EDF"/>
    <w:rsid w:val="0088256B"/>
    <w:rsid w:val="00885E63"/>
    <w:rsid w:val="008867CD"/>
    <w:rsid w:val="0088700F"/>
    <w:rsid w:val="00887265"/>
    <w:rsid w:val="0089022C"/>
    <w:rsid w:val="00892A49"/>
    <w:rsid w:val="008930B7"/>
    <w:rsid w:val="00896A8F"/>
    <w:rsid w:val="008A036D"/>
    <w:rsid w:val="008A2E83"/>
    <w:rsid w:val="008A5B24"/>
    <w:rsid w:val="008B1679"/>
    <w:rsid w:val="008B22B5"/>
    <w:rsid w:val="008B242F"/>
    <w:rsid w:val="008B38A8"/>
    <w:rsid w:val="008B777B"/>
    <w:rsid w:val="008C0D3B"/>
    <w:rsid w:val="008C3B8C"/>
    <w:rsid w:val="008C63F1"/>
    <w:rsid w:val="008C7274"/>
    <w:rsid w:val="008D2C2F"/>
    <w:rsid w:val="008D2F6C"/>
    <w:rsid w:val="008D4DD4"/>
    <w:rsid w:val="008D72C9"/>
    <w:rsid w:val="008E1639"/>
    <w:rsid w:val="008E53CC"/>
    <w:rsid w:val="008E541B"/>
    <w:rsid w:val="008E5887"/>
    <w:rsid w:val="008F0500"/>
    <w:rsid w:val="008F2E6F"/>
    <w:rsid w:val="008F3BC9"/>
    <w:rsid w:val="008F5951"/>
    <w:rsid w:val="00902D43"/>
    <w:rsid w:val="009031C3"/>
    <w:rsid w:val="00903362"/>
    <w:rsid w:val="00903B23"/>
    <w:rsid w:val="00904020"/>
    <w:rsid w:val="009055E5"/>
    <w:rsid w:val="009060C1"/>
    <w:rsid w:val="009078DD"/>
    <w:rsid w:val="00910086"/>
    <w:rsid w:val="00912095"/>
    <w:rsid w:val="00912670"/>
    <w:rsid w:val="00915649"/>
    <w:rsid w:val="00922568"/>
    <w:rsid w:val="00923D02"/>
    <w:rsid w:val="00924265"/>
    <w:rsid w:val="0092715D"/>
    <w:rsid w:val="0092771F"/>
    <w:rsid w:val="00927876"/>
    <w:rsid w:val="0093165D"/>
    <w:rsid w:val="00931DF2"/>
    <w:rsid w:val="00931ECC"/>
    <w:rsid w:val="009327B7"/>
    <w:rsid w:val="009334B6"/>
    <w:rsid w:val="00933923"/>
    <w:rsid w:val="00935559"/>
    <w:rsid w:val="00937930"/>
    <w:rsid w:val="00940F62"/>
    <w:rsid w:val="00942F55"/>
    <w:rsid w:val="00944D7D"/>
    <w:rsid w:val="009455D8"/>
    <w:rsid w:val="00945C86"/>
    <w:rsid w:val="00950C90"/>
    <w:rsid w:val="00950FAD"/>
    <w:rsid w:val="00951A39"/>
    <w:rsid w:val="0095250A"/>
    <w:rsid w:val="00952D35"/>
    <w:rsid w:val="00954338"/>
    <w:rsid w:val="0095454C"/>
    <w:rsid w:val="009547C3"/>
    <w:rsid w:val="00957D00"/>
    <w:rsid w:val="0096095E"/>
    <w:rsid w:val="00960DF9"/>
    <w:rsid w:val="0096299C"/>
    <w:rsid w:val="00964B11"/>
    <w:rsid w:val="00965FAA"/>
    <w:rsid w:val="00966892"/>
    <w:rsid w:val="00967B25"/>
    <w:rsid w:val="009719F9"/>
    <w:rsid w:val="0097500D"/>
    <w:rsid w:val="0097582B"/>
    <w:rsid w:val="00976B9D"/>
    <w:rsid w:val="00977764"/>
    <w:rsid w:val="00980D2E"/>
    <w:rsid w:val="0098119C"/>
    <w:rsid w:val="009812F9"/>
    <w:rsid w:val="00983E8B"/>
    <w:rsid w:val="009847D9"/>
    <w:rsid w:val="009848BB"/>
    <w:rsid w:val="00987368"/>
    <w:rsid w:val="009911D4"/>
    <w:rsid w:val="00991515"/>
    <w:rsid w:val="00992AB3"/>
    <w:rsid w:val="00993647"/>
    <w:rsid w:val="00993E14"/>
    <w:rsid w:val="00993FCD"/>
    <w:rsid w:val="009A0374"/>
    <w:rsid w:val="009A1385"/>
    <w:rsid w:val="009A41A8"/>
    <w:rsid w:val="009A4C9B"/>
    <w:rsid w:val="009A61EA"/>
    <w:rsid w:val="009A6EF1"/>
    <w:rsid w:val="009A71BD"/>
    <w:rsid w:val="009A7386"/>
    <w:rsid w:val="009A7660"/>
    <w:rsid w:val="009B2417"/>
    <w:rsid w:val="009B2E01"/>
    <w:rsid w:val="009B2FDF"/>
    <w:rsid w:val="009B31A8"/>
    <w:rsid w:val="009B40DB"/>
    <w:rsid w:val="009B518A"/>
    <w:rsid w:val="009B5239"/>
    <w:rsid w:val="009B5836"/>
    <w:rsid w:val="009B58CF"/>
    <w:rsid w:val="009B5C0D"/>
    <w:rsid w:val="009C0083"/>
    <w:rsid w:val="009C0D50"/>
    <w:rsid w:val="009C0EB0"/>
    <w:rsid w:val="009C452E"/>
    <w:rsid w:val="009C7C4C"/>
    <w:rsid w:val="009C7D78"/>
    <w:rsid w:val="009C7E66"/>
    <w:rsid w:val="009D13D3"/>
    <w:rsid w:val="009D16CF"/>
    <w:rsid w:val="009D3112"/>
    <w:rsid w:val="009E185F"/>
    <w:rsid w:val="009E1C7A"/>
    <w:rsid w:val="009E225B"/>
    <w:rsid w:val="009E3086"/>
    <w:rsid w:val="009E3180"/>
    <w:rsid w:val="009E353C"/>
    <w:rsid w:val="009E3C77"/>
    <w:rsid w:val="009E4300"/>
    <w:rsid w:val="009E4CAE"/>
    <w:rsid w:val="009F0F1A"/>
    <w:rsid w:val="009F0FF3"/>
    <w:rsid w:val="009F14D1"/>
    <w:rsid w:val="009F2EEC"/>
    <w:rsid w:val="009F3AAE"/>
    <w:rsid w:val="009F3DE3"/>
    <w:rsid w:val="009F4788"/>
    <w:rsid w:val="009F58E8"/>
    <w:rsid w:val="009F5E6C"/>
    <w:rsid w:val="009F657F"/>
    <w:rsid w:val="009F667F"/>
    <w:rsid w:val="00A045CC"/>
    <w:rsid w:val="00A04F92"/>
    <w:rsid w:val="00A06E2A"/>
    <w:rsid w:val="00A106AC"/>
    <w:rsid w:val="00A14E5E"/>
    <w:rsid w:val="00A15AB4"/>
    <w:rsid w:val="00A16795"/>
    <w:rsid w:val="00A16A70"/>
    <w:rsid w:val="00A17264"/>
    <w:rsid w:val="00A211B4"/>
    <w:rsid w:val="00A227B0"/>
    <w:rsid w:val="00A2459E"/>
    <w:rsid w:val="00A25F3D"/>
    <w:rsid w:val="00A26511"/>
    <w:rsid w:val="00A276B7"/>
    <w:rsid w:val="00A27F63"/>
    <w:rsid w:val="00A3199A"/>
    <w:rsid w:val="00A341DF"/>
    <w:rsid w:val="00A34B51"/>
    <w:rsid w:val="00A41199"/>
    <w:rsid w:val="00A411CB"/>
    <w:rsid w:val="00A41620"/>
    <w:rsid w:val="00A416A2"/>
    <w:rsid w:val="00A41B4B"/>
    <w:rsid w:val="00A4360E"/>
    <w:rsid w:val="00A43759"/>
    <w:rsid w:val="00A46189"/>
    <w:rsid w:val="00A47B7F"/>
    <w:rsid w:val="00A517E0"/>
    <w:rsid w:val="00A5251C"/>
    <w:rsid w:val="00A5547D"/>
    <w:rsid w:val="00A5595A"/>
    <w:rsid w:val="00A561C6"/>
    <w:rsid w:val="00A567B2"/>
    <w:rsid w:val="00A57CE0"/>
    <w:rsid w:val="00A57F5D"/>
    <w:rsid w:val="00A608FF"/>
    <w:rsid w:val="00A6191C"/>
    <w:rsid w:val="00A61B8C"/>
    <w:rsid w:val="00A63C33"/>
    <w:rsid w:val="00A651A6"/>
    <w:rsid w:val="00A66A75"/>
    <w:rsid w:val="00A719D8"/>
    <w:rsid w:val="00A731E6"/>
    <w:rsid w:val="00A74045"/>
    <w:rsid w:val="00A74A81"/>
    <w:rsid w:val="00A757E6"/>
    <w:rsid w:val="00A7698D"/>
    <w:rsid w:val="00A76D35"/>
    <w:rsid w:val="00A77E66"/>
    <w:rsid w:val="00A8271F"/>
    <w:rsid w:val="00A83607"/>
    <w:rsid w:val="00A838C2"/>
    <w:rsid w:val="00A83E4E"/>
    <w:rsid w:val="00A84FA7"/>
    <w:rsid w:val="00A86D70"/>
    <w:rsid w:val="00A87D4C"/>
    <w:rsid w:val="00A87F03"/>
    <w:rsid w:val="00A90162"/>
    <w:rsid w:val="00A968F7"/>
    <w:rsid w:val="00A97E11"/>
    <w:rsid w:val="00AA1BD0"/>
    <w:rsid w:val="00AA2BB8"/>
    <w:rsid w:val="00AA2C78"/>
    <w:rsid w:val="00AA4C1E"/>
    <w:rsid w:val="00AA5583"/>
    <w:rsid w:val="00AA79BA"/>
    <w:rsid w:val="00AB0050"/>
    <w:rsid w:val="00AB11BB"/>
    <w:rsid w:val="00AB167E"/>
    <w:rsid w:val="00AB25EC"/>
    <w:rsid w:val="00AB368F"/>
    <w:rsid w:val="00AB61B7"/>
    <w:rsid w:val="00AB644D"/>
    <w:rsid w:val="00AB77C6"/>
    <w:rsid w:val="00AC0D61"/>
    <w:rsid w:val="00AC1E36"/>
    <w:rsid w:val="00AC260B"/>
    <w:rsid w:val="00AC3089"/>
    <w:rsid w:val="00AC49A2"/>
    <w:rsid w:val="00AC4E49"/>
    <w:rsid w:val="00AC52CD"/>
    <w:rsid w:val="00AC663A"/>
    <w:rsid w:val="00AD2F06"/>
    <w:rsid w:val="00AD35F3"/>
    <w:rsid w:val="00AD4394"/>
    <w:rsid w:val="00AD55DA"/>
    <w:rsid w:val="00AD571D"/>
    <w:rsid w:val="00AD6C42"/>
    <w:rsid w:val="00AD76FD"/>
    <w:rsid w:val="00AE0298"/>
    <w:rsid w:val="00AE3A59"/>
    <w:rsid w:val="00AE46EF"/>
    <w:rsid w:val="00AE4CE3"/>
    <w:rsid w:val="00AE511D"/>
    <w:rsid w:val="00AE52C1"/>
    <w:rsid w:val="00AE541A"/>
    <w:rsid w:val="00AE5683"/>
    <w:rsid w:val="00AE5AFA"/>
    <w:rsid w:val="00AE63D2"/>
    <w:rsid w:val="00AE69F1"/>
    <w:rsid w:val="00AE7303"/>
    <w:rsid w:val="00AF02C9"/>
    <w:rsid w:val="00AF181E"/>
    <w:rsid w:val="00AF20BB"/>
    <w:rsid w:val="00AF2769"/>
    <w:rsid w:val="00AF3FD7"/>
    <w:rsid w:val="00B01F5A"/>
    <w:rsid w:val="00B02067"/>
    <w:rsid w:val="00B02285"/>
    <w:rsid w:val="00B027E3"/>
    <w:rsid w:val="00B04A72"/>
    <w:rsid w:val="00B04BFF"/>
    <w:rsid w:val="00B07468"/>
    <w:rsid w:val="00B07CC0"/>
    <w:rsid w:val="00B10AD9"/>
    <w:rsid w:val="00B1231B"/>
    <w:rsid w:val="00B12F9B"/>
    <w:rsid w:val="00B13060"/>
    <w:rsid w:val="00B15598"/>
    <w:rsid w:val="00B1772C"/>
    <w:rsid w:val="00B20B34"/>
    <w:rsid w:val="00B238C9"/>
    <w:rsid w:val="00B244D2"/>
    <w:rsid w:val="00B25046"/>
    <w:rsid w:val="00B2575A"/>
    <w:rsid w:val="00B25F29"/>
    <w:rsid w:val="00B26C7B"/>
    <w:rsid w:val="00B278AE"/>
    <w:rsid w:val="00B31DB7"/>
    <w:rsid w:val="00B32ADA"/>
    <w:rsid w:val="00B331CC"/>
    <w:rsid w:val="00B34327"/>
    <w:rsid w:val="00B346D2"/>
    <w:rsid w:val="00B36214"/>
    <w:rsid w:val="00B37099"/>
    <w:rsid w:val="00B379AA"/>
    <w:rsid w:val="00B40DA2"/>
    <w:rsid w:val="00B412A3"/>
    <w:rsid w:val="00B42D2B"/>
    <w:rsid w:val="00B45C95"/>
    <w:rsid w:val="00B50634"/>
    <w:rsid w:val="00B5143C"/>
    <w:rsid w:val="00B5409E"/>
    <w:rsid w:val="00B55465"/>
    <w:rsid w:val="00B56355"/>
    <w:rsid w:val="00B572C9"/>
    <w:rsid w:val="00B60353"/>
    <w:rsid w:val="00B60B83"/>
    <w:rsid w:val="00B6217D"/>
    <w:rsid w:val="00B62ABE"/>
    <w:rsid w:val="00B63E5E"/>
    <w:rsid w:val="00B65F6D"/>
    <w:rsid w:val="00B67555"/>
    <w:rsid w:val="00B70D77"/>
    <w:rsid w:val="00B74039"/>
    <w:rsid w:val="00B75440"/>
    <w:rsid w:val="00B76078"/>
    <w:rsid w:val="00B76A5C"/>
    <w:rsid w:val="00B77A5D"/>
    <w:rsid w:val="00B807B0"/>
    <w:rsid w:val="00B836FB"/>
    <w:rsid w:val="00B83D4E"/>
    <w:rsid w:val="00B8465C"/>
    <w:rsid w:val="00B849BF"/>
    <w:rsid w:val="00B87501"/>
    <w:rsid w:val="00B87745"/>
    <w:rsid w:val="00B87BAF"/>
    <w:rsid w:val="00B932DE"/>
    <w:rsid w:val="00B935CD"/>
    <w:rsid w:val="00B937DD"/>
    <w:rsid w:val="00B96077"/>
    <w:rsid w:val="00B9700B"/>
    <w:rsid w:val="00B9720F"/>
    <w:rsid w:val="00B9737E"/>
    <w:rsid w:val="00B974EF"/>
    <w:rsid w:val="00BA18C7"/>
    <w:rsid w:val="00BA204D"/>
    <w:rsid w:val="00BA242D"/>
    <w:rsid w:val="00BA37D0"/>
    <w:rsid w:val="00BA483B"/>
    <w:rsid w:val="00BA4E4E"/>
    <w:rsid w:val="00BA5DC9"/>
    <w:rsid w:val="00BA6BD1"/>
    <w:rsid w:val="00BA72BA"/>
    <w:rsid w:val="00BB0498"/>
    <w:rsid w:val="00BB0829"/>
    <w:rsid w:val="00BB1B0F"/>
    <w:rsid w:val="00BB2474"/>
    <w:rsid w:val="00BC0147"/>
    <w:rsid w:val="00BC13D1"/>
    <w:rsid w:val="00BC3C6F"/>
    <w:rsid w:val="00BC406C"/>
    <w:rsid w:val="00BC42BC"/>
    <w:rsid w:val="00BC4959"/>
    <w:rsid w:val="00BD15AA"/>
    <w:rsid w:val="00BD3689"/>
    <w:rsid w:val="00BD634E"/>
    <w:rsid w:val="00BD69A6"/>
    <w:rsid w:val="00BD6C06"/>
    <w:rsid w:val="00BE54B2"/>
    <w:rsid w:val="00BE609B"/>
    <w:rsid w:val="00BE6611"/>
    <w:rsid w:val="00BE7161"/>
    <w:rsid w:val="00BF142F"/>
    <w:rsid w:val="00BF6698"/>
    <w:rsid w:val="00BF6A52"/>
    <w:rsid w:val="00BF7B55"/>
    <w:rsid w:val="00C042BE"/>
    <w:rsid w:val="00C04D6F"/>
    <w:rsid w:val="00C050EE"/>
    <w:rsid w:val="00C05BBC"/>
    <w:rsid w:val="00C111D9"/>
    <w:rsid w:val="00C122AA"/>
    <w:rsid w:val="00C12D1C"/>
    <w:rsid w:val="00C16CC7"/>
    <w:rsid w:val="00C2069B"/>
    <w:rsid w:val="00C21644"/>
    <w:rsid w:val="00C23CCD"/>
    <w:rsid w:val="00C256B1"/>
    <w:rsid w:val="00C30703"/>
    <w:rsid w:val="00C31889"/>
    <w:rsid w:val="00C34D22"/>
    <w:rsid w:val="00C36BC9"/>
    <w:rsid w:val="00C406F4"/>
    <w:rsid w:val="00C41571"/>
    <w:rsid w:val="00C41917"/>
    <w:rsid w:val="00C4197F"/>
    <w:rsid w:val="00C4467A"/>
    <w:rsid w:val="00C44CC4"/>
    <w:rsid w:val="00C46E65"/>
    <w:rsid w:val="00C47723"/>
    <w:rsid w:val="00C50F62"/>
    <w:rsid w:val="00C535E2"/>
    <w:rsid w:val="00C53F55"/>
    <w:rsid w:val="00C567EA"/>
    <w:rsid w:val="00C624F7"/>
    <w:rsid w:val="00C62E02"/>
    <w:rsid w:val="00C6371C"/>
    <w:rsid w:val="00C64B5E"/>
    <w:rsid w:val="00C66C7E"/>
    <w:rsid w:val="00C72117"/>
    <w:rsid w:val="00C7537A"/>
    <w:rsid w:val="00C76EFC"/>
    <w:rsid w:val="00C816EF"/>
    <w:rsid w:val="00C832BD"/>
    <w:rsid w:val="00C83A8C"/>
    <w:rsid w:val="00C855E3"/>
    <w:rsid w:val="00C85D55"/>
    <w:rsid w:val="00C90A22"/>
    <w:rsid w:val="00C91F4C"/>
    <w:rsid w:val="00C92296"/>
    <w:rsid w:val="00C9744C"/>
    <w:rsid w:val="00C97B2A"/>
    <w:rsid w:val="00CA01F2"/>
    <w:rsid w:val="00CA0911"/>
    <w:rsid w:val="00CA0FE9"/>
    <w:rsid w:val="00CA1C91"/>
    <w:rsid w:val="00CA2BA0"/>
    <w:rsid w:val="00CA335D"/>
    <w:rsid w:val="00CA4129"/>
    <w:rsid w:val="00CA4829"/>
    <w:rsid w:val="00CA55BF"/>
    <w:rsid w:val="00CA5F2A"/>
    <w:rsid w:val="00CA6675"/>
    <w:rsid w:val="00CA6EDC"/>
    <w:rsid w:val="00CA71C2"/>
    <w:rsid w:val="00CA7D07"/>
    <w:rsid w:val="00CA7FB1"/>
    <w:rsid w:val="00CB309C"/>
    <w:rsid w:val="00CB37AA"/>
    <w:rsid w:val="00CB3ADB"/>
    <w:rsid w:val="00CB49E3"/>
    <w:rsid w:val="00CB6AF2"/>
    <w:rsid w:val="00CB7987"/>
    <w:rsid w:val="00CC008C"/>
    <w:rsid w:val="00CC16A6"/>
    <w:rsid w:val="00CC1816"/>
    <w:rsid w:val="00CC2987"/>
    <w:rsid w:val="00CC3907"/>
    <w:rsid w:val="00CD028E"/>
    <w:rsid w:val="00CD0BFA"/>
    <w:rsid w:val="00CD187B"/>
    <w:rsid w:val="00CD347A"/>
    <w:rsid w:val="00CD38BA"/>
    <w:rsid w:val="00CD38C7"/>
    <w:rsid w:val="00CD3BAB"/>
    <w:rsid w:val="00CD5814"/>
    <w:rsid w:val="00CD6DE0"/>
    <w:rsid w:val="00CE05BF"/>
    <w:rsid w:val="00CE0F7A"/>
    <w:rsid w:val="00CE3D92"/>
    <w:rsid w:val="00CE3DF2"/>
    <w:rsid w:val="00CE422F"/>
    <w:rsid w:val="00CE5E15"/>
    <w:rsid w:val="00CE5EBF"/>
    <w:rsid w:val="00CE6312"/>
    <w:rsid w:val="00CE7604"/>
    <w:rsid w:val="00CF0B08"/>
    <w:rsid w:val="00CF1863"/>
    <w:rsid w:val="00CF1FE8"/>
    <w:rsid w:val="00CF2BE8"/>
    <w:rsid w:val="00CF47B1"/>
    <w:rsid w:val="00D00E41"/>
    <w:rsid w:val="00D0183A"/>
    <w:rsid w:val="00D1564D"/>
    <w:rsid w:val="00D169A0"/>
    <w:rsid w:val="00D16EDD"/>
    <w:rsid w:val="00D20DA3"/>
    <w:rsid w:val="00D2181D"/>
    <w:rsid w:val="00D21F66"/>
    <w:rsid w:val="00D24AD3"/>
    <w:rsid w:val="00D26918"/>
    <w:rsid w:val="00D2703A"/>
    <w:rsid w:val="00D2720F"/>
    <w:rsid w:val="00D27E09"/>
    <w:rsid w:val="00D27F49"/>
    <w:rsid w:val="00D27F90"/>
    <w:rsid w:val="00D30832"/>
    <w:rsid w:val="00D31C16"/>
    <w:rsid w:val="00D32179"/>
    <w:rsid w:val="00D337B5"/>
    <w:rsid w:val="00D33C1A"/>
    <w:rsid w:val="00D34004"/>
    <w:rsid w:val="00D34359"/>
    <w:rsid w:val="00D348AE"/>
    <w:rsid w:val="00D364F3"/>
    <w:rsid w:val="00D365A9"/>
    <w:rsid w:val="00D37733"/>
    <w:rsid w:val="00D37C87"/>
    <w:rsid w:val="00D3CC71"/>
    <w:rsid w:val="00D41EF2"/>
    <w:rsid w:val="00D46F50"/>
    <w:rsid w:val="00D47045"/>
    <w:rsid w:val="00D50A5B"/>
    <w:rsid w:val="00D521F8"/>
    <w:rsid w:val="00D52692"/>
    <w:rsid w:val="00D52F32"/>
    <w:rsid w:val="00D531C4"/>
    <w:rsid w:val="00D53B86"/>
    <w:rsid w:val="00D562A3"/>
    <w:rsid w:val="00D564B0"/>
    <w:rsid w:val="00D56E5B"/>
    <w:rsid w:val="00D57186"/>
    <w:rsid w:val="00D60147"/>
    <w:rsid w:val="00D601A2"/>
    <w:rsid w:val="00D613A2"/>
    <w:rsid w:val="00D620F5"/>
    <w:rsid w:val="00D62A00"/>
    <w:rsid w:val="00D63ACC"/>
    <w:rsid w:val="00D6622B"/>
    <w:rsid w:val="00D668DE"/>
    <w:rsid w:val="00D66AF4"/>
    <w:rsid w:val="00D71038"/>
    <w:rsid w:val="00D72355"/>
    <w:rsid w:val="00D77641"/>
    <w:rsid w:val="00D8010B"/>
    <w:rsid w:val="00D806F4"/>
    <w:rsid w:val="00D81E6C"/>
    <w:rsid w:val="00D82C83"/>
    <w:rsid w:val="00D838F7"/>
    <w:rsid w:val="00D860F4"/>
    <w:rsid w:val="00D869EA"/>
    <w:rsid w:val="00D87020"/>
    <w:rsid w:val="00D87BB7"/>
    <w:rsid w:val="00D87EAB"/>
    <w:rsid w:val="00D90FB9"/>
    <w:rsid w:val="00D91E30"/>
    <w:rsid w:val="00D91E38"/>
    <w:rsid w:val="00D9221D"/>
    <w:rsid w:val="00D95D19"/>
    <w:rsid w:val="00DA1D9E"/>
    <w:rsid w:val="00DB0166"/>
    <w:rsid w:val="00DB069B"/>
    <w:rsid w:val="00DB0E6E"/>
    <w:rsid w:val="00DB30A7"/>
    <w:rsid w:val="00DB33BD"/>
    <w:rsid w:val="00DB5569"/>
    <w:rsid w:val="00DB583B"/>
    <w:rsid w:val="00DC364B"/>
    <w:rsid w:val="00DC5969"/>
    <w:rsid w:val="00DC6A19"/>
    <w:rsid w:val="00DC6D93"/>
    <w:rsid w:val="00DD01F4"/>
    <w:rsid w:val="00DD0733"/>
    <w:rsid w:val="00DD1256"/>
    <w:rsid w:val="00DD3E45"/>
    <w:rsid w:val="00DD3F66"/>
    <w:rsid w:val="00DE099C"/>
    <w:rsid w:val="00DE4271"/>
    <w:rsid w:val="00DE7259"/>
    <w:rsid w:val="00DF1E39"/>
    <w:rsid w:val="00DF20CD"/>
    <w:rsid w:val="00DF3008"/>
    <w:rsid w:val="00DF47A2"/>
    <w:rsid w:val="00E011E8"/>
    <w:rsid w:val="00E02D11"/>
    <w:rsid w:val="00E02FF6"/>
    <w:rsid w:val="00E07AF9"/>
    <w:rsid w:val="00E1068A"/>
    <w:rsid w:val="00E12C1E"/>
    <w:rsid w:val="00E12D19"/>
    <w:rsid w:val="00E13564"/>
    <w:rsid w:val="00E135DD"/>
    <w:rsid w:val="00E14C90"/>
    <w:rsid w:val="00E157DB"/>
    <w:rsid w:val="00E15B3A"/>
    <w:rsid w:val="00E16557"/>
    <w:rsid w:val="00E20285"/>
    <w:rsid w:val="00E20553"/>
    <w:rsid w:val="00E207D5"/>
    <w:rsid w:val="00E21DC7"/>
    <w:rsid w:val="00E23180"/>
    <w:rsid w:val="00E23236"/>
    <w:rsid w:val="00E23487"/>
    <w:rsid w:val="00E24766"/>
    <w:rsid w:val="00E24D4E"/>
    <w:rsid w:val="00E25D56"/>
    <w:rsid w:val="00E26567"/>
    <w:rsid w:val="00E277AD"/>
    <w:rsid w:val="00E27EB7"/>
    <w:rsid w:val="00E325A7"/>
    <w:rsid w:val="00E33825"/>
    <w:rsid w:val="00E34AFE"/>
    <w:rsid w:val="00E34BAF"/>
    <w:rsid w:val="00E35C68"/>
    <w:rsid w:val="00E360D5"/>
    <w:rsid w:val="00E368B3"/>
    <w:rsid w:val="00E40DB2"/>
    <w:rsid w:val="00E41734"/>
    <w:rsid w:val="00E44473"/>
    <w:rsid w:val="00E45A0D"/>
    <w:rsid w:val="00E51D91"/>
    <w:rsid w:val="00E51F26"/>
    <w:rsid w:val="00E51F75"/>
    <w:rsid w:val="00E52372"/>
    <w:rsid w:val="00E53DE8"/>
    <w:rsid w:val="00E56875"/>
    <w:rsid w:val="00E62846"/>
    <w:rsid w:val="00E628F2"/>
    <w:rsid w:val="00E63255"/>
    <w:rsid w:val="00E64DCF"/>
    <w:rsid w:val="00E66722"/>
    <w:rsid w:val="00E674BC"/>
    <w:rsid w:val="00E700DC"/>
    <w:rsid w:val="00E70A4B"/>
    <w:rsid w:val="00E71C68"/>
    <w:rsid w:val="00E72540"/>
    <w:rsid w:val="00E72946"/>
    <w:rsid w:val="00E737E8"/>
    <w:rsid w:val="00E74142"/>
    <w:rsid w:val="00E74AB0"/>
    <w:rsid w:val="00E756B1"/>
    <w:rsid w:val="00E7651A"/>
    <w:rsid w:val="00E802C0"/>
    <w:rsid w:val="00E80DFC"/>
    <w:rsid w:val="00E82130"/>
    <w:rsid w:val="00E82531"/>
    <w:rsid w:val="00E84252"/>
    <w:rsid w:val="00E843F1"/>
    <w:rsid w:val="00E84514"/>
    <w:rsid w:val="00E92093"/>
    <w:rsid w:val="00E926D4"/>
    <w:rsid w:val="00E92704"/>
    <w:rsid w:val="00E9607F"/>
    <w:rsid w:val="00E9648E"/>
    <w:rsid w:val="00E97866"/>
    <w:rsid w:val="00EA0845"/>
    <w:rsid w:val="00EA26F6"/>
    <w:rsid w:val="00EA53C8"/>
    <w:rsid w:val="00EA78F6"/>
    <w:rsid w:val="00EB3CA5"/>
    <w:rsid w:val="00EB3E28"/>
    <w:rsid w:val="00EB5756"/>
    <w:rsid w:val="00EC0468"/>
    <w:rsid w:val="00EC2B2E"/>
    <w:rsid w:val="00EC30D0"/>
    <w:rsid w:val="00EC3E6C"/>
    <w:rsid w:val="00EC4ADE"/>
    <w:rsid w:val="00EC4D64"/>
    <w:rsid w:val="00EC52EB"/>
    <w:rsid w:val="00EC6A82"/>
    <w:rsid w:val="00EC7C28"/>
    <w:rsid w:val="00ED071B"/>
    <w:rsid w:val="00ED1437"/>
    <w:rsid w:val="00ED414F"/>
    <w:rsid w:val="00ED4698"/>
    <w:rsid w:val="00ED6534"/>
    <w:rsid w:val="00ED7555"/>
    <w:rsid w:val="00ED7A75"/>
    <w:rsid w:val="00ED7BE9"/>
    <w:rsid w:val="00EE1E1B"/>
    <w:rsid w:val="00EE250E"/>
    <w:rsid w:val="00EE4033"/>
    <w:rsid w:val="00EE518C"/>
    <w:rsid w:val="00EE7BE1"/>
    <w:rsid w:val="00EF035E"/>
    <w:rsid w:val="00EF0AAA"/>
    <w:rsid w:val="00EF51B6"/>
    <w:rsid w:val="00F00952"/>
    <w:rsid w:val="00F040BC"/>
    <w:rsid w:val="00F069C7"/>
    <w:rsid w:val="00F06D1C"/>
    <w:rsid w:val="00F10746"/>
    <w:rsid w:val="00F11E21"/>
    <w:rsid w:val="00F12C17"/>
    <w:rsid w:val="00F13A0D"/>
    <w:rsid w:val="00F13C2D"/>
    <w:rsid w:val="00F14CBE"/>
    <w:rsid w:val="00F15683"/>
    <w:rsid w:val="00F162D7"/>
    <w:rsid w:val="00F21574"/>
    <w:rsid w:val="00F224FE"/>
    <w:rsid w:val="00F235F0"/>
    <w:rsid w:val="00F25652"/>
    <w:rsid w:val="00F267BE"/>
    <w:rsid w:val="00F27699"/>
    <w:rsid w:val="00F3182C"/>
    <w:rsid w:val="00F321FC"/>
    <w:rsid w:val="00F33938"/>
    <w:rsid w:val="00F33E52"/>
    <w:rsid w:val="00F35189"/>
    <w:rsid w:val="00F3543E"/>
    <w:rsid w:val="00F37F7E"/>
    <w:rsid w:val="00F37FF5"/>
    <w:rsid w:val="00F41CAD"/>
    <w:rsid w:val="00F433CC"/>
    <w:rsid w:val="00F44B7A"/>
    <w:rsid w:val="00F44FD8"/>
    <w:rsid w:val="00F4569B"/>
    <w:rsid w:val="00F4630A"/>
    <w:rsid w:val="00F467B7"/>
    <w:rsid w:val="00F47A91"/>
    <w:rsid w:val="00F47BBF"/>
    <w:rsid w:val="00F503A1"/>
    <w:rsid w:val="00F57987"/>
    <w:rsid w:val="00F6111C"/>
    <w:rsid w:val="00F62CCF"/>
    <w:rsid w:val="00F6353C"/>
    <w:rsid w:val="00F63674"/>
    <w:rsid w:val="00F6397D"/>
    <w:rsid w:val="00F64844"/>
    <w:rsid w:val="00F64B05"/>
    <w:rsid w:val="00F70D4B"/>
    <w:rsid w:val="00F70FB9"/>
    <w:rsid w:val="00F712BE"/>
    <w:rsid w:val="00F718FA"/>
    <w:rsid w:val="00F72308"/>
    <w:rsid w:val="00F72895"/>
    <w:rsid w:val="00F72BDA"/>
    <w:rsid w:val="00F737F8"/>
    <w:rsid w:val="00F8033E"/>
    <w:rsid w:val="00F8326B"/>
    <w:rsid w:val="00F8334A"/>
    <w:rsid w:val="00F837C6"/>
    <w:rsid w:val="00F840B7"/>
    <w:rsid w:val="00F84710"/>
    <w:rsid w:val="00F8568E"/>
    <w:rsid w:val="00F85B1C"/>
    <w:rsid w:val="00F8771D"/>
    <w:rsid w:val="00F9065B"/>
    <w:rsid w:val="00F91E61"/>
    <w:rsid w:val="00F952BC"/>
    <w:rsid w:val="00F95568"/>
    <w:rsid w:val="00F955EF"/>
    <w:rsid w:val="00F956CE"/>
    <w:rsid w:val="00F96A06"/>
    <w:rsid w:val="00FA02EB"/>
    <w:rsid w:val="00FA1C45"/>
    <w:rsid w:val="00FA29EA"/>
    <w:rsid w:val="00FA3E47"/>
    <w:rsid w:val="00FA3EF9"/>
    <w:rsid w:val="00FA55C5"/>
    <w:rsid w:val="00FA6501"/>
    <w:rsid w:val="00FA71D5"/>
    <w:rsid w:val="00FB0B44"/>
    <w:rsid w:val="00FB2B0F"/>
    <w:rsid w:val="00FB52A1"/>
    <w:rsid w:val="00FB6132"/>
    <w:rsid w:val="00FB6CAD"/>
    <w:rsid w:val="00FC3FE2"/>
    <w:rsid w:val="00FC64D9"/>
    <w:rsid w:val="00FC6ACA"/>
    <w:rsid w:val="00FC7C7C"/>
    <w:rsid w:val="00FC7E05"/>
    <w:rsid w:val="00FD0575"/>
    <w:rsid w:val="00FD1050"/>
    <w:rsid w:val="00FD10D3"/>
    <w:rsid w:val="00FD15BC"/>
    <w:rsid w:val="00FD4E63"/>
    <w:rsid w:val="00FD63C5"/>
    <w:rsid w:val="00FD7118"/>
    <w:rsid w:val="00FE1E54"/>
    <w:rsid w:val="00FE32D6"/>
    <w:rsid w:val="00FE3DA9"/>
    <w:rsid w:val="00FE3F15"/>
    <w:rsid w:val="00FE4071"/>
    <w:rsid w:val="00FE44B2"/>
    <w:rsid w:val="00FF082C"/>
    <w:rsid w:val="00FF2AC2"/>
    <w:rsid w:val="00FF2FD4"/>
    <w:rsid w:val="00FF4052"/>
    <w:rsid w:val="00FF7DC4"/>
    <w:rsid w:val="011C8A50"/>
    <w:rsid w:val="01AAB358"/>
    <w:rsid w:val="01FE330A"/>
    <w:rsid w:val="021C36B6"/>
    <w:rsid w:val="023F16F1"/>
    <w:rsid w:val="03C05BFF"/>
    <w:rsid w:val="03D1922D"/>
    <w:rsid w:val="040471C5"/>
    <w:rsid w:val="0433F1C9"/>
    <w:rsid w:val="0443139A"/>
    <w:rsid w:val="0456F085"/>
    <w:rsid w:val="047405AD"/>
    <w:rsid w:val="04B0B2E6"/>
    <w:rsid w:val="050976B8"/>
    <w:rsid w:val="051E0855"/>
    <w:rsid w:val="053A70E7"/>
    <w:rsid w:val="055BD3D8"/>
    <w:rsid w:val="0580C8C0"/>
    <w:rsid w:val="05D62470"/>
    <w:rsid w:val="061430B8"/>
    <w:rsid w:val="063FD4F6"/>
    <w:rsid w:val="07079853"/>
    <w:rsid w:val="0764DA3F"/>
    <w:rsid w:val="07756A1F"/>
    <w:rsid w:val="077F0585"/>
    <w:rsid w:val="07C95BB7"/>
    <w:rsid w:val="07E11F3F"/>
    <w:rsid w:val="0808F94D"/>
    <w:rsid w:val="08244203"/>
    <w:rsid w:val="0861676C"/>
    <w:rsid w:val="08DB24C7"/>
    <w:rsid w:val="08F05106"/>
    <w:rsid w:val="0971F03F"/>
    <w:rsid w:val="099C6A07"/>
    <w:rsid w:val="09A25D1E"/>
    <w:rsid w:val="09AC4A4B"/>
    <w:rsid w:val="09BC7551"/>
    <w:rsid w:val="09C8E8AD"/>
    <w:rsid w:val="09CC6928"/>
    <w:rsid w:val="09D05B8A"/>
    <w:rsid w:val="0A7C710C"/>
    <w:rsid w:val="0A9668C0"/>
    <w:rsid w:val="0B1A1109"/>
    <w:rsid w:val="0B1DD36A"/>
    <w:rsid w:val="0B81A61B"/>
    <w:rsid w:val="0BC441D0"/>
    <w:rsid w:val="0BCE0D2D"/>
    <w:rsid w:val="0C768BAE"/>
    <w:rsid w:val="0CE151B0"/>
    <w:rsid w:val="0D26B571"/>
    <w:rsid w:val="0DC0A389"/>
    <w:rsid w:val="0DD28BD7"/>
    <w:rsid w:val="0E1384F4"/>
    <w:rsid w:val="0E49D8FA"/>
    <w:rsid w:val="0E4C6371"/>
    <w:rsid w:val="0E720EE5"/>
    <w:rsid w:val="0F4F68EB"/>
    <w:rsid w:val="1026F2B0"/>
    <w:rsid w:val="102EF6CB"/>
    <w:rsid w:val="106FF4F9"/>
    <w:rsid w:val="10D10B7D"/>
    <w:rsid w:val="10F8164E"/>
    <w:rsid w:val="11B52AC1"/>
    <w:rsid w:val="12696DA0"/>
    <w:rsid w:val="12733226"/>
    <w:rsid w:val="1288DFB2"/>
    <w:rsid w:val="12C7CE53"/>
    <w:rsid w:val="12E9B952"/>
    <w:rsid w:val="13299C60"/>
    <w:rsid w:val="134B3731"/>
    <w:rsid w:val="13602259"/>
    <w:rsid w:val="13D94333"/>
    <w:rsid w:val="13E46ED5"/>
    <w:rsid w:val="13E527D6"/>
    <w:rsid w:val="14176263"/>
    <w:rsid w:val="143818D0"/>
    <w:rsid w:val="14A93F52"/>
    <w:rsid w:val="14D914E1"/>
    <w:rsid w:val="15CBC8F2"/>
    <w:rsid w:val="15EFC558"/>
    <w:rsid w:val="1651C069"/>
    <w:rsid w:val="16653B0F"/>
    <w:rsid w:val="168B5844"/>
    <w:rsid w:val="16AFF62E"/>
    <w:rsid w:val="16C6FB6B"/>
    <w:rsid w:val="16E6A8F8"/>
    <w:rsid w:val="16EB86EC"/>
    <w:rsid w:val="1768E9AD"/>
    <w:rsid w:val="176B9324"/>
    <w:rsid w:val="1867F218"/>
    <w:rsid w:val="18E5A49E"/>
    <w:rsid w:val="196D706D"/>
    <w:rsid w:val="1976F36A"/>
    <w:rsid w:val="19953F51"/>
    <w:rsid w:val="19D02EC6"/>
    <w:rsid w:val="1A83D716"/>
    <w:rsid w:val="1AA9CDF3"/>
    <w:rsid w:val="1AFA2262"/>
    <w:rsid w:val="1B18F306"/>
    <w:rsid w:val="1B2372E3"/>
    <w:rsid w:val="1B99FA5C"/>
    <w:rsid w:val="1C28C57A"/>
    <w:rsid w:val="1C5D3596"/>
    <w:rsid w:val="1CC66497"/>
    <w:rsid w:val="1CE68F16"/>
    <w:rsid w:val="1D002A8A"/>
    <w:rsid w:val="1D50A7C3"/>
    <w:rsid w:val="1D99E9CA"/>
    <w:rsid w:val="1D9DFAEB"/>
    <w:rsid w:val="1E03717D"/>
    <w:rsid w:val="1E40CEC8"/>
    <w:rsid w:val="1E70F097"/>
    <w:rsid w:val="1E9662B3"/>
    <w:rsid w:val="1F8C8A12"/>
    <w:rsid w:val="1FCE6BD2"/>
    <w:rsid w:val="2036C530"/>
    <w:rsid w:val="20FB6F01"/>
    <w:rsid w:val="213CDD6C"/>
    <w:rsid w:val="21476BDB"/>
    <w:rsid w:val="21B20908"/>
    <w:rsid w:val="229C368D"/>
    <w:rsid w:val="22B419EC"/>
    <w:rsid w:val="22FB0C13"/>
    <w:rsid w:val="237320C9"/>
    <w:rsid w:val="23A50302"/>
    <w:rsid w:val="23BFC4F5"/>
    <w:rsid w:val="245F2505"/>
    <w:rsid w:val="2492D4EE"/>
    <w:rsid w:val="24A41654"/>
    <w:rsid w:val="251BABC5"/>
    <w:rsid w:val="252D51B4"/>
    <w:rsid w:val="2553B992"/>
    <w:rsid w:val="255E1FFA"/>
    <w:rsid w:val="25AA82EB"/>
    <w:rsid w:val="25C7798B"/>
    <w:rsid w:val="25FCA85B"/>
    <w:rsid w:val="269677EF"/>
    <w:rsid w:val="26AB1A35"/>
    <w:rsid w:val="26C3F48D"/>
    <w:rsid w:val="26D61580"/>
    <w:rsid w:val="271D2734"/>
    <w:rsid w:val="27A75DF3"/>
    <w:rsid w:val="2802CFB3"/>
    <w:rsid w:val="281DE5B8"/>
    <w:rsid w:val="2826B9C5"/>
    <w:rsid w:val="283264FE"/>
    <w:rsid w:val="288176F6"/>
    <w:rsid w:val="28B1C64C"/>
    <w:rsid w:val="29180CF1"/>
    <w:rsid w:val="29B5DFE3"/>
    <w:rsid w:val="29CF302F"/>
    <w:rsid w:val="2AD20191"/>
    <w:rsid w:val="2B25705F"/>
    <w:rsid w:val="2B32723A"/>
    <w:rsid w:val="2B39790A"/>
    <w:rsid w:val="2BA282B3"/>
    <w:rsid w:val="2BE44BD7"/>
    <w:rsid w:val="2C18AAD0"/>
    <w:rsid w:val="2C751C73"/>
    <w:rsid w:val="2C76150B"/>
    <w:rsid w:val="2D0D24E9"/>
    <w:rsid w:val="2D18ED18"/>
    <w:rsid w:val="2D577D6A"/>
    <w:rsid w:val="2D8CE219"/>
    <w:rsid w:val="2DD051C0"/>
    <w:rsid w:val="2E324327"/>
    <w:rsid w:val="2E789563"/>
    <w:rsid w:val="2F373D9F"/>
    <w:rsid w:val="2F3A3274"/>
    <w:rsid w:val="30492D4D"/>
    <w:rsid w:val="30655F6B"/>
    <w:rsid w:val="30A15F2E"/>
    <w:rsid w:val="313BE3A6"/>
    <w:rsid w:val="31472987"/>
    <w:rsid w:val="3151420D"/>
    <w:rsid w:val="3181ECA4"/>
    <w:rsid w:val="31A48D5E"/>
    <w:rsid w:val="32507A58"/>
    <w:rsid w:val="3258D847"/>
    <w:rsid w:val="3335E750"/>
    <w:rsid w:val="33518DE3"/>
    <w:rsid w:val="33683AD2"/>
    <w:rsid w:val="33A1DE6D"/>
    <w:rsid w:val="33AE3F09"/>
    <w:rsid w:val="3424E257"/>
    <w:rsid w:val="34461F00"/>
    <w:rsid w:val="345D5F29"/>
    <w:rsid w:val="34DE756D"/>
    <w:rsid w:val="34F11E96"/>
    <w:rsid w:val="34F49E6D"/>
    <w:rsid w:val="35976127"/>
    <w:rsid w:val="3598C0E9"/>
    <w:rsid w:val="35F46C0F"/>
    <w:rsid w:val="35F57332"/>
    <w:rsid w:val="36630DB0"/>
    <w:rsid w:val="36928243"/>
    <w:rsid w:val="369E1D79"/>
    <w:rsid w:val="36B098F2"/>
    <w:rsid w:val="37331A0F"/>
    <w:rsid w:val="374DAA1A"/>
    <w:rsid w:val="379FDB5C"/>
    <w:rsid w:val="37D549EC"/>
    <w:rsid w:val="383C12BB"/>
    <w:rsid w:val="386FD52C"/>
    <w:rsid w:val="387E7487"/>
    <w:rsid w:val="39088151"/>
    <w:rsid w:val="394A823E"/>
    <w:rsid w:val="39699E5F"/>
    <w:rsid w:val="3982301A"/>
    <w:rsid w:val="39BD719F"/>
    <w:rsid w:val="3A00E447"/>
    <w:rsid w:val="3B05E25C"/>
    <w:rsid w:val="3B303C76"/>
    <w:rsid w:val="3B59F363"/>
    <w:rsid w:val="3B7E5B9C"/>
    <w:rsid w:val="3B99CB32"/>
    <w:rsid w:val="3BE6249F"/>
    <w:rsid w:val="3BF3C84F"/>
    <w:rsid w:val="3BF6533E"/>
    <w:rsid w:val="3BFF27CC"/>
    <w:rsid w:val="3C0A0217"/>
    <w:rsid w:val="3C30CD1E"/>
    <w:rsid w:val="3C91C3B6"/>
    <w:rsid w:val="3D3C2747"/>
    <w:rsid w:val="3D47ED9F"/>
    <w:rsid w:val="3D7811A2"/>
    <w:rsid w:val="3D891848"/>
    <w:rsid w:val="3DA0B898"/>
    <w:rsid w:val="3E44D7E3"/>
    <w:rsid w:val="3E915319"/>
    <w:rsid w:val="3EF924E9"/>
    <w:rsid w:val="3F1C89B9"/>
    <w:rsid w:val="3F345606"/>
    <w:rsid w:val="3F46E3EC"/>
    <w:rsid w:val="3F733925"/>
    <w:rsid w:val="3FAC5FB4"/>
    <w:rsid w:val="3FB09495"/>
    <w:rsid w:val="40834F9F"/>
    <w:rsid w:val="41BF7996"/>
    <w:rsid w:val="42AAB19E"/>
    <w:rsid w:val="4305430E"/>
    <w:rsid w:val="4337A973"/>
    <w:rsid w:val="435BF2F6"/>
    <w:rsid w:val="4374421F"/>
    <w:rsid w:val="437F0DD6"/>
    <w:rsid w:val="43FED524"/>
    <w:rsid w:val="44E8850F"/>
    <w:rsid w:val="450DB9C9"/>
    <w:rsid w:val="461B4257"/>
    <w:rsid w:val="46B9669F"/>
    <w:rsid w:val="4734CBD4"/>
    <w:rsid w:val="474B8AC2"/>
    <w:rsid w:val="47CA467C"/>
    <w:rsid w:val="481427B4"/>
    <w:rsid w:val="48BFA432"/>
    <w:rsid w:val="492914C7"/>
    <w:rsid w:val="49A8F55A"/>
    <w:rsid w:val="4A3DF88D"/>
    <w:rsid w:val="4A48A206"/>
    <w:rsid w:val="4AFE4A2A"/>
    <w:rsid w:val="4B61955F"/>
    <w:rsid w:val="4B860AF2"/>
    <w:rsid w:val="4BCEDF94"/>
    <w:rsid w:val="4C7449C3"/>
    <w:rsid w:val="4D23DC17"/>
    <w:rsid w:val="4D4FC40D"/>
    <w:rsid w:val="4D586A73"/>
    <w:rsid w:val="4D9DD879"/>
    <w:rsid w:val="4DCCF241"/>
    <w:rsid w:val="4DE3EF10"/>
    <w:rsid w:val="4E034CB9"/>
    <w:rsid w:val="4E358180"/>
    <w:rsid w:val="4EF4D1E5"/>
    <w:rsid w:val="4F4F9DD9"/>
    <w:rsid w:val="4F616396"/>
    <w:rsid w:val="4F7DE728"/>
    <w:rsid w:val="4F95D37F"/>
    <w:rsid w:val="50078B92"/>
    <w:rsid w:val="506BB46B"/>
    <w:rsid w:val="507B1EA5"/>
    <w:rsid w:val="5143F9F4"/>
    <w:rsid w:val="518CC1AF"/>
    <w:rsid w:val="51B4DEB6"/>
    <w:rsid w:val="51D465F7"/>
    <w:rsid w:val="520DFDC9"/>
    <w:rsid w:val="52C852D0"/>
    <w:rsid w:val="52DCA287"/>
    <w:rsid w:val="52E2A157"/>
    <w:rsid w:val="537E41E0"/>
    <w:rsid w:val="53F061D5"/>
    <w:rsid w:val="54995731"/>
    <w:rsid w:val="551AEB64"/>
    <w:rsid w:val="553A6116"/>
    <w:rsid w:val="5545E29B"/>
    <w:rsid w:val="5593EBA6"/>
    <w:rsid w:val="55C3DAA3"/>
    <w:rsid w:val="55D95F5E"/>
    <w:rsid w:val="56336AD9"/>
    <w:rsid w:val="56B73AA0"/>
    <w:rsid w:val="56E4EA1A"/>
    <w:rsid w:val="56E52E15"/>
    <w:rsid w:val="5736FB98"/>
    <w:rsid w:val="57610ED4"/>
    <w:rsid w:val="576A5C09"/>
    <w:rsid w:val="590793A1"/>
    <w:rsid w:val="5912878F"/>
    <w:rsid w:val="594EB75F"/>
    <w:rsid w:val="59600E27"/>
    <w:rsid w:val="596D0ECE"/>
    <w:rsid w:val="5B156922"/>
    <w:rsid w:val="5B2F2081"/>
    <w:rsid w:val="5B454B06"/>
    <w:rsid w:val="5B51A7D1"/>
    <w:rsid w:val="5B7FF403"/>
    <w:rsid w:val="5BC96900"/>
    <w:rsid w:val="5C3108A0"/>
    <w:rsid w:val="5C892A65"/>
    <w:rsid w:val="5C9755CA"/>
    <w:rsid w:val="5C9F5A73"/>
    <w:rsid w:val="5CBDE317"/>
    <w:rsid w:val="5D7724A3"/>
    <w:rsid w:val="5DF74D06"/>
    <w:rsid w:val="5EAC0E1D"/>
    <w:rsid w:val="5EB6AE52"/>
    <w:rsid w:val="5ED14FC3"/>
    <w:rsid w:val="5F2EB2DA"/>
    <w:rsid w:val="5FAC6C78"/>
    <w:rsid w:val="5FD85EEF"/>
    <w:rsid w:val="5FEAE94D"/>
    <w:rsid w:val="5FEBCBE5"/>
    <w:rsid w:val="6039C46B"/>
    <w:rsid w:val="60827424"/>
    <w:rsid w:val="60841B83"/>
    <w:rsid w:val="60AA010D"/>
    <w:rsid w:val="60E90F8A"/>
    <w:rsid w:val="610F5BBE"/>
    <w:rsid w:val="618FA589"/>
    <w:rsid w:val="61920F36"/>
    <w:rsid w:val="61FBFD31"/>
    <w:rsid w:val="61FEBF66"/>
    <w:rsid w:val="623E194D"/>
    <w:rsid w:val="625BB150"/>
    <w:rsid w:val="627CC2B2"/>
    <w:rsid w:val="628FD22C"/>
    <w:rsid w:val="62BF61BA"/>
    <w:rsid w:val="62C32C95"/>
    <w:rsid w:val="62CFB4CC"/>
    <w:rsid w:val="63193E03"/>
    <w:rsid w:val="637DDCE1"/>
    <w:rsid w:val="63AF7FEA"/>
    <w:rsid w:val="63BD7EAB"/>
    <w:rsid w:val="63D78E94"/>
    <w:rsid w:val="63DD168D"/>
    <w:rsid w:val="63FD1BDF"/>
    <w:rsid w:val="64B03D08"/>
    <w:rsid w:val="64DBFEC5"/>
    <w:rsid w:val="64EE64EC"/>
    <w:rsid w:val="653085FA"/>
    <w:rsid w:val="65491422"/>
    <w:rsid w:val="659D258E"/>
    <w:rsid w:val="6611F2F0"/>
    <w:rsid w:val="6661628E"/>
    <w:rsid w:val="6663A2E9"/>
    <w:rsid w:val="666A93AA"/>
    <w:rsid w:val="6676B63F"/>
    <w:rsid w:val="67013C5E"/>
    <w:rsid w:val="67DC2A67"/>
    <w:rsid w:val="6806EF65"/>
    <w:rsid w:val="682DD11F"/>
    <w:rsid w:val="684CFBA3"/>
    <w:rsid w:val="68650527"/>
    <w:rsid w:val="687AC080"/>
    <w:rsid w:val="68A9372F"/>
    <w:rsid w:val="691BB66B"/>
    <w:rsid w:val="6972E0C4"/>
    <w:rsid w:val="6975B88F"/>
    <w:rsid w:val="697C8B28"/>
    <w:rsid w:val="69FBA2F5"/>
    <w:rsid w:val="69FFB758"/>
    <w:rsid w:val="6A15D760"/>
    <w:rsid w:val="6A6B1CDB"/>
    <w:rsid w:val="6B15BEA6"/>
    <w:rsid w:val="6B294018"/>
    <w:rsid w:val="6B347D5C"/>
    <w:rsid w:val="6C6B95E7"/>
    <w:rsid w:val="6C7DAD30"/>
    <w:rsid w:val="6CE07C98"/>
    <w:rsid w:val="6CE9B784"/>
    <w:rsid w:val="6D1BD17E"/>
    <w:rsid w:val="6D9D33A0"/>
    <w:rsid w:val="6E167495"/>
    <w:rsid w:val="6E2491E3"/>
    <w:rsid w:val="6E2FEF71"/>
    <w:rsid w:val="6E7E8767"/>
    <w:rsid w:val="6E8FA3B8"/>
    <w:rsid w:val="6F1094AD"/>
    <w:rsid w:val="6F11D08D"/>
    <w:rsid w:val="6F8B4E91"/>
    <w:rsid w:val="7077C3AE"/>
    <w:rsid w:val="70D58664"/>
    <w:rsid w:val="714D28F7"/>
    <w:rsid w:val="719D634C"/>
    <w:rsid w:val="71B3A250"/>
    <w:rsid w:val="71B4774B"/>
    <w:rsid w:val="73157131"/>
    <w:rsid w:val="731E10A4"/>
    <w:rsid w:val="733807B9"/>
    <w:rsid w:val="74301E95"/>
    <w:rsid w:val="745631D4"/>
    <w:rsid w:val="74DF6D6A"/>
    <w:rsid w:val="7531FA8D"/>
    <w:rsid w:val="75AE166E"/>
    <w:rsid w:val="75CDA647"/>
    <w:rsid w:val="75E18F07"/>
    <w:rsid w:val="76BE63F7"/>
    <w:rsid w:val="76EAD5FF"/>
    <w:rsid w:val="771741CE"/>
    <w:rsid w:val="772A00E0"/>
    <w:rsid w:val="7769D629"/>
    <w:rsid w:val="78C75AB3"/>
    <w:rsid w:val="78CE1775"/>
    <w:rsid w:val="78D3ABF0"/>
    <w:rsid w:val="79D09327"/>
    <w:rsid w:val="7A1AE80C"/>
    <w:rsid w:val="7A2A7DE8"/>
    <w:rsid w:val="7A6B5DD4"/>
    <w:rsid w:val="7AB5E990"/>
    <w:rsid w:val="7B2FE926"/>
    <w:rsid w:val="7B8FD9C2"/>
    <w:rsid w:val="7BAC424A"/>
    <w:rsid w:val="7BE50F4B"/>
    <w:rsid w:val="7C504F3B"/>
    <w:rsid w:val="7C68356B"/>
    <w:rsid w:val="7CD7C07E"/>
    <w:rsid w:val="7D726335"/>
    <w:rsid w:val="7E182344"/>
    <w:rsid w:val="7E8DA324"/>
    <w:rsid w:val="7E9DCD28"/>
    <w:rsid w:val="7EC74F65"/>
    <w:rsid w:val="7F486321"/>
    <w:rsid w:val="7F6F2651"/>
    <w:rsid w:val="7FA8EFDE"/>
    <w:rsid w:val="7FAC06AC"/>
    <w:rsid w:val="7FF51676"/>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C16510"/>
  <w15:docId w15:val="{511B3E95-7A83-47B8-9E4B-2C4C5BDCB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4175"/>
  </w:style>
  <w:style w:type="paragraph" w:styleId="Heading1">
    <w:name w:val="heading 1"/>
    <w:basedOn w:val="Normal"/>
    <w:next w:val="Normal"/>
    <w:link w:val="Heading1Char"/>
    <w:uiPriority w:val="9"/>
    <w:qFormat/>
    <w:rsid w:val="00744175"/>
    <w:pPr>
      <w:keepNext/>
      <w:keepLines/>
      <w:spacing w:before="320" w:after="0" w:line="240" w:lineRule="auto"/>
      <w:outlineLvl w:val="0"/>
    </w:pPr>
    <w:rPr>
      <w:rFonts w:asciiTheme="majorHAnsi" w:eastAsiaTheme="majorEastAsia" w:hAnsiTheme="majorHAnsi" w:cstheme="majorBidi"/>
      <w:color w:val="365F91" w:themeColor="accent1" w:themeShade="BF"/>
      <w:sz w:val="30"/>
      <w:szCs w:val="30"/>
    </w:rPr>
  </w:style>
  <w:style w:type="paragraph" w:styleId="Heading2">
    <w:name w:val="heading 2"/>
    <w:basedOn w:val="Normal"/>
    <w:next w:val="Normal"/>
    <w:link w:val="Heading2Char"/>
    <w:uiPriority w:val="9"/>
    <w:unhideWhenUsed/>
    <w:qFormat/>
    <w:rsid w:val="00744175"/>
    <w:pPr>
      <w:keepNext/>
      <w:keepLines/>
      <w:spacing w:before="40" w:after="0" w:line="240" w:lineRule="auto"/>
      <w:outlineLvl w:val="1"/>
    </w:pPr>
    <w:rPr>
      <w:rFonts w:asciiTheme="majorHAnsi" w:eastAsiaTheme="majorEastAsia" w:hAnsiTheme="majorHAnsi" w:cstheme="majorBidi"/>
      <w:color w:val="943634" w:themeColor="accent2" w:themeShade="BF"/>
      <w:sz w:val="28"/>
      <w:szCs w:val="28"/>
    </w:rPr>
  </w:style>
  <w:style w:type="paragraph" w:styleId="Heading3">
    <w:name w:val="heading 3"/>
    <w:basedOn w:val="Normal"/>
    <w:next w:val="Normal"/>
    <w:link w:val="Heading3Char"/>
    <w:uiPriority w:val="9"/>
    <w:unhideWhenUsed/>
    <w:qFormat/>
    <w:rsid w:val="00744175"/>
    <w:pPr>
      <w:keepNext/>
      <w:keepLines/>
      <w:spacing w:before="40" w:after="0" w:line="240" w:lineRule="auto"/>
      <w:outlineLvl w:val="2"/>
    </w:pPr>
    <w:rPr>
      <w:rFonts w:asciiTheme="majorHAnsi" w:eastAsiaTheme="majorEastAsia" w:hAnsiTheme="majorHAnsi" w:cstheme="majorBidi"/>
      <w:color w:val="E36C0A" w:themeColor="accent6" w:themeShade="BF"/>
      <w:sz w:val="26"/>
      <w:szCs w:val="26"/>
    </w:rPr>
  </w:style>
  <w:style w:type="paragraph" w:styleId="Heading4">
    <w:name w:val="heading 4"/>
    <w:basedOn w:val="Normal"/>
    <w:next w:val="Normal"/>
    <w:link w:val="Heading4Char"/>
    <w:uiPriority w:val="9"/>
    <w:unhideWhenUsed/>
    <w:qFormat/>
    <w:rsid w:val="00744175"/>
    <w:pPr>
      <w:keepNext/>
      <w:keepLines/>
      <w:spacing w:before="40" w:after="0"/>
      <w:outlineLvl w:val="3"/>
    </w:pPr>
    <w:rPr>
      <w:rFonts w:asciiTheme="majorHAnsi" w:eastAsiaTheme="majorEastAsia" w:hAnsiTheme="majorHAnsi" w:cstheme="majorBidi"/>
      <w:i/>
      <w:iCs/>
      <w:color w:val="31849B" w:themeColor="accent5" w:themeShade="BF"/>
      <w:sz w:val="25"/>
      <w:szCs w:val="25"/>
    </w:rPr>
  </w:style>
  <w:style w:type="paragraph" w:styleId="Heading5">
    <w:name w:val="heading 5"/>
    <w:basedOn w:val="Normal"/>
    <w:next w:val="Normal"/>
    <w:link w:val="Heading5Char"/>
    <w:uiPriority w:val="9"/>
    <w:unhideWhenUsed/>
    <w:qFormat/>
    <w:rsid w:val="00744175"/>
    <w:pPr>
      <w:keepNext/>
      <w:keepLines/>
      <w:spacing w:before="40" w:after="0"/>
      <w:outlineLvl w:val="4"/>
    </w:pPr>
    <w:rPr>
      <w:rFonts w:asciiTheme="majorHAnsi" w:eastAsiaTheme="majorEastAsia" w:hAnsiTheme="majorHAnsi" w:cstheme="majorBidi"/>
      <w:i/>
      <w:iCs/>
      <w:color w:val="632423" w:themeColor="accent2" w:themeShade="80"/>
      <w:sz w:val="24"/>
      <w:szCs w:val="24"/>
    </w:rPr>
  </w:style>
  <w:style w:type="paragraph" w:styleId="Heading6">
    <w:name w:val="heading 6"/>
    <w:basedOn w:val="Normal"/>
    <w:next w:val="Normal"/>
    <w:link w:val="Heading6Char"/>
    <w:uiPriority w:val="9"/>
    <w:semiHidden/>
    <w:unhideWhenUsed/>
    <w:qFormat/>
    <w:rsid w:val="00744175"/>
    <w:pPr>
      <w:keepNext/>
      <w:keepLines/>
      <w:spacing w:before="40" w:after="0"/>
      <w:outlineLvl w:val="5"/>
    </w:pPr>
    <w:rPr>
      <w:rFonts w:asciiTheme="majorHAnsi" w:eastAsiaTheme="majorEastAsia" w:hAnsiTheme="majorHAnsi" w:cstheme="majorBidi"/>
      <w:i/>
      <w:iCs/>
      <w:color w:val="984806" w:themeColor="accent6" w:themeShade="80"/>
      <w:sz w:val="23"/>
      <w:szCs w:val="23"/>
    </w:rPr>
  </w:style>
  <w:style w:type="paragraph" w:styleId="Heading7">
    <w:name w:val="heading 7"/>
    <w:basedOn w:val="Normal"/>
    <w:next w:val="Normal"/>
    <w:link w:val="Heading7Char"/>
    <w:uiPriority w:val="9"/>
    <w:semiHidden/>
    <w:unhideWhenUsed/>
    <w:qFormat/>
    <w:rsid w:val="00744175"/>
    <w:pPr>
      <w:keepNext/>
      <w:keepLines/>
      <w:spacing w:before="40" w:after="0"/>
      <w:outlineLvl w:val="6"/>
    </w:pPr>
    <w:rPr>
      <w:rFonts w:asciiTheme="majorHAnsi" w:eastAsiaTheme="majorEastAsia" w:hAnsiTheme="majorHAnsi" w:cstheme="majorBidi"/>
      <w:color w:val="244061" w:themeColor="accent1" w:themeShade="80"/>
    </w:rPr>
  </w:style>
  <w:style w:type="paragraph" w:styleId="Heading8">
    <w:name w:val="heading 8"/>
    <w:basedOn w:val="Normal"/>
    <w:next w:val="Normal"/>
    <w:link w:val="Heading8Char"/>
    <w:uiPriority w:val="9"/>
    <w:semiHidden/>
    <w:unhideWhenUsed/>
    <w:qFormat/>
    <w:rsid w:val="00744175"/>
    <w:pPr>
      <w:keepNext/>
      <w:keepLines/>
      <w:spacing w:before="40" w:after="0"/>
      <w:outlineLvl w:val="7"/>
    </w:pPr>
    <w:rPr>
      <w:rFonts w:asciiTheme="majorHAnsi" w:eastAsiaTheme="majorEastAsia" w:hAnsiTheme="majorHAnsi" w:cstheme="majorBidi"/>
      <w:color w:val="632423" w:themeColor="accent2" w:themeShade="80"/>
      <w:sz w:val="21"/>
      <w:szCs w:val="21"/>
    </w:rPr>
  </w:style>
  <w:style w:type="paragraph" w:styleId="Heading9">
    <w:name w:val="heading 9"/>
    <w:basedOn w:val="Normal"/>
    <w:next w:val="Normal"/>
    <w:link w:val="Heading9Char"/>
    <w:uiPriority w:val="9"/>
    <w:semiHidden/>
    <w:unhideWhenUsed/>
    <w:qFormat/>
    <w:rsid w:val="00744175"/>
    <w:pPr>
      <w:keepNext/>
      <w:keepLines/>
      <w:spacing w:before="40" w:after="0"/>
      <w:outlineLvl w:val="8"/>
    </w:pPr>
    <w:rPr>
      <w:rFonts w:asciiTheme="majorHAnsi" w:eastAsiaTheme="majorEastAsia" w:hAnsiTheme="majorHAnsi" w:cstheme="majorBidi"/>
      <w:color w:val="984806"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B32ADA"/>
    <w:pPr>
      <w:tabs>
        <w:tab w:val="center" w:pos="4153"/>
        <w:tab w:val="right" w:pos="8306"/>
      </w:tabs>
    </w:pPr>
    <w:rPr>
      <w:color w:val="013799"/>
      <w:sz w:val="14"/>
    </w:rPr>
  </w:style>
  <w:style w:type="character" w:customStyle="1" w:styleId="HeaderChar">
    <w:name w:val="Header Char"/>
    <w:basedOn w:val="DefaultParagraphFont"/>
    <w:link w:val="Header"/>
    <w:semiHidden/>
    <w:rsid w:val="00B32ADA"/>
    <w:rPr>
      <w:rFonts w:ascii="Arial" w:eastAsia="Times New Roman" w:hAnsi="Arial" w:cs="Times New Roman"/>
      <w:color w:val="013799"/>
      <w:sz w:val="14"/>
      <w:szCs w:val="20"/>
    </w:rPr>
  </w:style>
  <w:style w:type="paragraph" w:styleId="Footer">
    <w:name w:val="footer"/>
    <w:link w:val="FooterChar"/>
    <w:uiPriority w:val="99"/>
    <w:rsid w:val="00B32ADA"/>
    <w:pPr>
      <w:spacing w:after="0" w:line="160" w:lineRule="atLeast"/>
      <w:jc w:val="right"/>
    </w:pPr>
    <w:rPr>
      <w:rFonts w:ascii="Arial" w:eastAsia="Times New Roman" w:hAnsi="Arial" w:cs="Times New Roman"/>
      <w:color w:val="333333"/>
      <w:sz w:val="12"/>
      <w:szCs w:val="20"/>
    </w:rPr>
  </w:style>
  <w:style w:type="character" w:customStyle="1" w:styleId="FooterChar">
    <w:name w:val="Footer Char"/>
    <w:basedOn w:val="DefaultParagraphFont"/>
    <w:link w:val="Footer"/>
    <w:uiPriority w:val="99"/>
    <w:rsid w:val="00B32ADA"/>
    <w:rPr>
      <w:rFonts w:ascii="Arial" w:eastAsia="Times New Roman" w:hAnsi="Arial" w:cs="Times New Roman"/>
      <w:color w:val="333333"/>
      <w:sz w:val="12"/>
      <w:szCs w:val="20"/>
    </w:rPr>
  </w:style>
  <w:style w:type="paragraph" w:styleId="BalloonText">
    <w:name w:val="Balloon Text"/>
    <w:basedOn w:val="Normal"/>
    <w:link w:val="BalloonTextChar"/>
    <w:uiPriority w:val="99"/>
    <w:semiHidden/>
    <w:unhideWhenUsed/>
    <w:rsid w:val="0041255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553"/>
    <w:rPr>
      <w:rFonts w:ascii="Tahoma" w:hAnsi="Tahoma" w:cs="Tahoma"/>
      <w:sz w:val="16"/>
      <w:szCs w:val="16"/>
    </w:rPr>
  </w:style>
  <w:style w:type="paragraph" w:customStyle="1" w:styleId="BodyTextnoparaspace">
    <w:name w:val="Body Text (no para space)"/>
    <w:basedOn w:val="BodyText"/>
    <w:rsid w:val="00401DA3"/>
    <w:pPr>
      <w:spacing w:before="0" w:after="0"/>
    </w:pPr>
  </w:style>
  <w:style w:type="paragraph" w:styleId="BodyText">
    <w:name w:val="Body Text"/>
    <w:basedOn w:val="Normal"/>
    <w:link w:val="BodyTextChar"/>
    <w:rsid w:val="00401DA3"/>
    <w:pPr>
      <w:tabs>
        <w:tab w:val="left" w:pos="284"/>
        <w:tab w:val="left" w:pos="567"/>
      </w:tabs>
      <w:spacing w:before="60"/>
    </w:pPr>
  </w:style>
  <w:style w:type="character" w:customStyle="1" w:styleId="BodyTextChar">
    <w:name w:val="Body Text Char"/>
    <w:basedOn w:val="DefaultParagraphFont"/>
    <w:link w:val="BodyText"/>
    <w:rsid w:val="00401DA3"/>
    <w:rPr>
      <w:rFonts w:ascii="Garamond" w:eastAsia="Times New Roman" w:hAnsi="Garamond" w:cs="Times New Roman"/>
      <w:sz w:val="20"/>
      <w:szCs w:val="20"/>
    </w:rPr>
  </w:style>
  <w:style w:type="paragraph" w:styleId="Caption">
    <w:name w:val="caption"/>
    <w:basedOn w:val="Normal"/>
    <w:next w:val="Normal"/>
    <w:uiPriority w:val="35"/>
    <w:unhideWhenUsed/>
    <w:qFormat/>
    <w:rsid w:val="00744175"/>
    <w:pPr>
      <w:spacing w:line="240" w:lineRule="auto"/>
    </w:pPr>
    <w:rPr>
      <w:b/>
      <w:bCs/>
      <w:smallCaps/>
      <w:color w:val="4F81BD" w:themeColor="accent1"/>
      <w:spacing w:val="6"/>
    </w:rPr>
  </w:style>
  <w:style w:type="paragraph" w:customStyle="1" w:styleId="CoverText">
    <w:name w:val="Cover Text"/>
    <w:basedOn w:val="BodyText"/>
    <w:semiHidden/>
    <w:rsid w:val="00B32ADA"/>
    <w:pPr>
      <w:spacing w:after="0"/>
    </w:pPr>
  </w:style>
  <w:style w:type="paragraph" w:styleId="DocumentMap">
    <w:name w:val="Document Map"/>
    <w:basedOn w:val="Normal"/>
    <w:link w:val="DocumentMapChar"/>
    <w:semiHidden/>
    <w:rsid w:val="00B32ADA"/>
    <w:pPr>
      <w:shd w:val="clear" w:color="auto" w:fill="000080"/>
    </w:pPr>
    <w:rPr>
      <w:rFonts w:ascii="Tahoma" w:hAnsi="Tahoma"/>
      <w:lang w:val="en-GB"/>
    </w:rPr>
  </w:style>
  <w:style w:type="character" w:customStyle="1" w:styleId="DocumentMapChar">
    <w:name w:val="Document Map Char"/>
    <w:basedOn w:val="DefaultParagraphFont"/>
    <w:link w:val="DocumentMap"/>
    <w:semiHidden/>
    <w:rsid w:val="00B32ADA"/>
    <w:rPr>
      <w:rFonts w:ascii="Tahoma" w:eastAsia="Times New Roman" w:hAnsi="Tahoma" w:cs="Times New Roman"/>
      <w:sz w:val="20"/>
      <w:szCs w:val="20"/>
      <w:shd w:val="clear" w:color="auto" w:fill="000080"/>
      <w:lang w:val="en-GB"/>
    </w:rPr>
  </w:style>
  <w:style w:type="character" w:styleId="EndnoteReference">
    <w:name w:val="endnote reference"/>
    <w:basedOn w:val="DefaultParagraphFont"/>
    <w:semiHidden/>
    <w:rsid w:val="00B32ADA"/>
    <w:rPr>
      <w:rFonts w:ascii="Times New Roman" w:hAnsi="Times New Roman"/>
      <w:sz w:val="18"/>
      <w:vertAlign w:val="superscript"/>
    </w:rPr>
  </w:style>
  <w:style w:type="paragraph" w:styleId="EndnoteText">
    <w:name w:val="endnote text"/>
    <w:basedOn w:val="Normal"/>
    <w:link w:val="EndnoteTextChar"/>
    <w:semiHidden/>
    <w:rsid w:val="00B32ADA"/>
  </w:style>
  <w:style w:type="character" w:customStyle="1" w:styleId="EndnoteTextChar">
    <w:name w:val="Endnote Text Char"/>
    <w:basedOn w:val="DefaultParagraphFont"/>
    <w:link w:val="EndnoteText"/>
    <w:semiHidden/>
    <w:rsid w:val="00B32ADA"/>
    <w:rPr>
      <w:rFonts w:ascii="Arial" w:eastAsia="Times New Roman" w:hAnsi="Arial" w:cs="Times New Roman"/>
      <w:sz w:val="18"/>
      <w:szCs w:val="20"/>
    </w:rPr>
  </w:style>
  <w:style w:type="character" w:styleId="FollowedHyperlink">
    <w:name w:val="FollowedHyperlink"/>
    <w:basedOn w:val="DefaultParagraphFont"/>
    <w:semiHidden/>
    <w:rsid w:val="00B32ADA"/>
    <w:rPr>
      <w:rFonts w:ascii="Arial" w:hAnsi="Arial"/>
      <w:color w:val="013799"/>
      <w:sz w:val="18"/>
      <w:u w:val="single"/>
    </w:rPr>
  </w:style>
  <w:style w:type="character" w:styleId="FootnoteReference">
    <w:name w:val="footnote reference"/>
    <w:basedOn w:val="DefaultParagraphFont"/>
    <w:uiPriority w:val="99"/>
    <w:rsid w:val="00B32ADA"/>
    <w:rPr>
      <w:rFonts w:ascii="Times New Roman" w:hAnsi="Times New Roman"/>
      <w:sz w:val="18"/>
      <w:vertAlign w:val="superscript"/>
    </w:rPr>
  </w:style>
  <w:style w:type="paragraph" w:styleId="FootnoteText">
    <w:name w:val="footnote text"/>
    <w:basedOn w:val="Normal"/>
    <w:link w:val="FootnoteTextChar"/>
    <w:uiPriority w:val="99"/>
    <w:rsid w:val="00B32ADA"/>
    <w:pPr>
      <w:spacing w:after="240" w:line="260" w:lineRule="atLeast"/>
    </w:pPr>
  </w:style>
  <w:style w:type="character" w:customStyle="1" w:styleId="FootnoteTextChar">
    <w:name w:val="Footnote Text Char"/>
    <w:basedOn w:val="DefaultParagraphFont"/>
    <w:link w:val="FootnoteText"/>
    <w:rsid w:val="00B32ADA"/>
    <w:rPr>
      <w:rFonts w:ascii="Arial" w:eastAsia="Times New Roman" w:hAnsi="Arial" w:cs="Times New Roman"/>
      <w:sz w:val="18"/>
      <w:szCs w:val="20"/>
    </w:rPr>
  </w:style>
  <w:style w:type="character" w:customStyle="1" w:styleId="Heading1Char">
    <w:name w:val="Heading 1 Char"/>
    <w:basedOn w:val="DefaultParagraphFont"/>
    <w:link w:val="Heading1"/>
    <w:uiPriority w:val="9"/>
    <w:rsid w:val="00744175"/>
    <w:rPr>
      <w:rFonts w:asciiTheme="majorHAnsi" w:eastAsiaTheme="majorEastAsia" w:hAnsiTheme="majorHAnsi" w:cstheme="majorBidi"/>
      <w:color w:val="365F91" w:themeColor="accent1" w:themeShade="BF"/>
      <w:sz w:val="30"/>
      <w:szCs w:val="30"/>
    </w:rPr>
  </w:style>
  <w:style w:type="paragraph" w:customStyle="1" w:styleId="Heading1-nonumbers">
    <w:name w:val="Heading 1 - no numbers"/>
    <w:basedOn w:val="Heading1"/>
    <w:next w:val="BodyText"/>
    <w:semiHidden/>
    <w:rsid w:val="00542E83"/>
  </w:style>
  <w:style w:type="character" w:customStyle="1" w:styleId="Heading2Char">
    <w:name w:val="Heading 2 Char"/>
    <w:basedOn w:val="DefaultParagraphFont"/>
    <w:link w:val="Heading2"/>
    <w:uiPriority w:val="9"/>
    <w:rsid w:val="00744175"/>
    <w:rPr>
      <w:rFonts w:asciiTheme="majorHAnsi" w:eastAsiaTheme="majorEastAsia" w:hAnsiTheme="majorHAnsi" w:cstheme="majorBidi"/>
      <w:color w:val="943634" w:themeColor="accent2" w:themeShade="BF"/>
      <w:sz w:val="28"/>
      <w:szCs w:val="28"/>
    </w:rPr>
  </w:style>
  <w:style w:type="paragraph" w:customStyle="1" w:styleId="Heading2-nonumbers">
    <w:name w:val="Heading 2 - no numbers"/>
    <w:basedOn w:val="Heading2"/>
    <w:next w:val="BodyText"/>
    <w:link w:val="Heading2-nonumbersChar"/>
    <w:semiHidden/>
    <w:rsid w:val="00542E83"/>
    <w:rPr>
      <w:sz w:val="18"/>
    </w:rPr>
  </w:style>
  <w:style w:type="character" w:customStyle="1" w:styleId="Heading2-nonumbersChar">
    <w:name w:val="Heading 2 - no numbers Char"/>
    <w:basedOn w:val="Heading2Char"/>
    <w:link w:val="Heading2-nonumbers"/>
    <w:semiHidden/>
    <w:locked/>
    <w:rsid w:val="00542E83"/>
    <w:rPr>
      <w:rFonts w:ascii="Garamond" w:eastAsia="Times New Roman" w:hAnsi="Garamond" w:cs="Times New Roman"/>
      <w:b w:val="0"/>
      <w:color w:val="000000"/>
      <w:spacing w:val="5"/>
      <w:kern w:val="28"/>
      <w:sz w:val="18"/>
      <w:szCs w:val="20"/>
    </w:rPr>
  </w:style>
  <w:style w:type="character" w:customStyle="1" w:styleId="Heading3Char">
    <w:name w:val="Heading 3 Char"/>
    <w:basedOn w:val="DefaultParagraphFont"/>
    <w:link w:val="Heading3"/>
    <w:uiPriority w:val="9"/>
    <w:rsid w:val="00744175"/>
    <w:rPr>
      <w:rFonts w:asciiTheme="majorHAnsi" w:eastAsiaTheme="majorEastAsia" w:hAnsiTheme="majorHAnsi" w:cstheme="majorBidi"/>
      <w:color w:val="E36C0A" w:themeColor="accent6" w:themeShade="BF"/>
      <w:sz w:val="26"/>
      <w:szCs w:val="26"/>
    </w:rPr>
  </w:style>
  <w:style w:type="paragraph" w:customStyle="1" w:styleId="Heading3-nonumbers">
    <w:name w:val="Heading 3 - no numbers"/>
    <w:basedOn w:val="Heading3"/>
    <w:next w:val="BodyText"/>
    <w:link w:val="Heading3-nonumbersChar"/>
    <w:semiHidden/>
    <w:rsid w:val="00542E83"/>
    <w:pPr>
      <w:tabs>
        <w:tab w:val="left" w:pos="567"/>
      </w:tabs>
    </w:pPr>
    <w:rPr>
      <w:sz w:val="18"/>
    </w:rPr>
  </w:style>
  <w:style w:type="character" w:customStyle="1" w:styleId="Heading3-nonumbersChar">
    <w:name w:val="Heading 3 - no numbers Char"/>
    <w:basedOn w:val="Heading3Char"/>
    <w:link w:val="Heading3-nonumbers"/>
    <w:semiHidden/>
    <w:locked/>
    <w:rsid w:val="00542E83"/>
    <w:rPr>
      <w:rFonts w:ascii="Garamond" w:eastAsia="Times New Roman" w:hAnsi="Garamond" w:cs="Times New Roman"/>
      <w:b w:val="0"/>
      <w:color w:val="E36C0A" w:themeColor="accent6" w:themeShade="BF"/>
      <w:spacing w:val="5"/>
      <w:kern w:val="28"/>
      <w:sz w:val="18"/>
      <w:szCs w:val="20"/>
      <w:lang w:val="en-GB"/>
    </w:rPr>
  </w:style>
  <w:style w:type="character" w:customStyle="1" w:styleId="Heading4Char">
    <w:name w:val="Heading 4 Char"/>
    <w:basedOn w:val="DefaultParagraphFont"/>
    <w:link w:val="Heading4"/>
    <w:uiPriority w:val="9"/>
    <w:rsid w:val="00744175"/>
    <w:rPr>
      <w:rFonts w:asciiTheme="majorHAnsi" w:eastAsiaTheme="majorEastAsia" w:hAnsiTheme="majorHAnsi" w:cstheme="majorBidi"/>
      <w:i/>
      <w:iCs/>
      <w:color w:val="31849B" w:themeColor="accent5" w:themeShade="BF"/>
      <w:sz w:val="25"/>
      <w:szCs w:val="25"/>
    </w:rPr>
  </w:style>
  <w:style w:type="character" w:customStyle="1" w:styleId="Heading5Char">
    <w:name w:val="Heading 5 Char"/>
    <w:basedOn w:val="DefaultParagraphFont"/>
    <w:link w:val="Heading5"/>
    <w:uiPriority w:val="9"/>
    <w:rsid w:val="00744175"/>
    <w:rPr>
      <w:rFonts w:asciiTheme="majorHAnsi" w:eastAsiaTheme="majorEastAsia" w:hAnsiTheme="majorHAnsi" w:cstheme="majorBidi"/>
      <w:i/>
      <w:iCs/>
      <w:color w:val="632423" w:themeColor="accent2" w:themeShade="80"/>
      <w:sz w:val="24"/>
      <w:szCs w:val="24"/>
    </w:rPr>
  </w:style>
  <w:style w:type="character" w:customStyle="1" w:styleId="Heading6Char">
    <w:name w:val="Heading 6 Char"/>
    <w:basedOn w:val="DefaultParagraphFont"/>
    <w:link w:val="Heading6"/>
    <w:uiPriority w:val="9"/>
    <w:semiHidden/>
    <w:rsid w:val="00744175"/>
    <w:rPr>
      <w:rFonts w:asciiTheme="majorHAnsi" w:eastAsiaTheme="majorEastAsia" w:hAnsiTheme="majorHAnsi" w:cstheme="majorBidi"/>
      <w:i/>
      <w:iCs/>
      <w:color w:val="984806" w:themeColor="accent6" w:themeShade="80"/>
      <w:sz w:val="23"/>
      <w:szCs w:val="23"/>
    </w:rPr>
  </w:style>
  <w:style w:type="character" w:customStyle="1" w:styleId="Heading7Char">
    <w:name w:val="Heading 7 Char"/>
    <w:basedOn w:val="DefaultParagraphFont"/>
    <w:link w:val="Heading7"/>
    <w:uiPriority w:val="9"/>
    <w:semiHidden/>
    <w:rsid w:val="00744175"/>
    <w:rPr>
      <w:rFonts w:asciiTheme="majorHAnsi" w:eastAsiaTheme="majorEastAsia" w:hAnsiTheme="majorHAnsi" w:cstheme="majorBidi"/>
      <w:color w:val="244061" w:themeColor="accent1" w:themeShade="80"/>
    </w:rPr>
  </w:style>
  <w:style w:type="character" w:customStyle="1" w:styleId="Heading8Char">
    <w:name w:val="Heading 8 Char"/>
    <w:basedOn w:val="DefaultParagraphFont"/>
    <w:link w:val="Heading8"/>
    <w:uiPriority w:val="9"/>
    <w:semiHidden/>
    <w:rsid w:val="00744175"/>
    <w:rPr>
      <w:rFonts w:asciiTheme="majorHAnsi" w:eastAsiaTheme="majorEastAsia" w:hAnsiTheme="majorHAnsi" w:cstheme="majorBidi"/>
      <w:color w:val="632423" w:themeColor="accent2" w:themeShade="80"/>
      <w:sz w:val="21"/>
      <w:szCs w:val="21"/>
    </w:rPr>
  </w:style>
  <w:style w:type="character" w:customStyle="1" w:styleId="Heading9Char">
    <w:name w:val="Heading 9 Char"/>
    <w:basedOn w:val="DefaultParagraphFont"/>
    <w:link w:val="Heading9"/>
    <w:uiPriority w:val="9"/>
    <w:semiHidden/>
    <w:rsid w:val="00744175"/>
    <w:rPr>
      <w:rFonts w:asciiTheme="majorHAnsi" w:eastAsiaTheme="majorEastAsia" w:hAnsiTheme="majorHAnsi" w:cstheme="majorBidi"/>
      <w:color w:val="984806" w:themeColor="accent6" w:themeShade="80"/>
    </w:rPr>
  </w:style>
  <w:style w:type="paragraph" w:customStyle="1" w:styleId="HeadingMajor">
    <w:name w:val="Heading Major"/>
    <w:basedOn w:val="Heading1-nonumbers"/>
    <w:rsid w:val="009B31A8"/>
    <w:pPr>
      <w:tabs>
        <w:tab w:val="right" w:pos="9072"/>
      </w:tabs>
      <w:spacing w:before="840"/>
    </w:pPr>
    <w:rPr>
      <w:b/>
      <w:sz w:val="72"/>
    </w:rPr>
  </w:style>
  <w:style w:type="paragraph" w:customStyle="1" w:styleId="HeadingMinor">
    <w:name w:val="Heading Minor"/>
    <w:basedOn w:val="Heading1-nonumbers"/>
    <w:next w:val="BodyText"/>
    <w:link w:val="HeadingMinorChar"/>
    <w:rsid w:val="00533281"/>
  </w:style>
  <w:style w:type="character" w:customStyle="1" w:styleId="HeadingMinorChar">
    <w:name w:val="Heading Minor Char"/>
    <w:basedOn w:val="Heading3-nonumbersChar"/>
    <w:link w:val="HeadingMinor"/>
    <w:locked/>
    <w:rsid w:val="00533281"/>
    <w:rPr>
      <w:rFonts w:ascii="Garamond" w:eastAsia="Times New Roman" w:hAnsi="Garamond" w:cs="Times New Roman"/>
      <w:b/>
      <w:color w:val="E36C0A" w:themeColor="accent6" w:themeShade="BF"/>
      <w:spacing w:val="5"/>
      <w:kern w:val="28"/>
      <w:sz w:val="20"/>
      <w:szCs w:val="20"/>
      <w:lang w:val="en-GB"/>
    </w:rPr>
  </w:style>
  <w:style w:type="character" w:styleId="Hyperlink">
    <w:name w:val="Hyperlink"/>
    <w:basedOn w:val="BodyTextChar"/>
    <w:uiPriority w:val="99"/>
    <w:rsid w:val="008043D1"/>
    <w:rPr>
      <w:rFonts w:ascii="Garamond" w:eastAsia="Times New Roman" w:hAnsi="Garamond" w:cs="Times New Roman"/>
      <w:color w:val="013799"/>
      <w:sz w:val="18"/>
      <w:szCs w:val="20"/>
      <w:u w:val="none"/>
    </w:rPr>
  </w:style>
  <w:style w:type="paragraph" w:styleId="List">
    <w:name w:val="List"/>
    <w:basedOn w:val="BodyText"/>
    <w:autoRedefine/>
    <w:semiHidden/>
    <w:rsid w:val="00B32ADA"/>
    <w:pPr>
      <w:tabs>
        <w:tab w:val="left" w:pos="426"/>
      </w:tabs>
      <w:spacing w:before="120" w:after="240" w:line="240" w:lineRule="atLeast"/>
    </w:pPr>
  </w:style>
  <w:style w:type="paragraph" w:styleId="ListBullet">
    <w:name w:val="List Bullet"/>
    <w:basedOn w:val="Normal"/>
    <w:rsid w:val="00401DA3"/>
    <w:pPr>
      <w:numPr>
        <w:numId w:val="4"/>
      </w:numPr>
      <w:tabs>
        <w:tab w:val="left" w:pos="851"/>
      </w:tabs>
      <w:spacing w:before="60"/>
      <w:ind w:left="568" w:hanging="284"/>
    </w:pPr>
    <w:rPr>
      <w:kern w:val="20"/>
    </w:rPr>
  </w:style>
  <w:style w:type="paragraph" w:styleId="ListNumber">
    <w:name w:val="List Number"/>
    <w:basedOn w:val="Normal"/>
    <w:semiHidden/>
    <w:rsid w:val="00B32ADA"/>
    <w:pPr>
      <w:numPr>
        <w:numId w:val="5"/>
      </w:numPr>
    </w:pPr>
  </w:style>
  <w:style w:type="character" w:styleId="PageNumber">
    <w:name w:val="page number"/>
    <w:basedOn w:val="DefaultParagraphFont"/>
    <w:semiHidden/>
    <w:rsid w:val="00B32ADA"/>
    <w:rPr>
      <w:rFonts w:ascii="Arial" w:hAnsi="Arial"/>
    </w:rPr>
  </w:style>
  <w:style w:type="paragraph" w:customStyle="1" w:styleId="TableText">
    <w:name w:val="Table Text"/>
    <w:basedOn w:val="BodyText"/>
    <w:rsid w:val="00B32ADA"/>
    <w:pPr>
      <w:spacing w:after="60"/>
    </w:pPr>
    <w:rPr>
      <w:kern w:val="28"/>
    </w:rPr>
  </w:style>
  <w:style w:type="paragraph" w:customStyle="1" w:styleId="TableHeading">
    <w:name w:val="Table Heading"/>
    <w:basedOn w:val="TableText"/>
    <w:next w:val="TableText"/>
    <w:rsid w:val="00B32ADA"/>
    <w:pPr>
      <w:keepNext/>
      <w:keepLines/>
      <w:tabs>
        <w:tab w:val="left" w:pos="425"/>
      </w:tabs>
    </w:pPr>
    <w:rPr>
      <w:b/>
      <w:color w:val="FFFFFF"/>
    </w:rPr>
  </w:style>
  <w:style w:type="paragraph" w:customStyle="1" w:styleId="TitleHeading1">
    <w:name w:val="Title Heading 1"/>
    <w:basedOn w:val="Normal"/>
    <w:semiHidden/>
    <w:rsid w:val="00B32ADA"/>
    <w:rPr>
      <w:sz w:val="24"/>
    </w:rPr>
  </w:style>
  <w:style w:type="paragraph" w:customStyle="1" w:styleId="TitleHeading2">
    <w:name w:val="Title Heading 2"/>
    <w:basedOn w:val="Normal"/>
    <w:semiHidden/>
    <w:rsid w:val="00B32ADA"/>
    <w:pPr>
      <w:spacing w:after="60"/>
    </w:pPr>
    <w:rPr>
      <w:sz w:val="42"/>
    </w:rPr>
  </w:style>
  <w:style w:type="paragraph" w:styleId="TOC1">
    <w:name w:val="toc 1"/>
    <w:basedOn w:val="Heading2-nonumbers"/>
    <w:next w:val="BodyText"/>
    <w:autoRedefine/>
    <w:semiHidden/>
    <w:rsid w:val="00B32ADA"/>
    <w:pPr>
      <w:keepNext w:val="0"/>
      <w:tabs>
        <w:tab w:val="right" w:leader="dot" w:pos="8505"/>
      </w:tabs>
      <w:ind w:left="425" w:right="851" w:hanging="425"/>
    </w:pPr>
    <w:rPr>
      <w:noProof/>
      <w:color w:val="auto"/>
      <w:kern w:val="1"/>
    </w:rPr>
  </w:style>
  <w:style w:type="paragraph" w:styleId="TOC2">
    <w:name w:val="toc 2"/>
    <w:basedOn w:val="Heading3-nonumbers"/>
    <w:next w:val="Normal"/>
    <w:autoRedefine/>
    <w:semiHidden/>
    <w:rsid w:val="00B32ADA"/>
    <w:pPr>
      <w:tabs>
        <w:tab w:val="left" w:pos="992"/>
        <w:tab w:val="right" w:leader="dot" w:pos="8505"/>
      </w:tabs>
      <w:spacing w:before="60"/>
      <w:ind w:left="992" w:right="851" w:hanging="567"/>
    </w:pPr>
    <w:rPr>
      <w:b/>
      <w:noProof/>
    </w:rPr>
  </w:style>
  <w:style w:type="paragraph" w:styleId="TOC3">
    <w:name w:val="toc 3"/>
    <w:basedOn w:val="TOC2"/>
    <w:next w:val="BodyText"/>
    <w:autoRedefine/>
    <w:semiHidden/>
    <w:rsid w:val="00B32ADA"/>
    <w:pPr>
      <w:ind w:left="1559"/>
    </w:pPr>
  </w:style>
  <w:style w:type="paragraph" w:styleId="TOC4">
    <w:name w:val="toc 4"/>
    <w:basedOn w:val="Normal"/>
    <w:next w:val="Normal"/>
    <w:autoRedefine/>
    <w:semiHidden/>
    <w:rsid w:val="00B32ADA"/>
    <w:pPr>
      <w:ind w:left="630"/>
    </w:pPr>
  </w:style>
  <w:style w:type="paragraph" w:styleId="TOC5">
    <w:name w:val="toc 5"/>
    <w:basedOn w:val="Normal"/>
    <w:next w:val="Normal"/>
    <w:autoRedefine/>
    <w:semiHidden/>
    <w:rsid w:val="00B32ADA"/>
    <w:pPr>
      <w:ind w:left="840"/>
    </w:pPr>
  </w:style>
  <w:style w:type="paragraph" w:styleId="TOC6">
    <w:name w:val="toc 6"/>
    <w:basedOn w:val="Normal"/>
    <w:next w:val="Normal"/>
    <w:autoRedefine/>
    <w:semiHidden/>
    <w:rsid w:val="00B32ADA"/>
    <w:pPr>
      <w:ind w:left="1050"/>
    </w:pPr>
  </w:style>
  <w:style w:type="paragraph" w:styleId="TOC7">
    <w:name w:val="toc 7"/>
    <w:basedOn w:val="Normal"/>
    <w:next w:val="Normal"/>
    <w:autoRedefine/>
    <w:semiHidden/>
    <w:rsid w:val="00B32ADA"/>
    <w:pPr>
      <w:ind w:left="1260"/>
    </w:pPr>
  </w:style>
  <w:style w:type="paragraph" w:styleId="TOC8">
    <w:name w:val="toc 8"/>
    <w:basedOn w:val="Normal"/>
    <w:next w:val="Normal"/>
    <w:autoRedefine/>
    <w:semiHidden/>
    <w:rsid w:val="00B32ADA"/>
    <w:pPr>
      <w:ind w:left="1470"/>
    </w:pPr>
  </w:style>
  <w:style w:type="paragraph" w:styleId="TOC9">
    <w:name w:val="toc 9"/>
    <w:basedOn w:val="Normal"/>
    <w:next w:val="Normal"/>
    <w:autoRedefine/>
    <w:semiHidden/>
    <w:rsid w:val="00B32ADA"/>
    <w:pPr>
      <w:ind w:left="1680"/>
    </w:pPr>
  </w:style>
  <w:style w:type="table" w:customStyle="1" w:styleId="LightList1">
    <w:name w:val="Light List1"/>
    <w:aliases w:val="NZBA Table"/>
    <w:basedOn w:val="TableNormal"/>
    <w:uiPriority w:val="61"/>
    <w:rsid w:val="00207C4E"/>
    <w:pPr>
      <w:spacing w:after="0" w:line="240" w:lineRule="auto"/>
    </w:pPr>
    <w:rPr>
      <w:rFonts w:ascii="Garamond" w:hAnsi="Garamond"/>
      <w:sz w:val="18"/>
    </w:rPr>
    <w:tblPr>
      <w:tblStyleRowBandSize w:val="1"/>
      <w:tblStyleColBandSize w:val="1"/>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4" w:space="0" w:color="000000" w:themeColor="text1"/>
          <w:left w:val="single" w:sz="4" w:space="0" w:color="000000" w:themeColor="text1"/>
          <w:bottom w:val="single" w:sz="4" w:space="0" w:color="000000" w:themeColor="text1"/>
          <w:right w:val="single" w:sz="4" w:space="0" w:color="000000" w:themeColor="text1"/>
        </w:tcBorders>
      </w:tcPr>
    </w:tblStylePr>
    <w:tblStylePr w:type="firstCol">
      <w:rPr>
        <w:b w:val="0"/>
        <w:bCs/>
      </w:rPr>
    </w:tblStylePr>
    <w:tblStylePr w:type="lastCol">
      <w:rPr>
        <w:b w:val="0"/>
        <w:bCs/>
      </w:rPr>
    </w:tblStylePr>
    <w:tblStylePr w:type="band1Vert">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tblStylePr w:type="band1Horz">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tblStylePr w:type="band2Horz">
      <w:tblPr/>
      <w:tcPr>
        <w:shd w:val="clear" w:color="auto" w:fill="FFFFFF" w:themeFill="background1"/>
      </w:tcPr>
    </w:tblStylePr>
  </w:style>
  <w:style w:type="table" w:styleId="LightShading-Accent6">
    <w:name w:val="Light Shading Accent 6"/>
    <w:basedOn w:val="TableNormal"/>
    <w:uiPriority w:val="60"/>
    <w:rsid w:val="00613926"/>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LightList-Accent11">
    <w:name w:val="Light List - Accent 11"/>
    <w:basedOn w:val="TableNormal"/>
    <w:uiPriority w:val="61"/>
    <w:rsid w:val="0061392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ListParagraph">
    <w:name w:val="List Paragraph"/>
    <w:basedOn w:val="Normal"/>
    <w:link w:val="ListParagraphChar"/>
    <w:uiPriority w:val="34"/>
    <w:qFormat/>
    <w:rsid w:val="00CA01F2"/>
    <w:pPr>
      <w:ind w:left="720"/>
      <w:contextualSpacing/>
    </w:pPr>
  </w:style>
  <w:style w:type="paragraph" w:styleId="NoSpacing">
    <w:name w:val="No Spacing"/>
    <w:link w:val="NoSpacingChar"/>
    <w:uiPriority w:val="1"/>
    <w:qFormat/>
    <w:rsid w:val="00744175"/>
    <w:pPr>
      <w:spacing w:after="0" w:line="240" w:lineRule="auto"/>
    </w:pPr>
  </w:style>
  <w:style w:type="character" w:customStyle="1" w:styleId="NoSpacingChar">
    <w:name w:val="No Spacing Char"/>
    <w:basedOn w:val="DefaultParagraphFont"/>
    <w:link w:val="NoSpacing"/>
    <w:uiPriority w:val="1"/>
    <w:rsid w:val="00D620F5"/>
  </w:style>
  <w:style w:type="paragraph" w:customStyle="1" w:styleId="Normal1">
    <w:name w:val="Normal1"/>
    <w:basedOn w:val="BodyText"/>
    <w:link w:val="NORMALChar"/>
    <w:rsid w:val="00542E83"/>
    <w:rPr>
      <w:rFonts w:ascii="Arial" w:hAnsi="Arial" w:cs="Arial"/>
    </w:rPr>
  </w:style>
  <w:style w:type="character" w:customStyle="1" w:styleId="NORMALChar">
    <w:name w:val="NORMAL Char"/>
    <w:basedOn w:val="BodyTextChar"/>
    <w:link w:val="Normal1"/>
    <w:rsid w:val="00542E83"/>
    <w:rPr>
      <w:rFonts w:ascii="Arial" w:eastAsia="Times New Roman" w:hAnsi="Arial" w:cs="Arial"/>
      <w:sz w:val="20"/>
      <w:szCs w:val="20"/>
    </w:rPr>
  </w:style>
  <w:style w:type="paragraph" w:customStyle="1" w:styleId="1TITLE">
    <w:name w:val="1. TITLE"/>
    <w:basedOn w:val="BodyText"/>
    <w:link w:val="1TITLEChar"/>
    <w:rsid w:val="00542E83"/>
    <w:pPr>
      <w:spacing w:before="360" w:after="360"/>
    </w:pPr>
    <w:rPr>
      <w:rFonts w:ascii="Arial" w:hAnsi="Arial" w:cs="Arial"/>
      <w:color w:val="808080" w:themeColor="background1" w:themeShade="80"/>
      <w:sz w:val="72"/>
      <w:szCs w:val="72"/>
    </w:rPr>
  </w:style>
  <w:style w:type="character" w:customStyle="1" w:styleId="1TITLEChar">
    <w:name w:val="1. TITLE Char"/>
    <w:basedOn w:val="NORMALChar"/>
    <w:link w:val="1TITLE"/>
    <w:rsid w:val="00542E83"/>
    <w:rPr>
      <w:rFonts w:ascii="Arial" w:eastAsia="Times New Roman" w:hAnsi="Arial" w:cs="Arial"/>
      <w:color w:val="808080" w:themeColor="background1" w:themeShade="80"/>
      <w:sz w:val="72"/>
      <w:szCs w:val="72"/>
    </w:rPr>
  </w:style>
  <w:style w:type="paragraph" w:customStyle="1" w:styleId="BULLET1">
    <w:name w:val="BULLET 1"/>
    <w:basedOn w:val="Normal"/>
    <w:link w:val="BULLET1Char"/>
    <w:rsid w:val="00B76078"/>
    <w:pPr>
      <w:numPr>
        <w:numId w:val="7"/>
      </w:numPr>
      <w:spacing w:after="0" w:line="300" w:lineRule="atLeast"/>
      <w:jc w:val="both"/>
    </w:pPr>
    <w:rPr>
      <w:rFonts w:ascii="Arial" w:hAnsi="Arial" w:cs="Arial"/>
    </w:rPr>
  </w:style>
  <w:style w:type="character" w:customStyle="1" w:styleId="BULLET1Char">
    <w:name w:val="BULLET 1 Char"/>
    <w:basedOn w:val="NORMALChar"/>
    <w:link w:val="BULLET1"/>
    <w:rsid w:val="00B76078"/>
    <w:rPr>
      <w:rFonts w:ascii="Arial" w:eastAsia="Times New Roman" w:hAnsi="Arial" w:cs="Arial"/>
      <w:sz w:val="20"/>
      <w:szCs w:val="20"/>
    </w:rPr>
  </w:style>
  <w:style w:type="paragraph" w:customStyle="1" w:styleId="BULLET2">
    <w:name w:val="BULLET 2"/>
    <w:basedOn w:val="BULLET1"/>
    <w:link w:val="BULLET2Char"/>
    <w:rsid w:val="00B76078"/>
    <w:pPr>
      <w:numPr>
        <w:numId w:val="10"/>
      </w:numPr>
      <w:ind w:left="1560"/>
    </w:pPr>
  </w:style>
  <w:style w:type="character" w:customStyle="1" w:styleId="BULLET2Char">
    <w:name w:val="BULLET 2 Char"/>
    <w:basedOn w:val="BULLET1Char"/>
    <w:link w:val="BULLET2"/>
    <w:rsid w:val="00B76078"/>
    <w:rPr>
      <w:rFonts w:ascii="Arial" w:eastAsia="Times New Roman" w:hAnsi="Arial" w:cs="Arial"/>
      <w:sz w:val="20"/>
      <w:szCs w:val="20"/>
    </w:rPr>
  </w:style>
  <w:style w:type="paragraph" w:customStyle="1" w:styleId="BULLET3">
    <w:name w:val="BULLET 3"/>
    <w:basedOn w:val="BULLET2"/>
    <w:link w:val="BULLET3Char"/>
    <w:rsid w:val="00542E83"/>
    <w:pPr>
      <w:numPr>
        <w:numId w:val="8"/>
      </w:numPr>
    </w:pPr>
  </w:style>
  <w:style w:type="character" w:customStyle="1" w:styleId="BULLET3Char">
    <w:name w:val="BULLET 3 Char"/>
    <w:basedOn w:val="BULLET2Char"/>
    <w:link w:val="BULLET3"/>
    <w:rsid w:val="00542E83"/>
    <w:rPr>
      <w:rFonts w:ascii="Arial" w:eastAsia="Times New Roman" w:hAnsi="Arial" w:cs="Arial"/>
      <w:sz w:val="20"/>
      <w:szCs w:val="20"/>
    </w:rPr>
  </w:style>
  <w:style w:type="paragraph" w:customStyle="1" w:styleId="BULLET4">
    <w:name w:val="BULLET 4"/>
    <w:basedOn w:val="BULLET3"/>
    <w:link w:val="BULLET4Char"/>
    <w:rsid w:val="00542E83"/>
    <w:pPr>
      <w:numPr>
        <w:numId w:val="9"/>
      </w:numPr>
    </w:pPr>
  </w:style>
  <w:style w:type="character" w:customStyle="1" w:styleId="BULLET4Char">
    <w:name w:val="BULLET 4 Char"/>
    <w:basedOn w:val="BULLET3Char"/>
    <w:link w:val="BULLET4"/>
    <w:rsid w:val="00542E83"/>
    <w:rPr>
      <w:rFonts w:ascii="Arial" w:eastAsia="Times New Roman" w:hAnsi="Arial" w:cs="Arial"/>
      <w:sz w:val="20"/>
      <w:szCs w:val="20"/>
    </w:rPr>
  </w:style>
  <w:style w:type="paragraph" w:customStyle="1" w:styleId="FOOTNOTE">
    <w:name w:val="FOOTNOTE"/>
    <w:basedOn w:val="FootnoteText"/>
    <w:link w:val="FOOTNOTEChar"/>
    <w:rsid w:val="00542E83"/>
    <w:pPr>
      <w:ind w:left="567" w:hanging="283"/>
    </w:pPr>
    <w:rPr>
      <w:rFonts w:ascii="Arial" w:hAnsi="Arial" w:cs="Arial"/>
    </w:rPr>
  </w:style>
  <w:style w:type="character" w:customStyle="1" w:styleId="FOOTNOTEChar">
    <w:name w:val="FOOTNOTE Char"/>
    <w:basedOn w:val="FootnoteTextChar"/>
    <w:link w:val="FOOTNOTE"/>
    <w:rsid w:val="00542E83"/>
    <w:rPr>
      <w:rFonts w:ascii="Arial" w:eastAsia="Times New Roman" w:hAnsi="Arial" w:cs="Arial"/>
      <w:sz w:val="20"/>
      <w:szCs w:val="20"/>
    </w:rPr>
  </w:style>
  <w:style w:type="paragraph" w:customStyle="1" w:styleId="2Heading2">
    <w:name w:val="2. Heading 2"/>
    <w:basedOn w:val="BodyText"/>
    <w:link w:val="2Heading2Char"/>
    <w:rsid w:val="00542E83"/>
    <w:rPr>
      <w:rFonts w:ascii="Arial" w:hAnsi="Arial" w:cs="Arial"/>
      <w:b/>
      <w:color w:val="808080" w:themeColor="background1" w:themeShade="80"/>
      <w:sz w:val="28"/>
      <w:szCs w:val="28"/>
    </w:rPr>
  </w:style>
  <w:style w:type="paragraph" w:customStyle="1" w:styleId="3Heading3">
    <w:name w:val="3. Heading 3"/>
    <w:basedOn w:val="Normal"/>
    <w:link w:val="3Heading3Char"/>
    <w:rsid w:val="00542E83"/>
    <w:pPr>
      <w:spacing w:before="240" w:after="240"/>
    </w:pPr>
    <w:rPr>
      <w:rFonts w:ascii="Arial" w:hAnsi="Arial" w:cs="Arial"/>
      <w:color w:val="808080" w:themeColor="background1" w:themeShade="80"/>
      <w:sz w:val="28"/>
      <w:szCs w:val="28"/>
    </w:rPr>
  </w:style>
  <w:style w:type="character" w:customStyle="1" w:styleId="2Heading2Char">
    <w:name w:val="2. Heading 2 Char"/>
    <w:basedOn w:val="BodyTextChar"/>
    <w:link w:val="2Heading2"/>
    <w:rsid w:val="00542E83"/>
    <w:rPr>
      <w:rFonts w:ascii="Arial" w:eastAsia="Times New Roman" w:hAnsi="Arial" w:cs="Arial"/>
      <w:b/>
      <w:color w:val="808080" w:themeColor="background1" w:themeShade="80"/>
      <w:sz w:val="28"/>
      <w:szCs w:val="28"/>
    </w:rPr>
  </w:style>
  <w:style w:type="paragraph" w:customStyle="1" w:styleId="4normalParagraph">
    <w:name w:val="4. normal Paragraph"/>
    <w:basedOn w:val="ListParagraph"/>
    <w:link w:val="4ParagraphChar"/>
    <w:qFormat/>
    <w:rsid w:val="00B76078"/>
    <w:pPr>
      <w:numPr>
        <w:numId w:val="6"/>
      </w:numPr>
      <w:spacing w:before="240" w:after="240"/>
    </w:pPr>
    <w:rPr>
      <w:rFonts w:ascii="Arial" w:hAnsi="Arial" w:cs="Arial"/>
    </w:rPr>
  </w:style>
  <w:style w:type="character" w:customStyle="1" w:styleId="3Heading3Char">
    <w:name w:val="3. Heading 3 Char"/>
    <w:basedOn w:val="DefaultParagraphFont"/>
    <w:link w:val="3Heading3"/>
    <w:rsid w:val="00542E83"/>
    <w:rPr>
      <w:rFonts w:ascii="Arial" w:eastAsia="Times New Roman" w:hAnsi="Arial" w:cs="Arial"/>
      <w:color w:val="808080" w:themeColor="background1" w:themeShade="80"/>
      <w:sz w:val="28"/>
      <w:szCs w:val="28"/>
    </w:rPr>
  </w:style>
  <w:style w:type="character" w:customStyle="1" w:styleId="ListParagraphChar">
    <w:name w:val="List Paragraph Char"/>
    <w:basedOn w:val="DefaultParagraphFont"/>
    <w:link w:val="ListParagraph"/>
    <w:uiPriority w:val="34"/>
    <w:rsid w:val="00B76078"/>
  </w:style>
  <w:style w:type="character" w:customStyle="1" w:styleId="4ParagraphChar">
    <w:name w:val="4. Paragraph Char"/>
    <w:basedOn w:val="ListParagraphChar"/>
    <w:link w:val="4normalParagraph"/>
    <w:rsid w:val="00B76078"/>
    <w:rPr>
      <w:rFonts w:ascii="Arial" w:hAnsi="Arial" w:cs="Arial"/>
    </w:rPr>
  </w:style>
  <w:style w:type="paragraph" w:styleId="NormalWeb">
    <w:name w:val="Normal (Web)"/>
    <w:basedOn w:val="Normal"/>
    <w:uiPriority w:val="99"/>
    <w:unhideWhenUsed/>
    <w:rsid w:val="00E20553"/>
    <w:pPr>
      <w:spacing w:before="100" w:beforeAutospacing="1" w:after="100" w:afterAutospacing="1"/>
    </w:pPr>
    <w:rPr>
      <w:rFonts w:ascii="Times New Roman" w:eastAsiaTheme="minorHAnsi" w:hAnsi="Times New Roman"/>
      <w:sz w:val="24"/>
      <w:szCs w:val="24"/>
      <w:lang w:eastAsia="en-NZ"/>
    </w:rPr>
  </w:style>
  <w:style w:type="character" w:customStyle="1" w:styleId="label">
    <w:name w:val="label"/>
    <w:basedOn w:val="DefaultParagraphFont"/>
    <w:rsid w:val="00C04D6F"/>
  </w:style>
  <w:style w:type="paragraph" w:customStyle="1" w:styleId="subprov">
    <w:name w:val="subprov"/>
    <w:basedOn w:val="Normal"/>
    <w:rsid w:val="00C04D6F"/>
    <w:pPr>
      <w:spacing w:before="100" w:beforeAutospacing="1" w:after="100" w:afterAutospacing="1"/>
    </w:pPr>
    <w:rPr>
      <w:rFonts w:ascii="Times New Roman" w:hAnsi="Times New Roman"/>
      <w:sz w:val="24"/>
      <w:szCs w:val="24"/>
      <w:lang w:eastAsia="en-NZ"/>
    </w:rPr>
  </w:style>
  <w:style w:type="paragraph" w:customStyle="1" w:styleId="text">
    <w:name w:val="text"/>
    <w:basedOn w:val="Normal"/>
    <w:rsid w:val="00C04D6F"/>
    <w:pPr>
      <w:spacing w:before="100" w:beforeAutospacing="1" w:after="100" w:afterAutospacing="1"/>
    </w:pPr>
    <w:rPr>
      <w:rFonts w:ascii="Times New Roman" w:hAnsi="Times New Roman"/>
      <w:sz w:val="24"/>
      <w:szCs w:val="24"/>
      <w:lang w:eastAsia="en-NZ"/>
    </w:rPr>
  </w:style>
  <w:style w:type="character" w:customStyle="1" w:styleId="Style4">
    <w:name w:val="Style4"/>
    <w:basedOn w:val="DefaultParagraphFont"/>
    <w:uiPriority w:val="1"/>
    <w:rsid w:val="00B974EF"/>
    <w:rPr>
      <w:color w:val="1F497D" w:themeColor="text2"/>
      <w:sz w:val="20"/>
    </w:rPr>
  </w:style>
  <w:style w:type="character" w:styleId="CommentReference">
    <w:name w:val="annotation reference"/>
    <w:basedOn w:val="DefaultParagraphFont"/>
    <w:rsid w:val="00B974EF"/>
    <w:rPr>
      <w:sz w:val="16"/>
      <w:szCs w:val="16"/>
    </w:rPr>
  </w:style>
  <w:style w:type="paragraph" w:styleId="CommentText">
    <w:name w:val="annotation text"/>
    <w:basedOn w:val="Normal"/>
    <w:link w:val="CommentTextChar"/>
    <w:rsid w:val="00B974EF"/>
    <w:pPr>
      <w:spacing w:after="0"/>
    </w:pPr>
    <w:rPr>
      <w:rFonts w:ascii="Verdana" w:hAnsi="Verdana"/>
      <w:sz w:val="24"/>
      <w:lang w:val="en-GB"/>
    </w:rPr>
  </w:style>
  <w:style w:type="character" w:customStyle="1" w:styleId="CommentTextChar">
    <w:name w:val="Comment Text Char"/>
    <w:basedOn w:val="DefaultParagraphFont"/>
    <w:link w:val="CommentText"/>
    <w:rsid w:val="00B974EF"/>
    <w:rPr>
      <w:rFonts w:ascii="Verdana" w:eastAsia="Times New Roman" w:hAnsi="Verdana" w:cs="Times New Roman"/>
      <w:sz w:val="24"/>
      <w:szCs w:val="20"/>
      <w:lang w:val="en-GB"/>
    </w:rPr>
  </w:style>
  <w:style w:type="paragraph" w:styleId="CommentSubject">
    <w:name w:val="annotation subject"/>
    <w:basedOn w:val="CommentText"/>
    <w:next w:val="CommentText"/>
    <w:link w:val="CommentSubjectChar"/>
    <w:uiPriority w:val="99"/>
    <w:semiHidden/>
    <w:unhideWhenUsed/>
    <w:rsid w:val="00015176"/>
    <w:pPr>
      <w:suppressAutoHyphens/>
      <w:spacing w:after="120"/>
    </w:pPr>
    <w:rPr>
      <w:rFonts w:ascii="Garamond" w:hAnsi="Garamond"/>
      <w:b/>
      <w:bCs/>
      <w:sz w:val="20"/>
      <w:lang w:val="en-NZ"/>
    </w:rPr>
  </w:style>
  <w:style w:type="character" w:customStyle="1" w:styleId="CommentSubjectChar">
    <w:name w:val="Comment Subject Char"/>
    <w:basedOn w:val="CommentTextChar"/>
    <w:link w:val="CommentSubject"/>
    <w:uiPriority w:val="99"/>
    <w:semiHidden/>
    <w:rsid w:val="00015176"/>
    <w:rPr>
      <w:rFonts w:ascii="Garamond" w:eastAsia="Times New Roman" w:hAnsi="Garamond" w:cs="Times New Roman"/>
      <w:b/>
      <w:bCs/>
      <w:sz w:val="20"/>
      <w:szCs w:val="20"/>
      <w:lang w:val="en-GB"/>
    </w:rPr>
  </w:style>
  <w:style w:type="paragraph" w:styleId="Revision">
    <w:name w:val="Revision"/>
    <w:hidden/>
    <w:uiPriority w:val="99"/>
    <w:semiHidden/>
    <w:rsid w:val="00115830"/>
    <w:pPr>
      <w:spacing w:after="0" w:line="240" w:lineRule="auto"/>
    </w:pPr>
    <w:rPr>
      <w:rFonts w:ascii="Garamond" w:eastAsia="Times New Roman" w:hAnsi="Garamond" w:cs="Times New Roman"/>
      <w:sz w:val="20"/>
      <w:szCs w:val="20"/>
    </w:rPr>
  </w:style>
  <w:style w:type="paragraph" w:customStyle="1" w:styleId="NoNumCrt">
    <w:name w:val="NoNumCrt"/>
    <w:basedOn w:val="Normal"/>
    <w:rsid w:val="00C624F7"/>
    <w:pPr>
      <w:tabs>
        <w:tab w:val="left" w:pos="851"/>
        <w:tab w:val="left" w:pos="1701"/>
        <w:tab w:val="left" w:pos="2552"/>
        <w:tab w:val="left" w:pos="3402"/>
      </w:tabs>
      <w:spacing w:after="0"/>
      <w:jc w:val="both"/>
    </w:pPr>
    <w:rPr>
      <w:rFonts w:ascii="Arial" w:hAnsi="Arial" w:cs="Arial"/>
      <w:sz w:val="21"/>
      <w:lang w:eastAsia="en-NZ"/>
    </w:rPr>
  </w:style>
  <w:style w:type="paragraph" w:styleId="Title">
    <w:name w:val="Title"/>
    <w:basedOn w:val="Normal"/>
    <w:next w:val="Normal"/>
    <w:link w:val="TitleChar"/>
    <w:uiPriority w:val="10"/>
    <w:qFormat/>
    <w:rsid w:val="00744175"/>
    <w:pPr>
      <w:spacing w:after="0" w:line="240" w:lineRule="auto"/>
      <w:contextualSpacing/>
    </w:pPr>
    <w:rPr>
      <w:rFonts w:asciiTheme="majorHAnsi" w:eastAsiaTheme="majorEastAsia" w:hAnsiTheme="majorHAnsi" w:cstheme="majorBidi"/>
      <w:color w:val="365F91" w:themeColor="accent1" w:themeShade="BF"/>
      <w:spacing w:val="-10"/>
      <w:sz w:val="52"/>
      <w:szCs w:val="52"/>
    </w:rPr>
  </w:style>
  <w:style w:type="character" w:customStyle="1" w:styleId="TitleChar">
    <w:name w:val="Title Char"/>
    <w:basedOn w:val="DefaultParagraphFont"/>
    <w:link w:val="Title"/>
    <w:uiPriority w:val="10"/>
    <w:rsid w:val="00744175"/>
    <w:rPr>
      <w:rFonts w:asciiTheme="majorHAnsi" w:eastAsiaTheme="majorEastAsia" w:hAnsiTheme="majorHAnsi" w:cstheme="majorBidi"/>
      <w:color w:val="365F91" w:themeColor="accent1" w:themeShade="BF"/>
      <w:spacing w:val="-10"/>
      <w:sz w:val="52"/>
      <w:szCs w:val="52"/>
    </w:rPr>
  </w:style>
  <w:style w:type="paragraph" w:styleId="Subtitle">
    <w:name w:val="Subtitle"/>
    <w:basedOn w:val="Normal"/>
    <w:next w:val="Normal"/>
    <w:link w:val="SubtitleChar"/>
    <w:uiPriority w:val="11"/>
    <w:qFormat/>
    <w:rsid w:val="00744175"/>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744175"/>
    <w:rPr>
      <w:rFonts w:asciiTheme="majorHAnsi" w:eastAsiaTheme="majorEastAsia" w:hAnsiTheme="majorHAnsi" w:cstheme="majorBidi"/>
    </w:rPr>
  </w:style>
  <w:style w:type="character" w:styleId="Strong">
    <w:name w:val="Strong"/>
    <w:basedOn w:val="DefaultParagraphFont"/>
    <w:uiPriority w:val="22"/>
    <w:qFormat/>
    <w:rsid w:val="00744175"/>
    <w:rPr>
      <w:b/>
      <w:bCs/>
    </w:rPr>
  </w:style>
  <w:style w:type="character" w:styleId="Emphasis">
    <w:name w:val="Emphasis"/>
    <w:basedOn w:val="DefaultParagraphFont"/>
    <w:uiPriority w:val="20"/>
    <w:qFormat/>
    <w:rsid w:val="00744175"/>
    <w:rPr>
      <w:i/>
      <w:iCs/>
    </w:rPr>
  </w:style>
  <w:style w:type="paragraph" w:styleId="Quote">
    <w:name w:val="Quote"/>
    <w:basedOn w:val="Normal"/>
    <w:next w:val="Normal"/>
    <w:link w:val="QuoteChar"/>
    <w:uiPriority w:val="29"/>
    <w:qFormat/>
    <w:rsid w:val="00744175"/>
    <w:pPr>
      <w:spacing w:before="120"/>
      <w:ind w:left="720" w:right="720"/>
      <w:jc w:val="center"/>
    </w:pPr>
    <w:rPr>
      <w:i/>
      <w:iCs/>
    </w:rPr>
  </w:style>
  <w:style w:type="character" w:customStyle="1" w:styleId="QuoteChar">
    <w:name w:val="Quote Char"/>
    <w:basedOn w:val="DefaultParagraphFont"/>
    <w:link w:val="Quote"/>
    <w:uiPriority w:val="29"/>
    <w:rsid w:val="00744175"/>
    <w:rPr>
      <w:i/>
      <w:iCs/>
    </w:rPr>
  </w:style>
  <w:style w:type="paragraph" w:styleId="IntenseQuote">
    <w:name w:val="Intense Quote"/>
    <w:basedOn w:val="Normal"/>
    <w:next w:val="Normal"/>
    <w:link w:val="IntenseQuoteChar"/>
    <w:uiPriority w:val="30"/>
    <w:qFormat/>
    <w:rsid w:val="00744175"/>
    <w:pPr>
      <w:spacing w:before="120" w:line="300" w:lineRule="auto"/>
      <w:ind w:left="576" w:right="576"/>
      <w:jc w:val="center"/>
    </w:pPr>
    <w:rPr>
      <w:rFonts w:asciiTheme="majorHAnsi" w:eastAsiaTheme="majorEastAsia" w:hAnsiTheme="majorHAnsi" w:cstheme="majorBidi"/>
      <w:color w:val="4F81BD" w:themeColor="accent1"/>
      <w:sz w:val="24"/>
      <w:szCs w:val="24"/>
    </w:rPr>
  </w:style>
  <w:style w:type="character" w:customStyle="1" w:styleId="IntenseQuoteChar">
    <w:name w:val="Intense Quote Char"/>
    <w:basedOn w:val="DefaultParagraphFont"/>
    <w:link w:val="IntenseQuote"/>
    <w:uiPriority w:val="30"/>
    <w:rsid w:val="00744175"/>
    <w:rPr>
      <w:rFonts w:asciiTheme="majorHAnsi" w:eastAsiaTheme="majorEastAsia" w:hAnsiTheme="majorHAnsi" w:cstheme="majorBidi"/>
      <w:color w:val="4F81BD" w:themeColor="accent1"/>
      <w:sz w:val="24"/>
      <w:szCs w:val="24"/>
    </w:rPr>
  </w:style>
  <w:style w:type="character" w:styleId="SubtleEmphasis">
    <w:name w:val="Subtle Emphasis"/>
    <w:basedOn w:val="DefaultParagraphFont"/>
    <w:uiPriority w:val="19"/>
    <w:qFormat/>
    <w:rsid w:val="00744175"/>
    <w:rPr>
      <w:i/>
      <w:iCs/>
      <w:color w:val="404040" w:themeColor="text1" w:themeTint="BF"/>
    </w:rPr>
  </w:style>
  <w:style w:type="character" w:styleId="IntenseEmphasis">
    <w:name w:val="Intense Emphasis"/>
    <w:basedOn w:val="DefaultParagraphFont"/>
    <w:uiPriority w:val="21"/>
    <w:qFormat/>
    <w:rsid w:val="00744175"/>
    <w:rPr>
      <w:b w:val="0"/>
      <w:bCs w:val="0"/>
      <w:i/>
      <w:iCs/>
      <w:color w:val="4F81BD" w:themeColor="accent1"/>
    </w:rPr>
  </w:style>
  <w:style w:type="character" w:styleId="SubtleReference">
    <w:name w:val="Subtle Reference"/>
    <w:basedOn w:val="DefaultParagraphFont"/>
    <w:uiPriority w:val="31"/>
    <w:qFormat/>
    <w:rsid w:val="00744175"/>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744175"/>
    <w:rPr>
      <w:b/>
      <w:bCs/>
      <w:smallCaps/>
      <w:color w:val="4F81BD" w:themeColor="accent1"/>
      <w:spacing w:val="5"/>
      <w:u w:val="single"/>
    </w:rPr>
  </w:style>
  <w:style w:type="character" w:styleId="BookTitle">
    <w:name w:val="Book Title"/>
    <w:basedOn w:val="DefaultParagraphFont"/>
    <w:uiPriority w:val="33"/>
    <w:qFormat/>
    <w:rsid w:val="00744175"/>
    <w:rPr>
      <w:b/>
      <w:bCs/>
      <w:smallCaps/>
    </w:rPr>
  </w:style>
  <w:style w:type="paragraph" w:styleId="TOCHeading">
    <w:name w:val="TOC Heading"/>
    <w:basedOn w:val="Heading1"/>
    <w:next w:val="Normal"/>
    <w:uiPriority w:val="39"/>
    <w:semiHidden/>
    <w:unhideWhenUsed/>
    <w:qFormat/>
    <w:rsid w:val="00744175"/>
    <w:pPr>
      <w:outlineLvl w:val="9"/>
    </w:pPr>
  </w:style>
  <w:style w:type="paragraph" w:customStyle="1" w:styleId="Bullets">
    <w:name w:val="Bullets"/>
    <w:basedOn w:val="Normal"/>
    <w:link w:val="BulletsChar"/>
    <w:rsid w:val="00795029"/>
    <w:pPr>
      <w:tabs>
        <w:tab w:val="left" w:pos="1418"/>
      </w:tabs>
      <w:spacing w:after="140" w:line="240" w:lineRule="auto"/>
      <w:ind w:left="720" w:hanging="720"/>
      <w:jc w:val="both"/>
    </w:pPr>
    <w:rPr>
      <w:rFonts w:ascii="Times New Roman" w:eastAsia="Times New Roman" w:hAnsi="Times New Roman" w:cs="Times New Roman"/>
      <w:sz w:val="24"/>
      <w:szCs w:val="20"/>
      <w:lang w:eastAsia="en-AU"/>
    </w:rPr>
  </w:style>
  <w:style w:type="character" w:customStyle="1" w:styleId="BulletsChar">
    <w:name w:val="Bullets Char"/>
    <w:basedOn w:val="DefaultParagraphFont"/>
    <w:link w:val="Bullets"/>
    <w:rsid w:val="00795029"/>
    <w:rPr>
      <w:rFonts w:ascii="Times New Roman" w:eastAsia="Times New Roman" w:hAnsi="Times New Roman" w:cs="Times New Roman"/>
      <w:sz w:val="24"/>
      <w:szCs w:val="20"/>
      <w:lang w:eastAsia="en-AU"/>
    </w:rPr>
  </w:style>
  <w:style w:type="paragraph" w:customStyle="1" w:styleId="Chapter2">
    <w:name w:val="Chapter 2"/>
    <w:basedOn w:val="Normal"/>
    <w:link w:val="Chapter2Char"/>
    <w:rsid w:val="00795029"/>
    <w:pPr>
      <w:tabs>
        <w:tab w:val="num" w:pos="1080"/>
      </w:tabs>
      <w:spacing w:after="0" w:line="240" w:lineRule="auto"/>
      <w:ind w:left="1080" w:hanging="360"/>
      <w:jc w:val="both"/>
    </w:pPr>
    <w:rPr>
      <w:rFonts w:ascii="Times New Roman" w:eastAsia="Times New Roman" w:hAnsi="Times New Roman" w:cs="Times New Roman"/>
      <w:snapToGrid w:val="0"/>
      <w:sz w:val="24"/>
      <w:szCs w:val="20"/>
    </w:rPr>
  </w:style>
  <w:style w:type="character" w:customStyle="1" w:styleId="Chapter2Char">
    <w:name w:val="Chapter 2 Char"/>
    <w:basedOn w:val="DefaultParagraphFont"/>
    <w:link w:val="Chapter2"/>
    <w:rsid w:val="00795029"/>
    <w:rPr>
      <w:rFonts w:ascii="Times New Roman" w:eastAsia="Times New Roman" w:hAnsi="Times New Roman" w:cs="Times New Roman"/>
      <w:snapToGrid w:val="0"/>
      <w:sz w:val="24"/>
      <w:szCs w:val="20"/>
    </w:rPr>
  </w:style>
  <w:style w:type="character" w:customStyle="1" w:styleId="Chapter3Char1">
    <w:name w:val="Chapter 3 Char1"/>
    <w:basedOn w:val="Chapter2Char"/>
    <w:link w:val="Chapter3"/>
    <w:rsid w:val="00795029"/>
    <w:rPr>
      <w:rFonts w:ascii="Times New Roman" w:eastAsia="Times New Roman" w:hAnsi="Times New Roman" w:cs="Times New Roman"/>
      <w:snapToGrid w:val="0"/>
      <w:sz w:val="24"/>
      <w:szCs w:val="20"/>
    </w:rPr>
  </w:style>
  <w:style w:type="paragraph" w:customStyle="1" w:styleId="Chapter5">
    <w:name w:val="Chapter 5"/>
    <w:basedOn w:val="Normal"/>
    <w:link w:val="Chapter5Char"/>
    <w:rsid w:val="00795029"/>
    <w:pPr>
      <w:spacing w:after="0" w:line="240" w:lineRule="auto"/>
      <w:ind w:left="720" w:hanging="360"/>
      <w:jc w:val="both"/>
    </w:pPr>
    <w:rPr>
      <w:rFonts w:ascii="Times New Roman" w:eastAsia="Times New Roman" w:hAnsi="Times New Roman" w:cs="Times New Roman"/>
      <w:sz w:val="24"/>
      <w:szCs w:val="20"/>
      <w:lang w:eastAsia="en-AU"/>
    </w:rPr>
  </w:style>
  <w:style w:type="character" w:customStyle="1" w:styleId="Chapter5Char">
    <w:name w:val="Chapter 5 Char"/>
    <w:basedOn w:val="DefaultParagraphFont"/>
    <w:link w:val="Chapter5"/>
    <w:rsid w:val="00795029"/>
    <w:rPr>
      <w:rFonts w:ascii="Times New Roman" w:eastAsia="Times New Roman" w:hAnsi="Times New Roman" w:cs="Times New Roman"/>
      <w:sz w:val="24"/>
      <w:szCs w:val="20"/>
      <w:lang w:eastAsia="en-AU"/>
    </w:rPr>
  </w:style>
  <w:style w:type="paragraph" w:customStyle="1" w:styleId="Chapter3">
    <w:name w:val="Chapter 3"/>
    <w:basedOn w:val="Chapter2"/>
    <w:link w:val="Chapter3Char1"/>
    <w:rsid w:val="00C36BC9"/>
    <w:pPr>
      <w:numPr>
        <w:numId w:val="11"/>
      </w:numPr>
      <w:tabs>
        <w:tab w:val="num" w:pos="851"/>
      </w:tabs>
      <w:ind w:left="851" w:hanging="851"/>
    </w:pPr>
  </w:style>
  <w:style w:type="paragraph" w:customStyle="1" w:styleId="Chapter4">
    <w:name w:val="Chapter 4"/>
    <w:basedOn w:val="Normal"/>
    <w:rsid w:val="00C36BC9"/>
    <w:pPr>
      <w:spacing w:after="0" w:line="240" w:lineRule="auto"/>
      <w:ind w:left="720" w:hanging="360"/>
      <w:jc w:val="both"/>
    </w:pPr>
    <w:rPr>
      <w:rFonts w:ascii="Times New Roman" w:eastAsia="Times New Roman" w:hAnsi="Times New Roman" w:cs="Times New Roman"/>
      <w:sz w:val="24"/>
      <w:szCs w:val="20"/>
      <w:lang w:eastAsia="en-AU"/>
    </w:rPr>
  </w:style>
  <w:style w:type="paragraph" w:customStyle="1" w:styleId="Citiheadaddress">
    <w:name w:val="Citi_head_address"/>
    <w:rsid w:val="008E53CC"/>
    <w:pPr>
      <w:spacing w:after="0" w:line="240" w:lineRule="auto"/>
    </w:pPr>
    <w:rPr>
      <w:rFonts w:ascii="Arial" w:eastAsia="Times New Roman" w:hAnsi="Arial" w:cs="Times New Roman"/>
      <w:color w:val="A1A3A7"/>
      <w:sz w:val="15"/>
      <w:szCs w:val="24"/>
      <w:lang w:val="en-US"/>
    </w:rPr>
  </w:style>
  <w:style w:type="paragraph" w:customStyle="1" w:styleId="Default">
    <w:name w:val="Default"/>
    <w:rsid w:val="00190018"/>
    <w:pPr>
      <w:autoSpaceDE w:val="0"/>
      <w:autoSpaceDN w:val="0"/>
      <w:adjustRightInd w:val="0"/>
      <w:spacing w:after="0" w:line="240" w:lineRule="auto"/>
    </w:pPr>
    <w:rPr>
      <w:rFonts w:ascii="Arial" w:hAnsi="Arial" w:cs="Arial"/>
      <w:color w:val="000000"/>
      <w:sz w:val="24"/>
      <w:szCs w:val="24"/>
      <w:lang w:val="en-US"/>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4691">
      <w:bodyDiv w:val="1"/>
      <w:marLeft w:val="0"/>
      <w:marRight w:val="0"/>
      <w:marTop w:val="0"/>
      <w:marBottom w:val="0"/>
      <w:divBdr>
        <w:top w:val="none" w:sz="0" w:space="0" w:color="auto"/>
        <w:left w:val="none" w:sz="0" w:space="0" w:color="auto"/>
        <w:bottom w:val="none" w:sz="0" w:space="0" w:color="auto"/>
        <w:right w:val="none" w:sz="0" w:space="0" w:color="auto"/>
      </w:divBdr>
    </w:div>
    <w:div w:id="289211569">
      <w:bodyDiv w:val="1"/>
      <w:marLeft w:val="0"/>
      <w:marRight w:val="0"/>
      <w:marTop w:val="0"/>
      <w:marBottom w:val="0"/>
      <w:divBdr>
        <w:top w:val="none" w:sz="0" w:space="0" w:color="auto"/>
        <w:left w:val="none" w:sz="0" w:space="0" w:color="auto"/>
        <w:bottom w:val="none" w:sz="0" w:space="0" w:color="auto"/>
        <w:right w:val="none" w:sz="0" w:space="0" w:color="auto"/>
      </w:divBdr>
      <w:divsChild>
        <w:div w:id="406613594">
          <w:marLeft w:val="0"/>
          <w:marRight w:val="0"/>
          <w:marTop w:val="83"/>
          <w:marBottom w:val="0"/>
          <w:divBdr>
            <w:top w:val="none" w:sz="0" w:space="0" w:color="auto"/>
            <w:left w:val="none" w:sz="0" w:space="0" w:color="auto"/>
            <w:bottom w:val="none" w:sz="0" w:space="0" w:color="auto"/>
            <w:right w:val="none" w:sz="0" w:space="0" w:color="auto"/>
          </w:divBdr>
          <w:divsChild>
            <w:div w:id="1677998821">
              <w:marLeft w:val="0"/>
              <w:marRight w:val="0"/>
              <w:marTop w:val="83"/>
              <w:marBottom w:val="0"/>
              <w:divBdr>
                <w:top w:val="none" w:sz="0" w:space="0" w:color="auto"/>
                <w:left w:val="none" w:sz="0" w:space="0" w:color="auto"/>
                <w:bottom w:val="none" w:sz="0" w:space="0" w:color="auto"/>
                <w:right w:val="none" w:sz="0" w:space="0" w:color="auto"/>
              </w:divBdr>
            </w:div>
            <w:div w:id="2136757031">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426005010">
      <w:bodyDiv w:val="1"/>
      <w:marLeft w:val="0"/>
      <w:marRight w:val="0"/>
      <w:marTop w:val="0"/>
      <w:marBottom w:val="0"/>
      <w:divBdr>
        <w:top w:val="none" w:sz="0" w:space="0" w:color="auto"/>
        <w:left w:val="none" w:sz="0" w:space="0" w:color="auto"/>
        <w:bottom w:val="none" w:sz="0" w:space="0" w:color="auto"/>
        <w:right w:val="none" w:sz="0" w:space="0" w:color="auto"/>
      </w:divBdr>
    </w:div>
    <w:div w:id="790631508">
      <w:bodyDiv w:val="1"/>
      <w:marLeft w:val="0"/>
      <w:marRight w:val="0"/>
      <w:marTop w:val="0"/>
      <w:marBottom w:val="0"/>
      <w:divBdr>
        <w:top w:val="none" w:sz="0" w:space="0" w:color="auto"/>
        <w:left w:val="none" w:sz="0" w:space="0" w:color="auto"/>
        <w:bottom w:val="none" w:sz="0" w:space="0" w:color="auto"/>
        <w:right w:val="none" w:sz="0" w:space="0" w:color="auto"/>
      </w:divBdr>
    </w:div>
    <w:div w:id="1302465579">
      <w:bodyDiv w:val="1"/>
      <w:marLeft w:val="0"/>
      <w:marRight w:val="0"/>
      <w:marTop w:val="0"/>
      <w:marBottom w:val="0"/>
      <w:divBdr>
        <w:top w:val="none" w:sz="0" w:space="0" w:color="auto"/>
        <w:left w:val="none" w:sz="0" w:space="0" w:color="auto"/>
        <w:bottom w:val="none" w:sz="0" w:space="0" w:color="auto"/>
        <w:right w:val="none" w:sz="0" w:space="0" w:color="auto"/>
      </w:divBdr>
    </w:div>
    <w:div w:id="1441297780">
      <w:bodyDiv w:val="1"/>
      <w:marLeft w:val="0"/>
      <w:marRight w:val="0"/>
      <w:marTop w:val="0"/>
      <w:marBottom w:val="0"/>
      <w:divBdr>
        <w:top w:val="none" w:sz="0" w:space="0" w:color="auto"/>
        <w:left w:val="none" w:sz="0" w:space="0" w:color="auto"/>
        <w:bottom w:val="none" w:sz="0" w:space="0" w:color="auto"/>
        <w:right w:val="none" w:sz="0" w:space="0" w:color="auto"/>
      </w:divBdr>
    </w:div>
    <w:div w:id="1618952298">
      <w:bodyDiv w:val="1"/>
      <w:marLeft w:val="0"/>
      <w:marRight w:val="0"/>
      <w:marTop w:val="0"/>
      <w:marBottom w:val="0"/>
      <w:divBdr>
        <w:top w:val="none" w:sz="0" w:space="0" w:color="auto"/>
        <w:left w:val="none" w:sz="0" w:space="0" w:color="auto"/>
        <w:bottom w:val="none" w:sz="0" w:space="0" w:color="auto"/>
        <w:right w:val="none" w:sz="0" w:space="0" w:color="auto"/>
      </w:divBdr>
    </w:div>
    <w:div w:id="1820342269">
      <w:bodyDiv w:val="1"/>
      <w:marLeft w:val="0"/>
      <w:marRight w:val="0"/>
      <w:marTop w:val="0"/>
      <w:marBottom w:val="0"/>
      <w:divBdr>
        <w:top w:val="none" w:sz="0" w:space="0" w:color="auto"/>
        <w:left w:val="none" w:sz="0" w:space="0" w:color="auto"/>
        <w:bottom w:val="none" w:sz="0" w:space="0" w:color="auto"/>
        <w:right w:val="none" w:sz="0" w:space="0" w:color="auto"/>
      </w:divBdr>
    </w:div>
    <w:div w:id="2030374902">
      <w:bodyDiv w:val="1"/>
      <w:marLeft w:val="0"/>
      <w:marRight w:val="0"/>
      <w:marTop w:val="0"/>
      <w:marBottom w:val="0"/>
      <w:divBdr>
        <w:top w:val="none" w:sz="0" w:space="0" w:color="auto"/>
        <w:left w:val="none" w:sz="0" w:space="0" w:color="auto"/>
        <w:bottom w:val="none" w:sz="0" w:space="0" w:color="auto"/>
        <w:right w:val="none" w:sz="0" w:space="0" w:color="auto"/>
      </w:divBdr>
    </w:div>
    <w:div w:id="2058703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Document%20Templates\Submis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6943290E-AC8C-4A3C-87C7-4270A0C2A3B7}">
  <ds:schemaRefs>
    <ds:schemaRef ds:uri="http://schemas.openxmlformats.org/officeDocument/2006/bibliography"/>
  </ds:schemaRefs>
</ds:datastoreItem>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Submission.dotx</Template>
  <TotalTime>0</TotalTime>
  <Pages>6</Pages>
  <Words>1935</Words>
  <Characters>11247</Characters>
  <Application>Microsoft Office Word</Application>
  <DocSecurity>4</DocSecurity>
  <Lines>193</Lines>
  <Paragraphs>55</Paragraphs>
  <ScaleCrop>false</ScaleCrop>
  <HeadingPairs>
    <vt:vector size="2" baseType="variant">
      <vt:variant>
        <vt:lpstr>Title</vt:lpstr>
      </vt:variant>
      <vt:variant>
        <vt:i4>1</vt:i4>
      </vt:variant>
    </vt:vector>
  </HeadingPairs>
  <TitlesOfParts>
    <vt:vector size="1" baseType="lpstr">
      <vt:lpstr/>
    </vt:vector>
  </TitlesOfParts>
  <Company>Beca</Company>
  <LinksUpToDate>false</LinksUpToDate>
  <CharactersWithSpaces>13127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rc23887@citi.com</dc:creator>
  <cp:keywords/>
  <cp:lastModifiedBy>WONG, Sally</cp:lastModifiedBy>
  <cp:revision>2</cp:revision>
  <cp:lastPrinted>2016-05-30T14:19:00Z</cp:lastPrinted>
  <dcterms:created xsi:type="dcterms:W3CDTF">2025-08-26T07:15:00Z</dcterms:created>
  <dcterms:modified xsi:type="dcterms:W3CDTF">2025-08-26T07:15:00Z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133068c-5f3b-4062-adca-9b17e9c90306_Enabled">
    <vt:lpwstr>true</vt:lpwstr>
  </property>
  <property fmtid="{D5CDD505-2E9C-101B-9397-08002B2CF9AE}" pid="3" name="MSIP_Label_0133068c-5f3b-4062-adca-9b17e9c90306_SetDate">
    <vt:lpwstr>2023-12-04T03:29:05Z</vt:lpwstr>
  </property>
  <property fmtid="{D5CDD505-2E9C-101B-9397-08002B2CF9AE}" pid="4" name="MSIP_Label_0133068c-5f3b-4062-adca-9b17e9c90306_Method">
    <vt:lpwstr>Privileged</vt:lpwstr>
  </property>
  <property fmtid="{D5CDD505-2E9C-101B-9397-08002B2CF9AE}" pid="5" name="MSIP_Label_0133068c-5f3b-4062-adca-9b17e9c90306_Name">
    <vt:lpwstr>Confidential</vt:lpwstr>
  </property>
  <property fmtid="{D5CDD505-2E9C-101B-9397-08002B2CF9AE}" pid="6" name="MSIP_Label_0133068c-5f3b-4062-adca-9b17e9c90306_SiteId">
    <vt:lpwstr>1771ae17-e764-4e0f-a476-d4184d79a5d9</vt:lpwstr>
  </property>
  <property fmtid="{D5CDD505-2E9C-101B-9397-08002B2CF9AE}" pid="7" name="MSIP_Label_0133068c-5f3b-4062-adca-9b17e9c90306_ActionId">
    <vt:lpwstr>cb0ff49b-e898-45a5-a5a7-df6b3660e77f</vt:lpwstr>
  </property>
  <property fmtid="{D5CDD505-2E9C-101B-9397-08002B2CF9AE}" pid="8" name="MSIP_Label_0133068c-5f3b-4062-adca-9b17e9c90306_ContentBits">
    <vt:lpwstr>0</vt:lpwstr>
  </property>
</Properties>
</file>