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A47EEB" w14:textId="20D666C8" w:rsidR="00445308" w:rsidRPr="00445308" w:rsidRDefault="001C4C1E" w:rsidP="00445308">
      <w:pPr>
        <w:pStyle w:val="Heading1"/>
        <w:spacing w:line="480" w:lineRule="auto"/>
        <w:ind w:right="712"/>
      </w:pPr>
      <w:r>
        <w:t>Australian</w:t>
      </w:r>
      <w:r>
        <w:rPr>
          <w:spacing w:val="-5"/>
        </w:rPr>
        <w:t xml:space="preserve"> </w:t>
      </w:r>
      <w:r>
        <w:t>Restaurant</w:t>
      </w:r>
      <w:r>
        <w:rPr>
          <w:spacing w:val="-4"/>
        </w:rPr>
        <w:t xml:space="preserve"> </w:t>
      </w:r>
      <w:r>
        <w:t>&amp;</w:t>
      </w:r>
      <w:r>
        <w:rPr>
          <w:spacing w:val="-6"/>
        </w:rPr>
        <w:t xml:space="preserve"> </w:t>
      </w:r>
      <w:r>
        <w:t>Cafe</w:t>
      </w:r>
      <w:r>
        <w:rPr>
          <w:spacing w:val="-14"/>
        </w:rPr>
        <w:t xml:space="preserve"> </w:t>
      </w:r>
      <w:r>
        <w:t>Association</w:t>
      </w:r>
      <w:r>
        <w:rPr>
          <w:spacing w:val="-5"/>
        </w:rPr>
        <w:t xml:space="preserve"> </w:t>
      </w:r>
      <w:r>
        <w:t>Ltd.</w:t>
      </w:r>
      <w:r>
        <w:rPr>
          <w:spacing w:val="-5"/>
        </w:rPr>
        <w:t xml:space="preserve"> </w:t>
      </w:r>
      <w:r>
        <w:t>(ARCA)</w:t>
      </w:r>
      <w:r w:rsidR="00445308">
        <w:t xml:space="preserve"> </w:t>
      </w:r>
      <w:r w:rsidR="00445308" w:rsidRPr="00445308">
        <w:rPr>
          <w:lang w:val="en-AU"/>
        </w:rPr>
        <w:t>Submission</w:t>
      </w:r>
      <w:r w:rsidR="00445308">
        <w:rPr>
          <w:lang w:val="en-AU"/>
        </w:rPr>
        <w:t xml:space="preserve"> </w:t>
      </w:r>
    </w:p>
    <w:p w14:paraId="04AD484B" w14:textId="16F2BA38" w:rsidR="00445308" w:rsidRDefault="00445308" w:rsidP="001F4F5D">
      <w:pPr>
        <w:pStyle w:val="Heading1"/>
        <w:spacing w:line="480" w:lineRule="auto"/>
        <w:ind w:right="287"/>
        <w:rPr>
          <w:lang w:val="en-AU"/>
        </w:rPr>
      </w:pPr>
      <w:r w:rsidRPr="00445308">
        <w:rPr>
          <w:lang w:val="en-AU"/>
        </w:rPr>
        <w:t>Review of Merchant Card Payment Costs and Surcharging – Reserve Bank of Australia Consultation Paper, July 2025</w:t>
      </w:r>
    </w:p>
    <w:p w14:paraId="4C83F8E7" w14:textId="77777777" w:rsidR="00072517" w:rsidRPr="001F4F5D" w:rsidRDefault="00072517" w:rsidP="001F4F5D">
      <w:pPr>
        <w:pStyle w:val="Heading1"/>
        <w:spacing w:line="480" w:lineRule="auto"/>
        <w:ind w:right="287"/>
        <w:rPr>
          <w:lang w:val="en-AU"/>
        </w:rPr>
      </w:pPr>
    </w:p>
    <w:p w14:paraId="086587E2" w14:textId="0F2F931C" w:rsidR="009F5674" w:rsidRDefault="009F5674" w:rsidP="009F5674">
      <w:pPr>
        <w:pStyle w:val="Heading1"/>
        <w:spacing w:line="480" w:lineRule="auto"/>
        <w:ind w:right="2817"/>
      </w:pPr>
      <w:r>
        <w:t>Executive Summary-</w:t>
      </w:r>
    </w:p>
    <w:p w14:paraId="0A61EDC2" w14:textId="77777777" w:rsidR="009F5674" w:rsidRPr="009F5674" w:rsidRDefault="009F5674" w:rsidP="009F5674">
      <w:pPr>
        <w:pStyle w:val="BodyText"/>
        <w:spacing w:line="360" w:lineRule="auto"/>
        <w:ind w:left="22"/>
        <w:rPr>
          <w:b/>
          <w:bCs/>
          <w:lang w:val="en-AU"/>
        </w:rPr>
      </w:pPr>
      <w:r w:rsidRPr="009F5674">
        <w:rPr>
          <w:b/>
          <w:bCs/>
          <w:lang w:val="en-AU"/>
        </w:rPr>
        <w:t>Q1 – Removal of Surcharging on Designated Card Networks</w:t>
      </w:r>
    </w:p>
    <w:p w14:paraId="69EAF355" w14:textId="77777777" w:rsidR="009F5674" w:rsidRPr="009F5674" w:rsidRDefault="009F5674" w:rsidP="009F5674">
      <w:pPr>
        <w:pStyle w:val="BodyText"/>
        <w:spacing w:line="360" w:lineRule="auto"/>
        <w:ind w:left="22"/>
        <w:rPr>
          <w:lang w:val="en-AU"/>
        </w:rPr>
      </w:pPr>
      <w:r w:rsidRPr="009F5674">
        <w:rPr>
          <w:b/>
          <w:bCs/>
          <w:lang w:val="en-AU"/>
        </w:rPr>
        <w:t>Position:</w:t>
      </w:r>
      <w:r w:rsidRPr="009F5674">
        <w:rPr>
          <w:lang w:val="en-AU"/>
        </w:rPr>
        <w:t xml:space="preserve"> Oppose removal.</w:t>
      </w:r>
    </w:p>
    <w:p w14:paraId="7585E522" w14:textId="77777777" w:rsidR="009F5674" w:rsidRPr="009F5674" w:rsidRDefault="009F5674" w:rsidP="009F5674">
      <w:pPr>
        <w:pStyle w:val="BodyText"/>
        <w:spacing w:line="360" w:lineRule="auto"/>
        <w:ind w:left="22"/>
        <w:rPr>
          <w:lang w:val="en-AU"/>
        </w:rPr>
      </w:pPr>
      <w:r w:rsidRPr="009F5674">
        <w:rPr>
          <w:lang w:val="en-AU"/>
        </w:rPr>
        <w:t xml:space="preserve">Removing the ability for restaurants and cafés to levy </w:t>
      </w:r>
      <w:r w:rsidRPr="009F5674">
        <w:rPr>
          <w:b/>
          <w:bCs/>
          <w:lang w:val="en-AU"/>
        </w:rPr>
        <w:t>reasonable, cost-based surcharges</w:t>
      </w:r>
      <w:r w:rsidRPr="009F5674">
        <w:rPr>
          <w:lang w:val="en-AU"/>
        </w:rPr>
        <w:t xml:space="preserve"> would not serve the public interest. Instead, it would </w:t>
      </w:r>
      <w:r w:rsidRPr="009F5674">
        <w:rPr>
          <w:b/>
          <w:bCs/>
          <w:lang w:val="en-AU"/>
        </w:rPr>
        <w:t>increase costs for small hospitality businesses, reduce transparency for consumers, and drive broad-based price increases</w:t>
      </w:r>
      <w:r w:rsidRPr="009F5674">
        <w:rPr>
          <w:lang w:val="en-AU"/>
        </w:rPr>
        <w:t>.</w:t>
      </w:r>
    </w:p>
    <w:p w14:paraId="2CB440B7" w14:textId="77777777" w:rsidR="009F5674" w:rsidRPr="009F5674" w:rsidRDefault="009F5674" w:rsidP="009F5674">
      <w:pPr>
        <w:pStyle w:val="BodyText"/>
        <w:spacing w:line="360" w:lineRule="auto"/>
        <w:ind w:left="22"/>
        <w:rPr>
          <w:lang w:val="en-AU"/>
        </w:rPr>
      </w:pPr>
      <w:r w:rsidRPr="009F5674">
        <w:rPr>
          <w:lang w:val="en-AU"/>
        </w:rPr>
        <w:t>Key points:</w:t>
      </w:r>
    </w:p>
    <w:p w14:paraId="1A236D99" w14:textId="77777777" w:rsidR="009F5674" w:rsidRPr="009F5674" w:rsidRDefault="009F5674" w:rsidP="009F5674">
      <w:pPr>
        <w:pStyle w:val="BodyText"/>
        <w:numPr>
          <w:ilvl w:val="0"/>
          <w:numId w:val="27"/>
        </w:numPr>
        <w:spacing w:line="360" w:lineRule="auto"/>
        <w:rPr>
          <w:lang w:val="en-AU"/>
        </w:rPr>
      </w:pPr>
      <w:r w:rsidRPr="009F5674">
        <w:rPr>
          <w:lang w:val="en-AU"/>
        </w:rPr>
        <w:t xml:space="preserve">Merchant fees are a </w:t>
      </w:r>
      <w:r w:rsidRPr="009F5674">
        <w:rPr>
          <w:b/>
          <w:bCs/>
          <w:lang w:val="en-AU"/>
        </w:rPr>
        <w:t>material cost input</w:t>
      </w:r>
      <w:r w:rsidRPr="009F5674">
        <w:rPr>
          <w:lang w:val="en-AU"/>
        </w:rPr>
        <w:t xml:space="preserve"> for restaurants and cafés. In ARCA’s latest member survey, </w:t>
      </w:r>
      <w:r w:rsidRPr="009F5674">
        <w:rPr>
          <w:b/>
          <w:bCs/>
          <w:lang w:val="en-AU"/>
        </w:rPr>
        <w:t>81% of venues currently surcharge</w:t>
      </w:r>
      <w:r w:rsidRPr="009F5674">
        <w:rPr>
          <w:lang w:val="en-AU"/>
        </w:rPr>
        <w:t>, primarily on card-present transactions, to recover these costs — a stark contrast to the RBA’s own figure (~10% across all merchants).</w:t>
      </w:r>
    </w:p>
    <w:p w14:paraId="5C303423" w14:textId="77777777" w:rsidR="009F5674" w:rsidRPr="009F5674" w:rsidRDefault="009F5674" w:rsidP="009F5674">
      <w:pPr>
        <w:pStyle w:val="BodyText"/>
        <w:numPr>
          <w:ilvl w:val="0"/>
          <w:numId w:val="27"/>
        </w:numPr>
        <w:spacing w:line="360" w:lineRule="auto"/>
        <w:rPr>
          <w:lang w:val="en-AU"/>
        </w:rPr>
      </w:pPr>
      <w:r w:rsidRPr="009F5674">
        <w:rPr>
          <w:lang w:val="en-AU"/>
        </w:rPr>
        <w:t xml:space="preserve">If surcharging is banned, operators will have no choice but to </w:t>
      </w:r>
      <w:r w:rsidRPr="009F5674">
        <w:rPr>
          <w:b/>
          <w:bCs/>
          <w:lang w:val="en-AU"/>
        </w:rPr>
        <w:t>embed these costs into menu prices</w:t>
      </w:r>
      <w:r w:rsidRPr="009F5674">
        <w:rPr>
          <w:lang w:val="en-AU"/>
        </w:rPr>
        <w:t>, meaning all diners — including those paying with low-cost methods — will face higher prices.</w:t>
      </w:r>
    </w:p>
    <w:p w14:paraId="404D0D57" w14:textId="77777777" w:rsidR="009F5674" w:rsidRPr="009F5674" w:rsidRDefault="009F5674" w:rsidP="009F5674">
      <w:pPr>
        <w:pStyle w:val="BodyText"/>
        <w:numPr>
          <w:ilvl w:val="0"/>
          <w:numId w:val="27"/>
        </w:numPr>
        <w:spacing w:line="360" w:lineRule="auto"/>
        <w:rPr>
          <w:lang w:val="en-AU"/>
        </w:rPr>
      </w:pPr>
      <w:r w:rsidRPr="009F5674">
        <w:rPr>
          <w:lang w:val="en-AU"/>
        </w:rPr>
        <w:t xml:space="preserve">This outcome </w:t>
      </w:r>
      <w:r w:rsidRPr="009F5674">
        <w:rPr>
          <w:b/>
          <w:bCs/>
          <w:lang w:val="en-AU"/>
        </w:rPr>
        <w:t>reduces price transparency</w:t>
      </w:r>
      <w:r w:rsidRPr="009F5674">
        <w:rPr>
          <w:lang w:val="en-AU"/>
        </w:rPr>
        <w:t xml:space="preserve"> and disproportionately benefits high-cost card issuers and large financial institutions.</w:t>
      </w:r>
    </w:p>
    <w:p w14:paraId="681C651C" w14:textId="3CFE3D14" w:rsidR="00072517" w:rsidRPr="00535120" w:rsidRDefault="009F5674" w:rsidP="00072517">
      <w:pPr>
        <w:pStyle w:val="BodyText"/>
        <w:spacing w:line="360" w:lineRule="auto"/>
        <w:ind w:left="22"/>
        <w:rPr>
          <w:lang w:val="en-AU"/>
        </w:rPr>
      </w:pPr>
      <w:r w:rsidRPr="009F5674">
        <w:rPr>
          <w:b/>
          <w:bCs/>
          <w:lang w:val="en-AU"/>
        </w:rPr>
        <w:t>Recommendation:</w:t>
      </w:r>
      <w:r w:rsidRPr="009F5674">
        <w:rPr>
          <w:lang w:val="en-AU"/>
        </w:rPr>
        <w:br/>
        <w:t>Retain surcharging rights</w:t>
      </w:r>
      <w:r w:rsidR="007F5C3B">
        <w:rPr>
          <w:lang w:val="en-AU"/>
        </w:rPr>
        <w:t>.</w:t>
      </w:r>
      <w:r w:rsidR="00426C8A">
        <w:rPr>
          <w:lang w:val="en-AU"/>
        </w:rPr>
        <w:t xml:space="preserve"> </w:t>
      </w:r>
      <w:r w:rsidR="00535120" w:rsidRPr="00136B92">
        <w:rPr>
          <w:b/>
          <w:bCs/>
          <w:lang w:val="en-AU"/>
        </w:rPr>
        <w:t>User choice, user pays</w:t>
      </w:r>
      <w:r w:rsidR="007D77D0" w:rsidRPr="00136B92">
        <w:rPr>
          <w:b/>
          <w:bCs/>
          <w:lang w:val="en-AU"/>
        </w:rPr>
        <w:t xml:space="preserve">-not the </w:t>
      </w:r>
      <w:r w:rsidR="00136B92" w:rsidRPr="00136B92">
        <w:rPr>
          <w:b/>
          <w:bCs/>
          <w:lang w:val="en-AU"/>
        </w:rPr>
        <w:t>merchant</w:t>
      </w:r>
      <w:r w:rsidR="00535120" w:rsidRPr="00136B92">
        <w:rPr>
          <w:b/>
          <w:bCs/>
          <w:lang w:val="en-AU"/>
        </w:rPr>
        <w:t xml:space="preserve">. </w:t>
      </w:r>
    </w:p>
    <w:p w14:paraId="0E481349" w14:textId="645BA48B" w:rsidR="009F5674" w:rsidRPr="009F5674" w:rsidRDefault="00177925" w:rsidP="00276C97">
      <w:pPr>
        <w:pStyle w:val="BodyText"/>
        <w:spacing w:line="360" w:lineRule="auto"/>
        <w:ind w:left="22"/>
        <w:rPr>
          <w:lang w:val="en-AU"/>
        </w:rPr>
      </w:pPr>
      <w:r>
        <w:rPr>
          <w:lang w:val="en-AU"/>
        </w:rPr>
        <w:pict w14:anchorId="2EDE613E">
          <v:rect id="_x0000_i1025" style="width:0;height:1.5pt" o:hralign="center" o:hrstd="t" o:hr="t" fillcolor="#a0a0a0" stroked="f"/>
        </w:pict>
      </w:r>
    </w:p>
    <w:p w14:paraId="7E189794" w14:textId="77777777" w:rsidR="009F5674" w:rsidRPr="009F5674" w:rsidRDefault="009F5674" w:rsidP="009F5674">
      <w:pPr>
        <w:pStyle w:val="BodyText"/>
        <w:spacing w:line="360" w:lineRule="auto"/>
        <w:ind w:left="22"/>
        <w:rPr>
          <w:b/>
          <w:bCs/>
          <w:lang w:val="en-AU"/>
        </w:rPr>
      </w:pPr>
      <w:r w:rsidRPr="009F5674">
        <w:rPr>
          <w:b/>
          <w:bCs/>
          <w:lang w:val="en-AU"/>
        </w:rPr>
        <w:t>Q2 – Interchange Regulation Changes</w:t>
      </w:r>
    </w:p>
    <w:p w14:paraId="107C1496" w14:textId="14ACE293" w:rsidR="009F5674" w:rsidRPr="009F5674" w:rsidRDefault="009F5674" w:rsidP="009F5674">
      <w:pPr>
        <w:pStyle w:val="BodyText"/>
        <w:spacing w:line="360" w:lineRule="auto"/>
        <w:ind w:left="22"/>
        <w:rPr>
          <w:lang w:val="en-AU"/>
        </w:rPr>
      </w:pPr>
      <w:r w:rsidRPr="009F5674">
        <w:rPr>
          <w:b/>
          <w:bCs/>
          <w:lang w:val="en-AU"/>
        </w:rPr>
        <w:t>Position:</w:t>
      </w:r>
      <w:r w:rsidRPr="009F5674">
        <w:rPr>
          <w:lang w:val="en-AU"/>
        </w:rPr>
        <w:t xml:space="preserve"> Support proposed </w:t>
      </w:r>
      <w:r w:rsidR="00793AD2" w:rsidRPr="009F5674">
        <w:rPr>
          <w:lang w:val="en-AU"/>
        </w:rPr>
        <w:t>changes</w:t>
      </w:r>
      <w:r w:rsidR="00793AD2">
        <w:rPr>
          <w:lang w:val="en-AU"/>
        </w:rPr>
        <w:t xml:space="preserve"> but</w:t>
      </w:r>
      <w:r w:rsidR="00AF29E7">
        <w:rPr>
          <w:lang w:val="en-AU"/>
        </w:rPr>
        <w:t xml:space="preserve"> could go further</w:t>
      </w:r>
      <w:r w:rsidRPr="009F5674">
        <w:rPr>
          <w:lang w:val="en-AU"/>
        </w:rPr>
        <w:t>.</w:t>
      </w:r>
    </w:p>
    <w:p w14:paraId="032E6FE0" w14:textId="77777777" w:rsidR="009F5674" w:rsidRPr="009F5674" w:rsidRDefault="009F5674" w:rsidP="009F5674">
      <w:pPr>
        <w:pStyle w:val="BodyText"/>
        <w:spacing w:line="360" w:lineRule="auto"/>
        <w:ind w:left="22"/>
        <w:rPr>
          <w:lang w:val="en-AU"/>
        </w:rPr>
      </w:pPr>
      <w:r w:rsidRPr="009F5674">
        <w:rPr>
          <w:lang w:val="en-AU"/>
        </w:rPr>
        <w:t xml:space="preserve">The proposed </w:t>
      </w:r>
      <w:r w:rsidRPr="009F5674">
        <w:rPr>
          <w:b/>
          <w:bCs/>
          <w:lang w:val="en-AU"/>
        </w:rPr>
        <w:t>domestic debit benchmark of 6 cents</w:t>
      </w:r>
      <w:r w:rsidRPr="009F5674">
        <w:rPr>
          <w:lang w:val="en-AU"/>
        </w:rPr>
        <w:t xml:space="preserve"> and </w:t>
      </w:r>
      <w:r w:rsidRPr="009F5674">
        <w:rPr>
          <w:b/>
          <w:bCs/>
          <w:lang w:val="en-AU"/>
        </w:rPr>
        <w:t>credit cap of 0.3%</w:t>
      </w:r>
      <w:r w:rsidRPr="009F5674">
        <w:rPr>
          <w:lang w:val="en-AU"/>
        </w:rPr>
        <w:t xml:space="preserve"> would:</w:t>
      </w:r>
    </w:p>
    <w:p w14:paraId="27868C63" w14:textId="42792E81" w:rsidR="009F5674" w:rsidRPr="009F5674" w:rsidRDefault="00517CCC" w:rsidP="009F5674">
      <w:pPr>
        <w:pStyle w:val="BodyText"/>
        <w:numPr>
          <w:ilvl w:val="0"/>
          <w:numId w:val="29"/>
        </w:numPr>
        <w:spacing w:line="360" w:lineRule="auto"/>
        <w:rPr>
          <w:lang w:val="en-AU"/>
        </w:rPr>
      </w:pPr>
      <w:r>
        <w:rPr>
          <w:lang w:val="en-AU"/>
        </w:rPr>
        <w:t>May l</w:t>
      </w:r>
      <w:r w:rsidR="009F5674" w:rsidRPr="009F5674">
        <w:rPr>
          <w:lang w:val="en-AU"/>
        </w:rPr>
        <w:t>ower costs for small merchants with limited negotiating power.</w:t>
      </w:r>
    </w:p>
    <w:p w14:paraId="6FC48BA7" w14:textId="3A6E7874" w:rsidR="009F5674" w:rsidRPr="009F5674" w:rsidRDefault="00DA72AB" w:rsidP="009F5674">
      <w:pPr>
        <w:pStyle w:val="BodyText"/>
        <w:numPr>
          <w:ilvl w:val="0"/>
          <w:numId w:val="29"/>
        </w:numPr>
        <w:spacing w:line="360" w:lineRule="auto"/>
        <w:rPr>
          <w:lang w:val="en-AU"/>
        </w:rPr>
      </w:pPr>
      <w:r>
        <w:rPr>
          <w:lang w:val="en-AU"/>
        </w:rPr>
        <w:t>May r</w:t>
      </w:r>
      <w:r w:rsidR="009F5674" w:rsidRPr="009F5674">
        <w:rPr>
          <w:lang w:val="en-AU"/>
        </w:rPr>
        <w:t xml:space="preserve">educe </w:t>
      </w:r>
      <w:r w:rsidR="009F5674" w:rsidRPr="009F5674">
        <w:rPr>
          <w:b/>
          <w:bCs/>
          <w:lang w:val="en-AU"/>
        </w:rPr>
        <w:t>cross-subsidisation</w:t>
      </w:r>
      <w:r w:rsidR="009F5674" w:rsidRPr="009F5674">
        <w:rPr>
          <w:lang w:val="en-AU"/>
        </w:rPr>
        <w:t>, where smaller venues indirectly fund the low rates given to large retailers.</w:t>
      </w:r>
    </w:p>
    <w:p w14:paraId="622E86C5" w14:textId="77777777" w:rsidR="009F5674" w:rsidRPr="009F5674" w:rsidRDefault="009F5674" w:rsidP="009F5674">
      <w:pPr>
        <w:pStyle w:val="BodyText"/>
        <w:numPr>
          <w:ilvl w:val="0"/>
          <w:numId w:val="29"/>
        </w:numPr>
        <w:spacing w:line="360" w:lineRule="auto"/>
        <w:rPr>
          <w:lang w:val="en-AU"/>
        </w:rPr>
      </w:pPr>
      <w:r w:rsidRPr="009F5674">
        <w:rPr>
          <w:lang w:val="en-AU"/>
        </w:rPr>
        <w:t>Better align caps with true issuer costs, as per RBA cost studies.</w:t>
      </w:r>
    </w:p>
    <w:p w14:paraId="47D0D924" w14:textId="3E5AAB9B" w:rsidR="008C774D" w:rsidRPr="00675BBF" w:rsidRDefault="008C774D" w:rsidP="009F5674">
      <w:pPr>
        <w:pStyle w:val="BodyText"/>
        <w:spacing w:line="360" w:lineRule="auto"/>
        <w:ind w:left="22"/>
        <w:rPr>
          <w:b/>
          <w:bCs/>
          <w:lang w:val="en-AU"/>
        </w:rPr>
      </w:pPr>
      <w:r w:rsidRPr="008C774D">
        <w:rPr>
          <w:lang w:val="en-AU"/>
        </w:rPr>
        <w:t xml:space="preserve">If fee reductions are passed on, it would particularly benefit hospitality businesses with high transaction volumes and low-ticket values, </w:t>
      </w:r>
      <w:r w:rsidRPr="00675BBF">
        <w:rPr>
          <w:b/>
          <w:bCs/>
          <w:lang w:val="en-AU"/>
        </w:rPr>
        <w:t>delivering meaningful cost relief without undermining system functionality.  The RBA can go further as small business still pay 6x big business on debit and 2x on credit in merchant fees.</w:t>
      </w:r>
      <w:r w:rsidRPr="00675BBF">
        <w:rPr>
          <w:b/>
          <w:bCs/>
          <w:lang w:val="en-AU"/>
        </w:rPr>
        <w:t xml:space="preserve"> </w:t>
      </w:r>
    </w:p>
    <w:p w14:paraId="61335B95" w14:textId="25018ED2" w:rsidR="00EB4A73" w:rsidRDefault="00EB4A73" w:rsidP="009F5674">
      <w:pPr>
        <w:pStyle w:val="BodyText"/>
        <w:spacing w:line="360" w:lineRule="auto"/>
        <w:ind w:left="22"/>
        <w:rPr>
          <w:b/>
          <w:bCs/>
          <w:lang w:val="en-AU"/>
        </w:rPr>
      </w:pPr>
      <w:r w:rsidRPr="00EB4A73">
        <w:rPr>
          <w:b/>
          <w:bCs/>
          <w:lang w:val="en-AU"/>
        </w:rPr>
        <w:lastRenderedPageBreak/>
        <w:t xml:space="preserve">Recommendation. </w:t>
      </w:r>
      <w:r w:rsidRPr="00EB4A73">
        <w:rPr>
          <w:lang w:val="en-AU"/>
        </w:rPr>
        <w:t>Commence with lower interchange caps so savings flow immediately into the system and soften the impact of any subsequent changes to surcharging or pricing displays. Early interchange relief is essential to protect small, low margin venues.</w:t>
      </w:r>
    </w:p>
    <w:p w14:paraId="5273B26A" w14:textId="77777777" w:rsidR="00EB4A73" w:rsidRPr="009F5674" w:rsidRDefault="00EB4A73" w:rsidP="009F5674">
      <w:pPr>
        <w:pStyle w:val="BodyText"/>
        <w:spacing w:line="360" w:lineRule="auto"/>
        <w:ind w:left="22"/>
        <w:rPr>
          <w:lang w:val="en-AU"/>
        </w:rPr>
      </w:pPr>
    </w:p>
    <w:p w14:paraId="2CE22286" w14:textId="77777777" w:rsidR="009F5674" w:rsidRPr="009F5674" w:rsidRDefault="00177925" w:rsidP="009F5674">
      <w:pPr>
        <w:pStyle w:val="BodyText"/>
        <w:spacing w:line="360" w:lineRule="auto"/>
        <w:ind w:left="22"/>
        <w:rPr>
          <w:lang w:val="en-AU"/>
        </w:rPr>
      </w:pPr>
      <w:r>
        <w:rPr>
          <w:lang w:val="en-AU"/>
        </w:rPr>
        <w:pict w14:anchorId="24455CDE">
          <v:rect id="_x0000_i1026" style="width:0;height:1.5pt" o:hralign="center" o:hrstd="t" o:hr="t" fillcolor="#a0a0a0" stroked="f"/>
        </w:pict>
      </w:r>
    </w:p>
    <w:p w14:paraId="7A533D47" w14:textId="77777777" w:rsidR="009F5674" w:rsidRPr="009F5674" w:rsidRDefault="009F5674" w:rsidP="009F5674">
      <w:pPr>
        <w:pStyle w:val="BodyText"/>
        <w:spacing w:line="360" w:lineRule="auto"/>
        <w:ind w:left="22"/>
        <w:rPr>
          <w:b/>
          <w:bCs/>
          <w:lang w:val="en-AU"/>
        </w:rPr>
      </w:pPr>
      <w:r w:rsidRPr="009F5674">
        <w:rPr>
          <w:b/>
          <w:bCs/>
          <w:lang w:val="en-AU"/>
        </w:rPr>
        <w:t>Q3 – Considerations for Smaller Issuers</w:t>
      </w:r>
    </w:p>
    <w:p w14:paraId="6662BB63" w14:textId="71C3D3E9" w:rsidR="009F5674" w:rsidRPr="009F5674" w:rsidRDefault="009F5674" w:rsidP="00962059">
      <w:pPr>
        <w:pStyle w:val="BodyText"/>
        <w:spacing w:line="360" w:lineRule="auto"/>
        <w:ind w:left="22"/>
        <w:rPr>
          <w:lang w:val="en-AU"/>
        </w:rPr>
      </w:pPr>
      <w:r w:rsidRPr="009F5674">
        <w:rPr>
          <w:lang w:val="en-AU"/>
        </w:rPr>
        <w:t>To ensure the benefits of interchange reform</w:t>
      </w:r>
      <w:r w:rsidR="00962059" w:rsidRPr="00962059">
        <w:t xml:space="preserve"> </w:t>
      </w:r>
      <w:r w:rsidR="007617A6" w:rsidRPr="00962059">
        <w:rPr>
          <w:lang w:val="en-AU"/>
        </w:rPr>
        <w:t>regulation</w:t>
      </w:r>
      <w:r w:rsidR="00962059" w:rsidRPr="00962059">
        <w:rPr>
          <w:lang w:val="en-AU"/>
        </w:rPr>
        <w:t xml:space="preserve"> must be consistent (no bigger interchange for small banks)</w:t>
      </w:r>
      <w:r w:rsidR="00962059">
        <w:rPr>
          <w:lang w:val="en-AU"/>
        </w:rPr>
        <w:t xml:space="preserve"> &amp; </w:t>
      </w:r>
      <w:proofErr w:type="gramStart"/>
      <w:r w:rsidR="00962059" w:rsidRPr="00962059">
        <w:rPr>
          <w:lang w:val="en-AU"/>
        </w:rPr>
        <w:t>duel</w:t>
      </w:r>
      <w:proofErr w:type="gramEnd"/>
      <w:r w:rsidR="00962059" w:rsidRPr="00962059">
        <w:rPr>
          <w:lang w:val="en-AU"/>
        </w:rPr>
        <w:t xml:space="preserve"> network cards must re</w:t>
      </w:r>
      <w:r w:rsidR="00962059">
        <w:rPr>
          <w:lang w:val="en-AU"/>
        </w:rPr>
        <w:t>-</w:t>
      </w:r>
      <w:r w:rsidR="00962059" w:rsidRPr="00962059">
        <w:rPr>
          <w:lang w:val="en-AU"/>
        </w:rPr>
        <w:t>mandated for all banks to enable least cost routing</w:t>
      </w:r>
      <w:r w:rsidR="00962059">
        <w:rPr>
          <w:lang w:val="en-AU"/>
        </w:rPr>
        <w:t xml:space="preserve">. </w:t>
      </w:r>
      <w:proofErr w:type="gramStart"/>
      <w:r w:rsidR="00962059">
        <w:rPr>
          <w:lang w:val="en-AU"/>
        </w:rPr>
        <w:t>Plus</w:t>
      </w:r>
      <w:proofErr w:type="gramEnd"/>
      <w:r w:rsidR="007617A6">
        <w:rPr>
          <w:lang w:val="en-AU"/>
        </w:rPr>
        <w:t xml:space="preserve"> we </w:t>
      </w:r>
      <w:proofErr w:type="gramStart"/>
      <w:r w:rsidR="007617A6">
        <w:rPr>
          <w:lang w:val="en-AU"/>
        </w:rPr>
        <w:t>recommend</w:t>
      </w:r>
      <w:r w:rsidR="00962059">
        <w:rPr>
          <w:lang w:val="en-AU"/>
        </w:rPr>
        <w:t>;</w:t>
      </w:r>
      <w:proofErr w:type="gramEnd"/>
    </w:p>
    <w:p w14:paraId="74BBA2B2" w14:textId="77777777" w:rsidR="009F5674" w:rsidRPr="009F5674" w:rsidRDefault="009F5674" w:rsidP="009F5674">
      <w:pPr>
        <w:pStyle w:val="BodyText"/>
        <w:numPr>
          <w:ilvl w:val="0"/>
          <w:numId w:val="30"/>
        </w:numPr>
        <w:spacing w:line="360" w:lineRule="auto"/>
        <w:rPr>
          <w:lang w:val="en-AU"/>
        </w:rPr>
      </w:pPr>
      <w:r w:rsidRPr="009F5674">
        <w:rPr>
          <w:b/>
          <w:bCs/>
          <w:lang w:val="en-AU"/>
        </w:rPr>
        <w:t>Pass-through enforcement:</w:t>
      </w:r>
      <w:r w:rsidRPr="009F5674">
        <w:rPr>
          <w:lang w:val="en-AU"/>
        </w:rPr>
        <w:t xml:space="preserve"> Mandate PSPs to pass on wholesale cost reductions in full.</w:t>
      </w:r>
    </w:p>
    <w:p w14:paraId="5D5D8FC8" w14:textId="2BE2C77C" w:rsidR="009F5674" w:rsidRPr="009F5674" w:rsidRDefault="009F5674" w:rsidP="009F5674">
      <w:pPr>
        <w:pStyle w:val="BodyText"/>
        <w:numPr>
          <w:ilvl w:val="0"/>
          <w:numId w:val="30"/>
        </w:numPr>
        <w:spacing w:line="360" w:lineRule="auto"/>
        <w:rPr>
          <w:lang w:val="en-AU"/>
        </w:rPr>
      </w:pPr>
      <w:r w:rsidRPr="009F5674">
        <w:rPr>
          <w:b/>
          <w:bCs/>
          <w:lang w:val="en-AU"/>
        </w:rPr>
        <w:t>Anti-avoidance monitoring:</w:t>
      </w:r>
      <w:r w:rsidRPr="009F5674">
        <w:rPr>
          <w:lang w:val="en-AU"/>
        </w:rPr>
        <w:t xml:space="preserve"> Guard against increa</w:t>
      </w:r>
      <w:r w:rsidR="00FD4E6D">
        <w:rPr>
          <w:lang w:val="en-AU"/>
        </w:rPr>
        <w:t>sed</w:t>
      </w:r>
      <w:r w:rsidRPr="009F5674">
        <w:rPr>
          <w:lang w:val="en-AU"/>
        </w:rPr>
        <w:t xml:space="preserve"> scheme fees or altering bundled pricing.</w:t>
      </w:r>
    </w:p>
    <w:p w14:paraId="6961D514" w14:textId="3930D96B" w:rsidR="009F5674" w:rsidRPr="009F5674" w:rsidRDefault="009F5674" w:rsidP="009F5674">
      <w:pPr>
        <w:pStyle w:val="BodyText"/>
        <w:numPr>
          <w:ilvl w:val="0"/>
          <w:numId w:val="30"/>
        </w:numPr>
        <w:spacing w:line="360" w:lineRule="auto"/>
        <w:rPr>
          <w:lang w:val="en-AU"/>
        </w:rPr>
      </w:pPr>
      <w:r w:rsidRPr="009F5674">
        <w:rPr>
          <w:b/>
          <w:bCs/>
          <w:lang w:val="en-AU"/>
        </w:rPr>
        <w:t>Mandatory LCR for all debit transactions</w:t>
      </w:r>
      <w:r w:rsidRPr="009F5674">
        <w:rPr>
          <w:lang w:val="en-AU"/>
        </w:rPr>
        <w:t xml:space="preserve"> (card-present and card-not-present) to enhance competitive pressure</w:t>
      </w:r>
      <w:r w:rsidR="00E72DE5">
        <w:rPr>
          <w:lang w:val="en-AU"/>
        </w:rPr>
        <w:t xml:space="preserve">, requiring </w:t>
      </w:r>
      <w:r w:rsidR="00E72DE5" w:rsidRPr="00E72DE5">
        <w:rPr>
          <w:lang w:val="en-AU"/>
        </w:rPr>
        <w:t>small banks have multi network debit cards</w:t>
      </w:r>
      <w:r w:rsidRPr="009F5674">
        <w:rPr>
          <w:lang w:val="en-AU"/>
        </w:rPr>
        <w:t>.</w:t>
      </w:r>
    </w:p>
    <w:p w14:paraId="69384FE8" w14:textId="77777777" w:rsidR="009F5674" w:rsidRPr="009F5674" w:rsidRDefault="009F5674" w:rsidP="009F5674">
      <w:pPr>
        <w:pStyle w:val="BodyText"/>
        <w:numPr>
          <w:ilvl w:val="0"/>
          <w:numId w:val="30"/>
        </w:numPr>
        <w:spacing w:line="360" w:lineRule="auto"/>
        <w:rPr>
          <w:lang w:val="en-AU"/>
        </w:rPr>
      </w:pPr>
      <w:r w:rsidRPr="009F5674">
        <w:rPr>
          <w:b/>
          <w:bCs/>
          <w:lang w:val="en-AU"/>
        </w:rPr>
        <w:t>Strategic rate gap review:</w:t>
      </w:r>
      <w:r w:rsidRPr="009F5674">
        <w:rPr>
          <w:lang w:val="en-AU"/>
        </w:rPr>
        <w:t xml:space="preserve"> Prevent deep discounting for large merchants that distorts competition.</w:t>
      </w:r>
    </w:p>
    <w:p w14:paraId="305E69D9" w14:textId="77777777" w:rsidR="009F5674" w:rsidRPr="009F5674" w:rsidRDefault="00177925" w:rsidP="009F5674">
      <w:pPr>
        <w:pStyle w:val="BodyText"/>
        <w:spacing w:line="360" w:lineRule="auto"/>
        <w:ind w:left="22"/>
        <w:rPr>
          <w:lang w:val="en-AU"/>
        </w:rPr>
      </w:pPr>
      <w:r>
        <w:rPr>
          <w:lang w:val="en-AU"/>
        </w:rPr>
        <w:pict w14:anchorId="14088638">
          <v:rect id="_x0000_i1027" style="width:0;height:1.5pt" o:hralign="center" o:hrstd="t" o:hr="t" fillcolor="#a0a0a0" stroked="f"/>
        </w:pict>
      </w:r>
    </w:p>
    <w:p w14:paraId="310F7942" w14:textId="77777777" w:rsidR="009F5674" w:rsidRPr="009F5674" w:rsidRDefault="009F5674" w:rsidP="009F5674">
      <w:pPr>
        <w:pStyle w:val="BodyText"/>
        <w:spacing w:line="360" w:lineRule="auto"/>
        <w:ind w:left="22"/>
        <w:rPr>
          <w:b/>
          <w:bCs/>
          <w:lang w:val="en-AU"/>
        </w:rPr>
      </w:pPr>
      <w:r w:rsidRPr="009F5674">
        <w:rPr>
          <w:b/>
          <w:bCs/>
          <w:lang w:val="en-AU"/>
        </w:rPr>
        <w:t>Q4 – Net Compensation Provisions</w:t>
      </w:r>
    </w:p>
    <w:p w14:paraId="39ABA122" w14:textId="77777777" w:rsidR="009F5674" w:rsidRPr="009F5674" w:rsidRDefault="009F5674" w:rsidP="009F5674">
      <w:pPr>
        <w:pStyle w:val="BodyText"/>
        <w:spacing w:line="360" w:lineRule="auto"/>
        <w:ind w:left="22"/>
        <w:rPr>
          <w:lang w:val="en-AU"/>
        </w:rPr>
      </w:pPr>
      <w:r w:rsidRPr="009F5674">
        <w:rPr>
          <w:b/>
          <w:bCs/>
          <w:lang w:val="en-AU"/>
        </w:rPr>
        <w:t>Position:</w:t>
      </w:r>
      <w:r w:rsidRPr="009F5674">
        <w:rPr>
          <w:lang w:val="en-AU"/>
        </w:rPr>
        <w:t xml:space="preserve"> Support amendments.</w:t>
      </w:r>
    </w:p>
    <w:p w14:paraId="08516C1F" w14:textId="77777777" w:rsidR="009F5674" w:rsidRPr="009F5674" w:rsidRDefault="009F5674" w:rsidP="009F5674">
      <w:pPr>
        <w:pStyle w:val="BodyText"/>
        <w:spacing w:line="360" w:lineRule="auto"/>
        <w:ind w:left="22"/>
        <w:rPr>
          <w:lang w:val="en-AU"/>
        </w:rPr>
      </w:pPr>
      <w:r w:rsidRPr="009F5674">
        <w:rPr>
          <w:lang w:val="en-AU"/>
        </w:rPr>
        <w:t>Extending net compensation provisions to issuers sponsored by overseas entities:</w:t>
      </w:r>
    </w:p>
    <w:p w14:paraId="36ADA1C7" w14:textId="77777777" w:rsidR="009F5674" w:rsidRPr="009F5674" w:rsidRDefault="009F5674" w:rsidP="009F5674">
      <w:pPr>
        <w:pStyle w:val="BodyText"/>
        <w:numPr>
          <w:ilvl w:val="0"/>
          <w:numId w:val="31"/>
        </w:numPr>
        <w:spacing w:line="360" w:lineRule="auto"/>
        <w:rPr>
          <w:lang w:val="en-AU"/>
        </w:rPr>
      </w:pPr>
      <w:r w:rsidRPr="009F5674">
        <w:rPr>
          <w:lang w:val="en-AU"/>
        </w:rPr>
        <w:t xml:space="preserve">Closes a potential </w:t>
      </w:r>
      <w:r w:rsidRPr="009F5674">
        <w:rPr>
          <w:b/>
          <w:bCs/>
          <w:lang w:val="en-AU"/>
        </w:rPr>
        <w:t>regulatory loophole</w:t>
      </w:r>
      <w:r w:rsidRPr="009F5674">
        <w:rPr>
          <w:lang w:val="en-AU"/>
        </w:rPr>
        <w:t>.</w:t>
      </w:r>
    </w:p>
    <w:p w14:paraId="3E2411D4" w14:textId="77777777" w:rsidR="009F5674" w:rsidRPr="009F5674" w:rsidRDefault="009F5674" w:rsidP="009F5674">
      <w:pPr>
        <w:pStyle w:val="BodyText"/>
        <w:numPr>
          <w:ilvl w:val="0"/>
          <w:numId w:val="31"/>
        </w:numPr>
        <w:spacing w:line="360" w:lineRule="auto"/>
        <w:rPr>
          <w:lang w:val="en-AU"/>
        </w:rPr>
      </w:pPr>
      <w:r w:rsidRPr="009F5674">
        <w:rPr>
          <w:lang w:val="en-AU"/>
        </w:rPr>
        <w:t xml:space="preserve">Ensures </w:t>
      </w:r>
      <w:r w:rsidRPr="009F5674">
        <w:rPr>
          <w:b/>
          <w:bCs/>
          <w:lang w:val="en-AU"/>
        </w:rPr>
        <w:t>competitive neutrality</w:t>
      </w:r>
      <w:r w:rsidRPr="009F5674">
        <w:rPr>
          <w:lang w:val="en-AU"/>
        </w:rPr>
        <w:t xml:space="preserve"> between domestic and foreign-backed issuers.</w:t>
      </w:r>
    </w:p>
    <w:p w14:paraId="08CCD73F" w14:textId="77777777" w:rsidR="009F5674" w:rsidRPr="009F5674" w:rsidRDefault="009F5674" w:rsidP="009F5674">
      <w:pPr>
        <w:pStyle w:val="BodyText"/>
        <w:numPr>
          <w:ilvl w:val="0"/>
          <w:numId w:val="31"/>
        </w:numPr>
        <w:spacing w:line="360" w:lineRule="auto"/>
        <w:rPr>
          <w:lang w:val="en-AU"/>
        </w:rPr>
      </w:pPr>
      <w:r w:rsidRPr="009F5674">
        <w:rPr>
          <w:lang w:val="en-AU"/>
        </w:rPr>
        <w:t xml:space="preserve">Promotes </w:t>
      </w:r>
      <w:r w:rsidRPr="009F5674">
        <w:rPr>
          <w:b/>
          <w:bCs/>
          <w:lang w:val="en-AU"/>
        </w:rPr>
        <w:t>market integrity</w:t>
      </w:r>
      <w:r w:rsidRPr="009F5674">
        <w:rPr>
          <w:lang w:val="en-AU"/>
        </w:rPr>
        <w:t xml:space="preserve"> by preventing circumvention via indirect payments.</w:t>
      </w:r>
    </w:p>
    <w:p w14:paraId="356A4E93" w14:textId="77777777" w:rsidR="009F5674" w:rsidRPr="009F5674" w:rsidRDefault="009F5674" w:rsidP="009F5674">
      <w:pPr>
        <w:pStyle w:val="BodyText"/>
        <w:spacing w:line="360" w:lineRule="auto"/>
        <w:ind w:left="22"/>
        <w:rPr>
          <w:lang w:val="en-AU"/>
        </w:rPr>
      </w:pPr>
      <w:r w:rsidRPr="009F5674">
        <w:rPr>
          <w:lang w:val="en-AU"/>
        </w:rPr>
        <w:t>Compliance should be readily achievable, as the RBA notes this reflects current practice.</w:t>
      </w:r>
    </w:p>
    <w:p w14:paraId="4A552A34" w14:textId="77777777" w:rsidR="009F5674" w:rsidRPr="009F5674" w:rsidRDefault="00177925" w:rsidP="009F5674">
      <w:pPr>
        <w:pStyle w:val="BodyText"/>
        <w:spacing w:line="360" w:lineRule="auto"/>
        <w:ind w:left="22"/>
        <w:rPr>
          <w:lang w:val="en-AU"/>
        </w:rPr>
      </w:pPr>
      <w:r>
        <w:rPr>
          <w:lang w:val="en-AU"/>
        </w:rPr>
        <w:pict w14:anchorId="2611D675">
          <v:rect id="_x0000_i1028" style="width:0;height:1.5pt" o:hralign="center" o:hrstd="t" o:hr="t" fillcolor="#a0a0a0" stroked="f"/>
        </w:pict>
      </w:r>
    </w:p>
    <w:p w14:paraId="4040EDB3" w14:textId="77777777" w:rsidR="009F5674" w:rsidRPr="009F5674" w:rsidRDefault="009F5674" w:rsidP="009F5674">
      <w:pPr>
        <w:pStyle w:val="BodyText"/>
        <w:spacing w:line="360" w:lineRule="auto"/>
        <w:ind w:left="22"/>
        <w:rPr>
          <w:b/>
          <w:bCs/>
          <w:lang w:val="en-AU"/>
        </w:rPr>
      </w:pPr>
      <w:r w:rsidRPr="009F5674">
        <w:rPr>
          <w:b/>
          <w:bCs/>
          <w:lang w:val="en-AU"/>
        </w:rPr>
        <w:t>Q5 &amp; Q6 – Transparency on Wholesale Fees and Scheme Fee Simplification</w:t>
      </w:r>
    </w:p>
    <w:p w14:paraId="15EBB995" w14:textId="77777777" w:rsidR="009F5674" w:rsidRPr="009F5674" w:rsidRDefault="009F5674" w:rsidP="009F5674">
      <w:pPr>
        <w:pStyle w:val="BodyText"/>
        <w:spacing w:line="360" w:lineRule="auto"/>
        <w:ind w:left="22"/>
        <w:rPr>
          <w:lang w:val="en-AU"/>
        </w:rPr>
      </w:pPr>
      <w:r w:rsidRPr="009F5674">
        <w:rPr>
          <w:b/>
          <w:bCs/>
          <w:lang w:val="en-AU"/>
        </w:rPr>
        <w:t>Position:</w:t>
      </w:r>
      <w:r w:rsidRPr="009F5674">
        <w:rPr>
          <w:lang w:val="en-AU"/>
        </w:rPr>
        <w:t xml:space="preserve"> Strongly support both proposals.</w:t>
      </w:r>
    </w:p>
    <w:p w14:paraId="0F3B3C88" w14:textId="15366DF3" w:rsidR="009F5674" w:rsidRPr="009F5674" w:rsidRDefault="009F5674" w:rsidP="009F5674">
      <w:pPr>
        <w:pStyle w:val="BodyText"/>
        <w:spacing w:line="360" w:lineRule="auto"/>
        <w:ind w:left="22"/>
        <w:rPr>
          <w:lang w:val="en-AU"/>
        </w:rPr>
      </w:pPr>
      <w:r w:rsidRPr="009F5674">
        <w:rPr>
          <w:lang w:val="en-AU"/>
        </w:rPr>
        <w:t xml:space="preserve">Publishing </w:t>
      </w:r>
      <w:r w:rsidR="00EE7ACB">
        <w:rPr>
          <w:b/>
          <w:bCs/>
          <w:lang w:val="en-AU"/>
        </w:rPr>
        <w:t>segmented</w:t>
      </w:r>
      <w:r w:rsidRPr="009F5674">
        <w:rPr>
          <w:b/>
          <w:bCs/>
          <w:lang w:val="en-AU"/>
        </w:rPr>
        <w:t xml:space="preserve"> wholesale fee data</w:t>
      </w:r>
      <w:r w:rsidRPr="009F5674">
        <w:rPr>
          <w:lang w:val="en-AU"/>
        </w:rPr>
        <w:t>:</w:t>
      </w:r>
    </w:p>
    <w:p w14:paraId="6E8DF81B" w14:textId="77777777" w:rsidR="009F5674" w:rsidRPr="009F5674" w:rsidRDefault="009F5674" w:rsidP="009F5674">
      <w:pPr>
        <w:pStyle w:val="BodyText"/>
        <w:numPr>
          <w:ilvl w:val="0"/>
          <w:numId w:val="32"/>
        </w:numPr>
        <w:spacing w:line="360" w:lineRule="auto"/>
        <w:rPr>
          <w:lang w:val="en-AU"/>
        </w:rPr>
      </w:pPr>
      <w:r w:rsidRPr="009F5674">
        <w:rPr>
          <w:lang w:val="en-AU"/>
        </w:rPr>
        <w:t>Gives small merchants visibility to benchmark costs.</w:t>
      </w:r>
    </w:p>
    <w:p w14:paraId="577427AE" w14:textId="77777777" w:rsidR="009F5674" w:rsidRPr="009F5674" w:rsidRDefault="009F5674" w:rsidP="009F5674">
      <w:pPr>
        <w:pStyle w:val="BodyText"/>
        <w:numPr>
          <w:ilvl w:val="0"/>
          <w:numId w:val="32"/>
        </w:numPr>
        <w:spacing w:line="360" w:lineRule="auto"/>
        <w:rPr>
          <w:lang w:val="en-AU"/>
        </w:rPr>
      </w:pPr>
      <w:r w:rsidRPr="009F5674">
        <w:rPr>
          <w:lang w:val="en-AU"/>
        </w:rPr>
        <w:t>Encourages competitive pressure on PSPs and card networks.</w:t>
      </w:r>
    </w:p>
    <w:p w14:paraId="1E23326D" w14:textId="77777777" w:rsidR="009F5674" w:rsidRPr="009F5674" w:rsidRDefault="009F5674" w:rsidP="009F5674">
      <w:pPr>
        <w:pStyle w:val="BodyText"/>
        <w:numPr>
          <w:ilvl w:val="0"/>
          <w:numId w:val="32"/>
        </w:numPr>
        <w:spacing w:line="360" w:lineRule="auto"/>
        <w:rPr>
          <w:lang w:val="en-AU"/>
        </w:rPr>
      </w:pPr>
      <w:r w:rsidRPr="009F5674">
        <w:rPr>
          <w:lang w:val="en-AU"/>
        </w:rPr>
        <w:t>Supports informed decision-making and advocacy.</w:t>
      </w:r>
    </w:p>
    <w:p w14:paraId="47524EDF" w14:textId="77777777" w:rsidR="009F5674" w:rsidRPr="009F5674" w:rsidRDefault="009F5674" w:rsidP="009F5674">
      <w:pPr>
        <w:pStyle w:val="BodyText"/>
        <w:spacing w:line="360" w:lineRule="auto"/>
        <w:ind w:left="22"/>
        <w:rPr>
          <w:lang w:val="en-AU"/>
        </w:rPr>
      </w:pPr>
      <w:r w:rsidRPr="009F5674">
        <w:rPr>
          <w:lang w:val="en-AU"/>
        </w:rPr>
        <w:t xml:space="preserve">Simplifying </w:t>
      </w:r>
      <w:r w:rsidRPr="009F5674">
        <w:rPr>
          <w:b/>
          <w:bCs/>
          <w:lang w:val="en-AU"/>
        </w:rPr>
        <w:t>scheme fee schedules</w:t>
      </w:r>
      <w:r w:rsidRPr="009F5674">
        <w:rPr>
          <w:lang w:val="en-AU"/>
        </w:rPr>
        <w:t>:</w:t>
      </w:r>
    </w:p>
    <w:p w14:paraId="3BA8A198" w14:textId="77777777" w:rsidR="009F5674" w:rsidRPr="009F5674" w:rsidRDefault="009F5674" w:rsidP="009F5674">
      <w:pPr>
        <w:pStyle w:val="BodyText"/>
        <w:numPr>
          <w:ilvl w:val="0"/>
          <w:numId w:val="33"/>
        </w:numPr>
        <w:spacing w:line="360" w:lineRule="auto"/>
        <w:rPr>
          <w:lang w:val="en-AU"/>
        </w:rPr>
      </w:pPr>
      <w:r w:rsidRPr="009F5674">
        <w:rPr>
          <w:lang w:val="en-AU"/>
        </w:rPr>
        <w:t>Removes an unfair complexity burden from small businesses.</w:t>
      </w:r>
    </w:p>
    <w:p w14:paraId="4F4C233A" w14:textId="77777777" w:rsidR="009F5674" w:rsidRPr="009F5674" w:rsidRDefault="009F5674" w:rsidP="009F5674">
      <w:pPr>
        <w:pStyle w:val="BodyText"/>
        <w:numPr>
          <w:ilvl w:val="0"/>
          <w:numId w:val="33"/>
        </w:numPr>
        <w:spacing w:line="360" w:lineRule="auto"/>
        <w:rPr>
          <w:lang w:val="en-AU"/>
        </w:rPr>
      </w:pPr>
      <w:r w:rsidRPr="009F5674">
        <w:rPr>
          <w:lang w:val="en-AU"/>
        </w:rPr>
        <w:t>Enables effective LCR implementation.</w:t>
      </w:r>
    </w:p>
    <w:p w14:paraId="36F04E33" w14:textId="77777777" w:rsidR="009F5674" w:rsidRPr="009F5674" w:rsidRDefault="009F5674" w:rsidP="009F5674">
      <w:pPr>
        <w:pStyle w:val="BodyText"/>
        <w:numPr>
          <w:ilvl w:val="0"/>
          <w:numId w:val="33"/>
        </w:numPr>
        <w:spacing w:line="360" w:lineRule="auto"/>
        <w:rPr>
          <w:lang w:val="en-AU"/>
        </w:rPr>
      </w:pPr>
      <w:r w:rsidRPr="009F5674">
        <w:rPr>
          <w:lang w:val="en-AU"/>
        </w:rPr>
        <w:t xml:space="preserve">Increases transparency in distinguishing </w:t>
      </w:r>
      <w:r w:rsidRPr="009F5674">
        <w:rPr>
          <w:b/>
          <w:bCs/>
          <w:lang w:val="en-AU"/>
        </w:rPr>
        <w:t>mandatory vs. optional</w:t>
      </w:r>
      <w:r w:rsidRPr="009F5674">
        <w:rPr>
          <w:lang w:val="en-AU"/>
        </w:rPr>
        <w:t xml:space="preserve"> fees.</w:t>
      </w:r>
    </w:p>
    <w:p w14:paraId="3BF4C41C" w14:textId="3C567DAA" w:rsidR="009F5674" w:rsidRPr="009F5674" w:rsidRDefault="009F5674" w:rsidP="009F5674">
      <w:pPr>
        <w:pStyle w:val="BodyText"/>
        <w:spacing w:line="360" w:lineRule="auto"/>
        <w:ind w:left="22"/>
        <w:rPr>
          <w:lang w:val="en-AU"/>
        </w:rPr>
      </w:pPr>
      <w:r w:rsidRPr="009F5674">
        <w:rPr>
          <w:b/>
          <w:bCs/>
          <w:lang w:val="en-AU"/>
        </w:rPr>
        <w:lastRenderedPageBreak/>
        <w:t>Recommendation:</w:t>
      </w:r>
      <w:r w:rsidRPr="009F5674">
        <w:rPr>
          <w:lang w:val="en-AU"/>
        </w:rPr>
        <w:t xml:space="preserve"> Require card networks to deliver measurable simplification plans by </w:t>
      </w:r>
      <w:r w:rsidR="00EC7956">
        <w:rPr>
          <w:b/>
          <w:bCs/>
          <w:lang w:val="en-AU"/>
        </w:rPr>
        <w:t>31 December</w:t>
      </w:r>
      <w:r w:rsidRPr="009F5674">
        <w:rPr>
          <w:b/>
          <w:bCs/>
          <w:lang w:val="en-AU"/>
        </w:rPr>
        <w:t xml:space="preserve"> 2026</w:t>
      </w:r>
      <w:r w:rsidRPr="009F5674">
        <w:rPr>
          <w:lang w:val="en-AU"/>
        </w:rPr>
        <w:t>, with PSP and merchant group consultation.</w:t>
      </w:r>
      <w:r w:rsidR="00997F7C">
        <w:rPr>
          <w:lang w:val="en-AU"/>
        </w:rPr>
        <w:t xml:space="preserve"> </w:t>
      </w:r>
      <w:r w:rsidR="00997F7C" w:rsidRPr="00997F7C">
        <w:rPr>
          <w:lang w:val="en-AU"/>
        </w:rPr>
        <w:t>Without caps and clarity, opaque scheme fees can climb despite interchange cuts, pushing merchant COA back up.</w:t>
      </w:r>
    </w:p>
    <w:p w14:paraId="381427E3" w14:textId="77777777" w:rsidR="009F5674" w:rsidRPr="009F5674" w:rsidRDefault="00177925" w:rsidP="009F5674">
      <w:pPr>
        <w:pStyle w:val="BodyText"/>
        <w:spacing w:line="360" w:lineRule="auto"/>
        <w:ind w:left="22"/>
        <w:rPr>
          <w:lang w:val="en-AU"/>
        </w:rPr>
      </w:pPr>
      <w:r>
        <w:rPr>
          <w:lang w:val="en-AU"/>
        </w:rPr>
        <w:pict w14:anchorId="155CFE41">
          <v:rect id="_x0000_i1029" style="width:0;height:1.5pt" o:hralign="center" o:hrstd="t" o:hr="t" fillcolor="#a0a0a0" stroked="f"/>
        </w:pict>
      </w:r>
    </w:p>
    <w:p w14:paraId="784AEE67" w14:textId="77777777" w:rsidR="009F5674" w:rsidRPr="009F5674" w:rsidRDefault="009F5674" w:rsidP="009F5674">
      <w:pPr>
        <w:pStyle w:val="BodyText"/>
        <w:spacing w:line="360" w:lineRule="auto"/>
        <w:ind w:left="22"/>
        <w:rPr>
          <w:b/>
          <w:bCs/>
          <w:lang w:val="en-AU"/>
        </w:rPr>
      </w:pPr>
      <w:r w:rsidRPr="009F5674">
        <w:rPr>
          <w:b/>
          <w:bCs/>
          <w:lang w:val="en-AU"/>
        </w:rPr>
        <w:t>Q7 – Expectation on Scheme Fee Increases</w:t>
      </w:r>
    </w:p>
    <w:p w14:paraId="6DA8D56F" w14:textId="77777777" w:rsidR="009F5674" w:rsidRPr="009F5674" w:rsidRDefault="009F5674" w:rsidP="009F5674">
      <w:pPr>
        <w:pStyle w:val="BodyText"/>
        <w:spacing w:line="360" w:lineRule="auto"/>
        <w:ind w:left="22"/>
        <w:rPr>
          <w:lang w:val="en-AU"/>
        </w:rPr>
      </w:pPr>
      <w:r w:rsidRPr="009F5674">
        <w:rPr>
          <w:lang w:val="en-AU"/>
        </w:rPr>
        <w:t xml:space="preserve">Setting an expectation for justification of scheme fee increases is </w:t>
      </w:r>
      <w:r w:rsidRPr="009F5674">
        <w:rPr>
          <w:b/>
          <w:bCs/>
          <w:lang w:val="en-AU"/>
        </w:rPr>
        <w:t>helpful but insufficient</w:t>
      </w:r>
      <w:r w:rsidRPr="009F5674">
        <w:rPr>
          <w:lang w:val="en-AU"/>
        </w:rPr>
        <w:t>:</w:t>
      </w:r>
    </w:p>
    <w:p w14:paraId="0110F272" w14:textId="77777777" w:rsidR="009F5674" w:rsidRPr="009F5674" w:rsidRDefault="009F5674" w:rsidP="009F5674">
      <w:pPr>
        <w:pStyle w:val="BodyText"/>
        <w:numPr>
          <w:ilvl w:val="0"/>
          <w:numId w:val="34"/>
        </w:numPr>
        <w:spacing w:line="360" w:lineRule="auto"/>
        <w:rPr>
          <w:lang w:val="en-AU"/>
        </w:rPr>
      </w:pPr>
      <w:r w:rsidRPr="009F5674">
        <w:rPr>
          <w:lang w:val="en-AU"/>
        </w:rPr>
        <w:t>Transparency alone won’t stop unjustified increases — especially in the credit card market, where no LCR exists.</w:t>
      </w:r>
    </w:p>
    <w:p w14:paraId="0231C148" w14:textId="77777777" w:rsidR="009F5674" w:rsidRDefault="009F5674" w:rsidP="009F5674">
      <w:pPr>
        <w:pStyle w:val="BodyText"/>
        <w:numPr>
          <w:ilvl w:val="0"/>
          <w:numId w:val="34"/>
        </w:numPr>
        <w:spacing w:line="360" w:lineRule="auto"/>
        <w:rPr>
          <w:lang w:val="en-AU"/>
        </w:rPr>
      </w:pPr>
      <w:r w:rsidRPr="009F5674">
        <w:rPr>
          <w:lang w:val="en-AU"/>
        </w:rPr>
        <w:t xml:space="preserve">Small scheme fee changes can have </w:t>
      </w:r>
      <w:r w:rsidRPr="009F5674">
        <w:rPr>
          <w:b/>
          <w:bCs/>
          <w:lang w:val="en-AU"/>
        </w:rPr>
        <w:t>outsized impacts</w:t>
      </w:r>
      <w:r w:rsidRPr="009F5674">
        <w:rPr>
          <w:lang w:val="en-AU"/>
        </w:rPr>
        <w:t xml:space="preserve"> on hospitality profitability.</w:t>
      </w:r>
    </w:p>
    <w:p w14:paraId="4760E0A0" w14:textId="132C706C" w:rsidR="004C6BD5" w:rsidRPr="009F5674" w:rsidRDefault="004C6BD5" w:rsidP="004C6BD5">
      <w:pPr>
        <w:pStyle w:val="BodyText"/>
        <w:spacing w:line="360" w:lineRule="auto"/>
        <w:rPr>
          <w:lang w:val="en-AU"/>
        </w:rPr>
      </w:pPr>
      <w:r w:rsidRPr="004C6BD5">
        <w:rPr>
          <w:lang w:val="en-AU"/>
        </w:rPr>
        <w:t>Expectations alone are not binding; add a comply or explain trigger if scheme fee growth outpaces expectations.</w:t>
      </w:r>
    </w:p>
    <w:p w14:paraId="49D08DAC" w14:textId="77777777" w:rsidR="009F5674" w:rsidRPr="009F5674" w:rsidRDefault="00177925" w:rsidP="009F5674">
      <w:pPr>
        <w:pStyle w:val="BodyText"/>
        <w:spacing w:line="360" w:lineRule="auto"/>
        <w:ind w:left="22"/>
        <w:rPr>
          <w:lang w:val="en-AU"/>
        </w:rPr>
      </w:pPr>
      <w:r>
        <w:rPr>
          <w:lang w:val="en-AU"/>
        </w:rPr>
        <w:pict w14:anchorId="2B92BC7C">
          <v:rect id="_x0000_i1030" style="width:0;height:1.5pt" o:hralign="center" o:hrstd="t" o:hr="t" fillcolor="#a0a0a0" stroked="f"/>
        </w:pict>
      </w:r>
    </w:p>
    <w:p w14:paraId="60D7CC65" w14:textId="77777777" w:rsidR="009F5674" w:rsidRPr="009F5674" w:rsidRDefault="009F5674" w:rsidP="009F5674">
      <w:pPr>
        <w:pStyle w:val="BodyText"/>
        <w:spacing w:line="360" w:lineRule="auto"/>
        <w:ind w:left="22"/>
        <w:rPr>
          <w:b/>
          <w:bCs/>
          <w:lang w:val="en-AU"/>
        </w:rPr>
      </w:pPr>
      <w:r w:rsidRPr="009F5674">
        <w:rPr>
          <w:b/>
          <w:bCs/>
          <w:lang w:val="en-AU"/>
        </w:rPr>
        <w:t>Q8 – Further Regulatory Measures on Scheme Fees</w:t>
      </w:r>
    </w:p>
    <w:p w14:paraId="51C9262B" w14:textId="77777777" w:rsidR="009F5674" w:rsidRPr="009F5674" w:rsidRDefault="009F5674" w:rsidP="009F5674">
      <w:pPr>
        <w:pStyle w:val="BodyText"/>
        <w:spacing w:line="360" w:lineRule="auto"/>
        <w:ind w:left="22"/>
        <w:rPr>
          <w:lang w:val="en-AU"/>
        </w:rPr>
      </w:pPr>
      <w:r w:rsidRPr="009F5674">
        <w:rPr>
          <w:lang w:val="en-AU"/>
        </w:rPr>
        <w:t>If unjustified growth persists:</w:t>
      </w:r>
    </w:p>
    <w:p w14:paraId="2CCA138B" w14:textId="77777777" w:rsidR="009F5674" w:rsidRPr="009F5674" w:rsidRDefault="009F5674" w:rsidP="009F5674">
      <w:pPr>
        <w:pStyle w:val="BodyText"/>
        <w:numPr>
          <w:ilvl w:val="0"/>
          <w:numId w:val="35"/>
        </w:numPr>
        <w:spacing w:line="360" w:lineRule="auto"/>
        <w:rPr>
          <w:lang w:val="en-AU"/>
        </w:rPr>
      </w:pPr>
      <w:r w:rsidRPr="009F5674">
        <w:rPr>
          <w:b/>
          <w:bCs/>
          <w:lang w:val="en-AU"/>
        </w:rPr>
        <w:t>Cap scheme fees</w:t>
      </w:r>
      <w:r w:rsidRPr="009F5674">
        <w:rPr>
          <w:lang w:val="en-AU"/>
        </w:rPr>
        <w:t xml:space="preserve"> relative to transaction values, especially for credit and international transactions.</w:t>
      </w:r>
    </w:p>
    <w:p w14:paraId="5F5C7FC1" w14:textId="77777777" w:rsidR="009F5674" w:rsidRPr="009F5674" w:rsidRDefault="009F5674" w:rsidP="009F5674">
      <w:pPr>
        <w:pStyle w:val="BodyText"/>
        <w:numPr>
          <w:ilvl w:val="0"/>
          <w:numId w:val="35"/>
        </w:numPr>
        <w:spacing w:line="360" w:lineRule="auto"/>
        <w:rPr>
          <w:lang w:val="en-AU"/>
        </w:rPr>
      </w:pPr>
      <w:r w:rsidRPr="009F5674">
        <w:rPr>
          <w:b/>
          <w:bCs/>
          <w:lang w:val="en-AU"/>
        </w:rPr>
        <w:t>Mandate dual-network credit cards</w:t>
      </w:r>
      <w:r w:rsidRPr="009F5674">
        <w:rPr>
          <w:lang w:val="en-AU"/>
        </w:rPr>
        <w:t xml:space="preserve"> and extend LCR to credit transactions.</w:t>
      </w:r>
    </w:p>
    <w:p w14:paraId="7A9DFB28" w14:textId="77777777" w:rsidR="009F5674" w:rsidRPr="009F5674" w:rsidRDefault="009F5674" w:rsidP="009F5674">
      <w:pPr>
        <w:pStyle w:val="BodyText"/>
        <w:numPr>
          <w:ilvl w:val="0"/>
          <w:numId w:val="35"/>
        </w:numPr>
        <w:spacing w:line="360" w:lineRule="auto"/>
        <w:rPr>
          <w:lang w:val="en-AU"/>
        </w:rPr>
      </w:pPr>
      <w:r w:rsidRPr="009F5674">
        <w:rPr>
          <w:b/>
          <w:bCs/>
          <w:lang w:val="en-AU"/>
        </w:rPr>
        <w:t>Require public reporting</w:t>
      </w:r>
      <w:r w:rsidRPr="009F5674">
        <w:rPr>
          <w:lang w:val="en-AU"/>
        </w:rPr>
        <w:t xml:space="preserve"> of average scheme fees by transaction type.</w:t>
      </w:r>
    </w:p>
    <w:p w14:paraId="19B92AE4" w14:textId="77777777" w:rsidR="009F5674" w:rsidRPr="009F5674" w:rsidRDefault="009F5674" w:rsidP="009F5674">
      <w:pPr>
        <w:pStyle w:val="BodyText"/>
        <w:numPr>
          <w:ilvl w:val="0"/>
          <w:numId w:val="35"/>
        </w:numPr>
        <w:spacing w:line="360" w:lineRule="auto"/>
        <w:rPr>
          <w:lang w:val="en-AU"/>
        </w:rPr>
      </w:pPr>
      <w:r w:rsidRPr="009F5674">
        <w:rPr>
          <w:b/>
          <w:bCs/>
          <w:lang w:val="en-AU"/>
        </w:rPr>
        <w:t>Enforce pass-through obligations</w:t>
      </w:r>
      <w:r w:rsidRPr="009F5674">
        <w:rPr>
          <w:lang w:val="en-AU"/>
        </w:rPr>
        <w:t xml:space="preserve"> for PSPs.</w:t>
      </w:r>
    </w:p>
    <w:p w14:paraId="6FAF1BF5" w14:textId="77777777" w:rsidR="009F5674" w:rsidRPr="009F5674" w:rsidRDefault="00177925" w:rsidP="009F5674">
      <w:pPr>
        <w:pStyle w:val="BodyText"/>
        <w:spacing w:line="360" w:lineRule="auto"/>
        <w:ind w:left="22"/>
        <w:rPr>
          <w:lang w:val="en-AU"/>
        </w:rPr>
      </w:pPr>
      <w:r>
        <w:rPr>
          <w:lang w:val="en-AU"/>
        </w:rPr>
        <w:pict w14:anchorId="3755B5B7">
          <v:rect id="_x0000_i1031" style="width:0;height:1.5pt" o:hralign="center" o:hrstd="t" o:hr="t" fillcolor="#a0a0a0" stroked="f"/>
        </w:pict>
      </w:r>
    </w:p>
    <w:p w14:paraId="2BD06983" w14:textId="77777777" w:rsidR="009F5674" w:rsidRPr="009F5674" w:rsidRDefault="009F5674" w:rsidP="009F5674">
      <w:pPr>
        <w:pStyle w:val="BodyText"/>
        <w:spacing w:line="360" w:lineRule="auto"/>
        <w:ind w:left="22"/>
        <w:rPr>
          <w:b/>
          <w:bCs/>
          <w:lang w:val="en-AU"/>
        </w:rPr>
      </w:pPr>
      <w:r w:rsidRPr="009F5674">
        <w:rPr>
          <w:b/>
          <w:bCs/>
          <w:lang w:val="en-AU"/>
        </w:rPr>
        <w:t>Q9 &amp; Q10 – Merchant Cost of Acceptance Publication &amp; Statement Breakdown</w:t>
      </w:r>
    </w:p>
    <w:p w14:paraId="756C8274" w14:textId="77777777" w:rsidR="009F5674" w:rsidRPr="009F5674" w:rsidRDefault="009F5674" w:rsidP="009F5674">
      <w:pPr>
        <w:pStyle w:val="BodyText"/>
        <w:spacing w:line="360" w:lineRule="auto"/>
        <w:ind w:left="22"/>
        <w:rPr>
          <w:lang w:val="en-AU"/>
        </w:rPr>
      </w:pPr>
      <w:r w:rsidRPr="009F5674">
        <w:rPr>
          <w:b/>
          <w:bCs/>
          <w:lang w:val="en-AU"/>
        </w:rPr>
        <w:t>Position:</w:t>
      </w:r>
      <w:r w:rsidRPr="009F5674">
        <w:rPr>
          <w:lang w:val="en-AU"/>
        </w:rPr>
        <w:t xml:space="preserve"> Support with refinements.</w:t>
      </w:r>
    </w:p>
    <w:p w14:paraId="5ED5A15D" w14:textId="77777777" w:rsidR="009F5674" w:rsidRPr="009F5674" w:rsidRDefault="009F5674" w:rsidP="009F5674">
      <w:pPr>
        <w:pStyle w:val="BodyText"/>
        <w:spacing w:line="360" w:lineRule="auto"/>
        <w:ind w:left="22"/>
        <w:rPr>
          <w:lang w:val="en-AU"/>
        </w:rPr>
      </w:pPr>
      <w:r w:rsidRPr="009F5674">
        <w:rPr>
          <w:lang w:val="en-AU"/>
        </w:rPr>
        <w:t>Publishing average cost-of-acceptance data:</w:t>
      </w:r>
    </w:p>
    <w:p w14:paraId="449C4520" w14:textId="77777777" w:rsidR="009F5674" w:rsidRPr="009F5674" w:rsidRDefault="009F5674" w:rsidP="009F5674">
      <w:pPr>
        <w:pStyle w:val="BodyText"/>
        <w:numPr>
          <w:ilvl w:val="0"/>
          <w:numId w:val="36"/>
        </w:numPr>
        <w:spacing w:line="360" w:lineRule="auto"/>
        <w:rPr>
          <w:lang w:val="en-AU"/>
        </w:rPr>
      </w:pPr>
      <w:r w:rsidRPr="009F5674">
        <w:rPr>
          <w:lang w:val="en-AU"/>
        </w:rPr>
        <w:t>Creates benchmarks to drive negotiation and competition.</w:t>
      </w:r>
    </w:p>
    <w:p w14:paraId="3A14BC62" w14:textId="77777777" w:rsidR="009F5674" w:rsidRPr="009F5674" w:rsidRDefault="009F5674" w:rsidP="009F5674">
      <w:pPr>
        <w:pStyle w:val="BodyText"/>
        <w:numPr>
          <w:ilvl w:val="0"/>
          <w:numId w:val="36"/>
        </w:numPr>
        <w:spacing w:line="360" w:lineRule="auto"/>
        <w:rPr>
          <w:lang w:val="en-AU"/>
        </w:rPr>
      </w:pPr>
      <w:r w:rsidRPr="009F5674">
        <w:rPr>
          <w:lang w:val="en-AU"/>
        </w:rPr>
        <w:t xml:space="preserve">Should be in a </w:t>
      </w:r>
      <w:r w:rsidRPr="009F5674">
        <w:rPr>
          <w:b/>
          <w:bCs/>
          <w:lang w:val="en-AU"/>
        </w:rPr>
        <w:t>standardised, comparable format</w:t>
      </w:r>
      <w:r w:rsidRPr="009F5674">
        <w:rPr>
          <w:lang w:val="en-AU"/>
        </w:rPr>
        <w:t xml:space="preserve"> to allow “league tables” and sector benchmarking.</w:t>
      </w:r>
    </w:p>
    <w:p w14:paraId="488BDAAF" w14:textId="77777777" w:rsidR="009F5674" w:rsidRPr="009F5674" w:rsidRDefault="009F5674" w:rsidP="009F5674">
      <w:pPr>
        <w:pStyle w:val="BodyText"/>
        <w:spacing w:line="360" w:lineRule="auto"/>
        <w:ind w:left="22"/>
        <w:rPr>
          <w:lang w:val="en-AU"/>
        </w:rPr>
      </w:pPr>
      <w:r w:rsidRPr="009F5674">
        <w:rPr>
          <w:lang w:val="en-AU"/>
        </w:rPr>
        <w:t>Adding domestic vs. international cost breakdown to statements:</w:t>
      </w:r>
    </w:p>
    <w:p w14:paraId="385158AC" w14:textId="77777777" w:rsidR="009F5674" w:rsidRPr="009F5674" w:rsidRDefault="009F5674" w:rsidP="009F5674">
      <w:pPr>
        <w:pStyle w:val="BodyText"/>
        <w:numPr>
          <w:ilvl w:val="0"/>
          <w:numId w:val="37"/>
        </w:numPr>
        <w:spacing w:line="360" w:lineRule="auto"/>
        <w:rPr>
          <w:lang w:val="en-AU"/>
        </w:rPr>
      </w:pPr>
      <w:r w:rsidRPr="009F5674">
        <w:rPr>
          <w:lang w:val="en-AU"/>
        </w:rPr>
        <w:t>Highlights the higher cost burden of overseas cards.</w:t>
      </w:r>
    </w:p>
    <w:p w14:paraId="23C383F2" w14:textId="77777777" w:rsidR="009F5674" w:rsidRPr="009F5674" w:rsidRDefault="009F5674" w:rsidP="009F5674">
      <w:pPr>
        <w:pStyle w:val="BodyText"/>
        <w:numPr>
          <w:ilvl w:val="0"/>
          <w:numId w:val="37"/>
        </w:numPr>
        <w:spacing w:line="360" w:lineRule="auto"/>
        <w:rPr>
          <w:lang w:val="en-AU"/>
        </w:rPr>
      </w:pPr>
      <w:r w:rsidRPr="009F5674">
        <w:rPr>
          <w:lang w:val="en-AU"/>
        </w:rPr>
        <w:t>Supports pricing and acceptance decisions.</w:t>
      </w:r>
    </w:p>
    <w:p w14:paraId="1EA99D01" w14:textId="40C54BC5" w:rsidR="009F5674" w:rsidRPr="009F5674" w:rsidRDefault="009F5674" w:rsidP="009F5674">
      <w:pPr>
        <w:pStyle w:val="BodyText"/>
        <w:spacing w:line="360" w:lineRule="auto"/>
        <w:ind w:left="22"/>
        <w:rPr>
          <w:lang w:val="en-AU"/>
        </w:rPr>
      </w:pPr>
      <w:r w:rsidRPr="009F5674">
        <w:rPr>
          <w:lang w:val="en-AU"/>
        </w:rPr>
        <w:t xml:space="preserve">No public interest case exists for exempting </w:t>
      </w:r>
      <w:r w:rsidR="00D6245E">
        <w:rPr>
          <w:lang w:val="en-AU"/>
        </w:rPr>
        <w:t>specific industries</w:t>
      </w:r>
      <w:r w:rsidRPr="009F5674">
        <w:rPr>
          <w:lang w:val="en-AU"/>
        </w:rPr>
        <w:t xml:space="preserve"> — all sectors should be treated equally.</w:t>
      </w:r>
    </w:p>
    <w:p w14:paraId="6BF8EAC7" w14:textId="77777777" w:rsidR="009F5674" w:rsidRPr="009F5674" w:rsidRDefault="00177925" w:rsidP="009F5674">
      <w:pPr>
        <w:pStyle w:val="BodyText"/>
        <w:spacing w:line="360" w:lineRule="auto"/>
        <w:ind w:left="22"/>
        <w:rPr>
          <w:lang w:val="en-AU"/>
        </w:rPr>
      </w:pPr>
      <w:r>
        <w:rPr>
          <w:lang w:val="en-AU"/>
        </w:rPr>
        <w:pict w14:anchorId="6E29110F">
          <v:rect id="_x0000_i1032" style="width:0;height:1.5pt" o:hralign="center" o:hrstd="t" o:hr="t" fillcolor="#a0a0a0" stroked="f"/>
        </w:pict>
      </w:r>
    </w:p>
    <w:p w14:paraId="4753D612" w14:textId="77777777" w:rsidR="009F5674" w:rsidRPr="009F5674" w:rsidRDefault="009F5674" w:rsidP="009F5674">
      <w:pPr>
        <w:pStyle w:val="BodyText"/>
        <w:spacing w:line="360" w:lineRule="auto"/>
        <w:ind w:left="22"/>
        <w:rPr>
          <w:b/>
          <w:bCs/>
          <w:lang w:val="en-AU"/>
        </w:rPr>
      </w:pPr>
      <w:r w:rsidRPr="009F5674">
        <w:rPr>
          <w:b/>
          <w:bCs/>
          <w:lang w:val="en-AU"/>
        </w:rPr>
        <w:t>Q11 – LCR Implementation</w:t>
      </w:r>
    </w:p>
    <w:p w14:paraId="76483B17" w14:textId="028EAE03" w:rsidR="009F5674" w:rsidRPr="009F5674" w:rsidRDefault="009F5674" w:rsidP="009F5674">
      <w:pPr>
        <w:pStyle w:val="BodyText"/>
        <w:spacing w:line="360" w:lineRule="auto"/>
        <w:ind w:left="22"/>
        <w:rPr>
          <w:lang w:val="en-AU"/>
        </w:rPr>
      </w:pPr>
      <w:r w:rsidRPr="009F5674">
        <w:rPr>
          <w:b/>
          <w:bCs/>
          <w:lang w:val="en-AU"/>
        </w:rPr>
        <w:t>Recommendation:</w:t>
      </w:r>
      <w:r w:rsidRPr="009F5674">
        <w:rPr>
          <w:lang w:val="en-AU"/>
        </w:rPr>
        <w:t xml:space="preserve"> Move from “expectation” to </w:t>
      </w:r>
      <w:r w:rsidRPr="009F5674">
        <w:rPr>
          <w:b/>
          <w:bCs/>
          <w:lang w:val="en-AU"/>
        </w:rPr>
        <w:t>default-on</w:t>
      </w:r>
      <w:r w:rsidRPr="009F5674">
        <w:rPr>
          <w:lang w:val="en-AU"/>
        </w:rPr>
        <w:t xml:space="preserve"> </w:t>
      </w:r>
      <w:r w:rsidR="007410D8">
        <w:rPr>
          <w:lang w:val="en-AU"/>
        </w:rPr>
        <w:t>dynamic</w:t>
      </w:r>
      <w:r w:rsidR="00DC1F5B">
        <w:rPr>
          <w:lang w:val="en-AU"/>
        </w:rPr>
        <w:t xml:space="preserve"> </w:t>
      </w:r>
      <w:r w:rsidRPr="009F5674">
        <w:rPr>
          <w:lang w:val="en-AU"/>
        </w:rPr>
        <w:t>LCR for eligible merchants in hospitality and other small business segments, with:</w:t>
      </w:r>
    </w:p>
    <w:p w14:paraId="4C0FD74B" w14:textId="77777777" w:rsidR="009F5674" w:rsidRPr="009F5674" w:rsidRDefault="009F5674" w:rsidP="009F5674">
      <w:pPr>
        <w:pStyle w:val="BodyText"/>
        <w:numPr>
          <w:ilvl w:val="0"/>
          <w:numId w:val="38"/>
        </w:numPr>
        <w:spacing w:line="360" w:lineRule="auto"/>
        <w:rPr>
          <w:lang w:val="en-AU"/>
        </w:rPr>
      </w:pPr>
      <w:r w:rsidRPr="009F5674">
        <w:rPr>
          <w:lang w:val="en-AU"/>
        </w:rPr>
        <w:t>Mandatory disclosure of LCR status and savings on merchant statements.</w:t>
      </w:r>
    </w:p>
    <w:p w14:paraId="16C32E7E" w14:textId="77777777" w:rsidR="009F5674" w:rsidRPr="009F5674" w:rsidRDefault="009F5674" w:rsidP="009F5674">
      <w:pPr>
        <w:pStyle w:val="BodyText"/>
        <w:numPr>
          <w:ilvl w:val="0"/>
          <w:numId w:val="38"/>
        </w:numPr>
        <w:spacing w:line="360" w:lineRule="auto"/>
        <w:rPr>
          <w:lang w:val="en-AU"/>
        </w:rPr>
      </w:pPr>
      <w:r w:rsidRPr="009F5674">
        <w:rPr>
          <w:lang w:val="en-AU"/>
        </w:rPr>
        <w:lastRenderedPageBreak/>
        <w:t>Pass-through requirements for blended-rate plans.</w:t>
      </w:r>
    </w:p>
    <w:p w14:paraId="58DB4DDF" w14:textId="77777777" w:rsidR="009F5674" w:rsidRPr="009F5674" w:rsidRDefault="009F5674" w:rsidP="009F5674">
      <w:pPr>
        <w:pStyle w:val="BodyText"/>
        <w:numPr>
          <w:ilvl w:val="0"/>
          <w:numId w:val="38"/>
        </w:numPr>
        <w:spacing w:line="360" w:lineRule="auto"/>
        <w:rPr>
          <w:lang w:val="en-AU"/>
        </w:rPr>
      </w:pPr>
      <w:r w:rsidRPr="009F5674">
        <w:rPr>
          <w:lang w:val="en-AU"/>
        </w:rPr>
        <w:t>Annual public reporting of adoption and savings by sector.</w:t>
      </w:r>
    </w:p>
    <w:p w14:paraId="70474365" w14:textId="77777777" w:rsidR="009F5674" w:rsidRPr="009F5674" w:rsidRDefault="00177925" w:rsidP="009F5674">
      <w:pPr>
        <w:pStyle w:val="BodyText"/>
        <w:spacing w:line="360" w:lineRule="auto"/>
        <w:ind w:left="22"/>
        <w:rPr>
          <w:lang w:val="en-AU"/>
        </w:rPr>
      </w:pPr>
      <w:r>
        <w:rPr>
          <w:lang w:val="en-AU"/>
        </w:rPr>
        <w:pict w14:anchorId="388055A6">
          <v:rect id="_x0000_i1033" style="width:0;height:1.5pt" o:hralign="center" o:hrstd="t" o:hr="t" fillcolor="#a0a0a0" stroked="f"/>
        </w:pict>
      </w:r>
    </w:p>
    <w:p w14:paraId="78F15C4B" w14:textId="77777777" w:rsidR="009F5674" w:rsidRPr="009F5674" w:rsidRDefault="009F5674" w:rsidP="009F5674">
      <w:pPr>
        <w:pStyle w:val="BodyText"/>
        <w:spacing w:line="360" w:lineRule="auto"/>
        <w:ind w:left="22"/>
        <w:rPr>
          <w:b/>
          <w:bCs/>
          <w:lang w:val="en-AU"/>
        </w:rPr>
      </w:pPr>
      <w:r w:rsidRPr="009F5674">
        <w:rPr>
          <w:b/>
          <w:bCs/>
          <w:lang w:val="en-AU"/>
        </w:rPr>
        <w:t>Q12 – Assessment of PSB’s Preferred Package</w:t>
      </w:r>
    </w:p>
    <w:p w14:paraId="5E6EAAF2" w14:textId="77777777" w:rsidR="009F5674" w:rsidRPr="009F5674" w:rsidRDefault="009F5674" w:rsidP="009F5674">
      <w:pPr>
        <w:pStyle w:val="BodyText"/>
        <w:spacing w:line="360" w:lineRule="auto"/>
        <w:ind w:left="22"/>
        <w:rPr>
          <w:lang w:val="en-AU"/>
        </w:rPr>
      </w:pPr>
      <w:r w:rsidRPr="009F5674">
        <w:rPr>
          <w:lang w:val="en-AU"/>
        </w:rPr>
        <w:t>Positive:</w:t>
      </w:r>
    </w:p>
    <w:p w14:paraId="56A0EFF0" w14:textId="77777777" w:rsidR="009F5674" w:rsidRPr="009F5674" w:rsidRDefault="009F5674" w:rsidP="009F5674">
      <w:pPr>
        <w:pStyle w:val="BodyText"/>
        <w:numPr>
          <w:ilvl w:val="0"/>
          <w:numId w:val="39"/>
        </w:numPr>
        <w:spacing w:line="360" w:lineRule="auto"/>
        <w:rPr>
          <w:lang w:val="en-AU"/>
        </w:rPr>
      </w:pPr>
      <w:r w:rsidRPr="009F5674">
        <w:rPr>
          <w:lang w:val="en-AU"/>
        </w:rPr>
        <w:t>Interchange cap reductions will benefit small hospitality operators.</w:t>
      </w:r>
    </w:p>
    <w:p w14:paraId="7721A4D9" w14:textId="77777777" w:rsidR="009F5674" w:rsidRPr="009F5674" w:rsidRDefault="009F5674" w:rsidP="009F5674">
      <w:pPr>
        <w:pStyle w:val="BodyText"/>
        <w:numPr>
          <w:ilvl w:val="0"/>
          <w:numId w:val="39"/>
        </w:numPr>
        <w:spacing w:line="360" w:lineRule="auto"/>
        <w:rPr>
          <w:lang w:val="en-AU"/>
        </w:rPr>
      </w:pPr>
      <w:r w:rsidRPr="009F5674">
        <w:rPr>
          <w:lang w:val="en-AU"/>
        </w:rPr>
        <w:t>Transparency measures will improve market functioning.</w:t>
      </w:r>
    </w:p>
    <w:p w14:paraId="60BE10CA" w14:textId="77777777" w:rsidR="009F5674" w:rsidRPr="009F5674" w:rsidRDefault="009F5674" w:rsidP="009F5674">
      <w:pPr>
        <w:pStyle w:val="BodyText"/>
        <w:spacing w:line="360" w:lineRule="auto"/>
        <w:ind w:left="22"/>
        <w:rPr>
          <w:lang w:val="en-AU"/>
        </w:rPr>
      </w:pPr>
      <w:r w:rsidRPr="009F5674">
        <w:rPr>
          <w:lang w:val="en-AU"/>
        </w:rPr>
        <w:t>Concerns:</w:t>
      </w:r>
    </w:p>
    <w:p w14:paraId="76970E3D" w14:textId="533E7802" w:rsidR="009F5674" w:rsidRPr="009F5674" w:rsidRDefault="009F5674" w:rsidP="009F5674">
      <w:pPr>
        <w:pStyle w:val="BodyText"/>
        <w:numPr>
          <w:ilvl w:val="0"/>
          <w:numId w:val="40"/>
        </w:numPr>
        <w:spacing w:line="360" w:lineRule="auto"/>
        <w:rPr>
          <w:lang w:val="en-AU"/>
        </w:rPr>
      </w:pPr>
      <w:r w:rsidRPr="009F5674">
        <w:rPr>
          <w:lang w:val="en-AU"/>
        </w:rPr>
        <w:t xml:space="preserve">Removal of surcharging without </w:t>
      </w:r>
      <w:r w:rsidRPr="009F5674">
        <w:rPr>
          <w:b/>
          <w:bCs/>
          <w:lang w:val="en-AU"/>
        </w:rPr>
        <w:t>pass-through enforcement</w:t>
      </w:r>
      <w:r w:rsidRPr="009F5674">
        <w:rPr>
          <w:lang w:val="en-AU"/>
        </w:rPr>
        <w:t xml:space="preserve"> risks </w:t>
      </w:r>
      <w:r w:rsidR="007904B6">
        <w:rPr>
          <w:lang w:val="en-AU"/>
        </w:rPr>
        <w:t xml:space="preserve">certain </w:t>
      </w:r>
      <w:r w:rsidRPr="009F5674">
        <w:rPr>
          <w:lang w:val="en-AU"/>
        </w:rPr>
        <w:t>net cost increases.</w:t>
      </w:r>
    </w:p>
    <w:p w14:paraId="1C0A39D7" w14:textId="77777777" w:rsidR="009F5674" w:rsidRPr="009F5674" w:rsidRDefault="009F5674" w:rsidP="009F5674">
      <w:pPr>
        <w:pStyle w:val="BodyText"/>
        <w:numPr>
          <w:ilvl w:val="0"/>
          <w:numId w:val="40"/>
        </w:numPr>
        <w:spacing w:line="360" w:lineRule="auto"/>
        <w:rPr>
          <w:lang w:val="en-AU"/>
        </w:rPr>
      </w:pPr>
      <w:r w:rsidRPr="009F5674">
        <w:rPr>
          <w:lang w:val="en-AU"/>
        </w:rPr>
        <w:t>“Expectations” without enforcement have a poor track record in delivering small merchant benefits.</w:t>
      </w:r>
    </w:p>
    <w:p w14:paraId="4F59B45D" w14:textId="77777777" w:rsidR="009F5674" w:rsidRPr="009F5674" w:rsidRDefault="009F5674" w:rsidP="009F5674">
      <w:pPr>
        <w:pStyle w:val="BodyText"/>
        <w:spacing w:line="360" w:lineRule="auto"/>
        <w:ind w:left="22"/>
        <w:rPr>
          <w:lang w:val="en-AU"/>
        </w:rPr>
      </w:pPr>
      <w:r w:rsidRPr="009F5674">
        <w:rPr>
          <w:lang w:val="en-AU"/>
        </w:rPr>
        <w:t>Variations:</w:t>
      </w:r>
    </w:p>
    <w:p w14:paraId="3F6923A9" w14:textId="6F7429CB" w:rsidR="009F5674" w:rsidRPr="009F5674" w:rsidRDefault="009F5674" w:rsidP="009F5674">
      <w:pPr>
        <w:pStyle w:val="BodyText"/>
        <w:numPr>
          <w:ilvl w:val="0"/>
          <w:numId w:val="41"/>
        </w:numPr>
        <w:spacing w:line="360" w:lineRule="auto"/>
        <w:rPr>
          <w:lang w:val="en-AU"/>
        </w:rPr>
      </w:pPr>
      <w:r w:rsidRPr="009F5674">
        <w:rPr>
          <w:lang w:val="en-AU"/>
        </w:rPr>
        <w:t>Retain surcharging</w:t>
      </w:r>
      <w:r w:rsidR="007904B6">
        <w:rPr>
          <w:lang w:val="en-AU"/>
        </w:rPr>
        <w:t>.</w:t>
      </w:r>
    </w:p>
    <w:p w14:paraId="3F89D5FF" w14:textId="77777777" w:rsidR="009F5674" w:rsidRPr="009F5674" w:rsidRDefault="009F5674" w:rsidP="009F5674">
      <w:pPr>
        <w:pStyle w:val="BodyText"/>
        <w:numPr>
          <w:ilvl w:val="0"/>
          <w:numId w:val="41"/>
        </w:numPr>
        <w:spacing w:line="360" w:lineRule="auto"/>
        <w:rPr>
          <w:lang w:val="en-AU"/>
        </w:rPr>
      </w:pPr>
      <w:r w:rsidRPr="009F5674">
        <w:rPr>
          <w:lang w:val="en-AU"/>
        </w:rPr>
        <w:t>Mandatory pass-through audits.</w:t>
      </w:r>
    </w:p>
    <w:p w14:paraId="25E37C0B" w14:textId="77777777" w:rsidR="009F5674" w:rsidRDefault="009F5674" w:rsidP="009F5674">
      <w:pPr>
        <w:pStyle w:val="BodyText"/>
        <w:numPr>
          <w:ilvl w:val="0"/>
          <w:numId w:val="41"/>
        </w:numPr>
        <w:spacing w:line="360" w:lineRule="auto"/>
        <w:rPr>
          <w:lang w:val="en-AU"/>
        </w:rPr>
      </w:pPr>
      <w:r w:rsidRPr="009F5674">
        <w:rPr>
          <w:lang w:val="en-AU"/>
        </w:rPr>
        <w:t>Small-business-specific transparency obligations.</w:t>
      </w:r>
    </w:p>
    <w:p w14:paraId="61258DFE" w14:textId="77777777" w:rsidR="00DD5B75" w:rsidRDefault="00DD5B75" w:rsidP="00DD5B75">
      <w:pPr>
        <w:pStyle w:val="BodyText"/>
        <w:spacing w:line="360" w:lineRule="auto"/>
        <w:rPr>
          <w:b/>
          <w:bCs/>
          <w:lang w:val="en-AU"/>
        </w:rPr>
      </w:pPr>
    </w:p>
    <w:p w14:paraId="58CEC5DD" w14:textId="05E29973" w:rsidR="00DD5B75" w:rsidRPr="00DD5B75" w:rsidRDefault="00DD5B75" w:rsidP="00DD5B75">
      <w:pPr>
        <w:pStyle w:val="BodyText"/>
        <w:spacing w:line="360" w:lineRule="auto"/>
        <w:rPr>
          <w:b/>
          <w:bCs/>
          <w:lang w:val="en-AU"/>
        </w:rPr>
      </w:pPr>
      <w:r w:rsidRPr="00DD5B75">
        <w:rPr>
          <w:b/>
          <w:bCs/>
          <w:lang w:val="en-AU"/>
        </w:rPr>
        <w:t>We recommend a sequenced implementation:</w:t>
      </w:r>
    </w:p>
    <w:p w14:paraId="0F89A454" w14:textId="77777777" w:rsidR="00DD5B75" w:rsidRPr="00DD5B75" w:rsidRDefault="00DD5B75" w:rsidP="00DD5B75">
      <w:pPr>
        <w:pStyle w:val="BodyText"/>
        <w:spacing w:line="360" w:lineRule="auto"/>
        <w:rPr>
          <w:lang w:val="en-AU"/>
        </w:rPr>
      </w:pPr>
      <w:r w:rsidRPr="00DD5B75">
        <w:rPr>
          <w:lang w:val="en-AU"/>
        </w:rPr>
        <w:t>1.</w:t>
      </w:r>
      <w:r w:rsidRPr="00DD5B75">
        <w:rPr>
          <w:lang w:val="en-AU"/>
        </w:rPr>
        <w:tab/>
        <w:t>Reduce interchange caps.</w:t>
      </w:r>
    </w:p>
    <w:p w14:paraId="2E71D35A" w14:textId="77777777" w:rsidR="00DD5B75" w:rsidRPr="00DD5B75" w:rsidRDefault="00DD5B75" w:rsidP="00DD5B75">
      <w:pPr>
        <w:pStyle w:val="BodyText"/>
        <w:spacing w:line="360" w:lineRule="auto"/>
        <w:rPr>
          <w:lang w:val="en-AU"/>
        </w:rPr>
      </w:pPr>
      <w:r w:rsidRPr="00DD5B75">
        <w:rPr>
          <w:lang w:val="en-AU"/>
        </w:rPr>
        <w:t>2.</w:t>
      </w:r>
      <w:r w:rsidRPr="00DD5B75">
        <w:rPr>
          <w:lang w:val="en-AU"/>
        </w:rPr>
        <w:tab/>
        <w:t>Turn on transparency, simplification, LCR default on, and enforceable scheme fee guardrails.</w:t>
      </w:r>
    </w:p>
    <w:p w14:paraId="5FC5FD4F" w14:textId="77777777" w:rsidR="00DD5B75" w:rsidRPr="00DD5B75" w:rsidRDefault="00DD5B75" w:rsidP="00DD5B75">
      <w:pPr>
        <w:pStyle w:val="BodyText"/>
        <w:spacing w:line="360" w:lineRule="auto"/>
        <w:rPr>
          <w:lang w:val="en-AU"/>
        </w:rPr>
      </w:pPr>
      <w:r w:rsidRPr="00DD5B75">
        <w:rPr>
          <w:lang w:val="en-AU"/>
        </w:rPr>
        <w:t>3.</w:t>
      </w:r>
      <w:r w:rsidRPr="00DD5B75">
        <w:rPr>
          <w:lang w:val="en-AU"/>
        </w:rPr>
        <w:tab/>
        <w:t>Only then adjust surcharging settings (if at all).</w:t>
      </w:r>
    </w:p>
    <w:p w14:paraId="231A74C2" w14:textId="77777777" w:rsidR="009F5674" w:rsidRPr="009F5674" w:rsidRDefault="00177925" w:rsidP="009F5674">
      <w:pPr>
        <w:pStyle w:val="BodyText"/>
        <w:spacing w:line="360" w:lineRule="auto"/>
        <w:ind w:left="22"/>
        <w:rPr>
          <w:lang w:val="en-AU"/>
        </w:rPr>
      </w:pPr>
      <w:r>
        <w:rPr>
          <w:lang w:val="en-AU"/>
        </w:rPr>
        <w:pict w14:anchorId="2E629C0B">
          <v:rect id="_x0000_i1034" style="width:0;height:1.5pt" o:hralign="center" o:hrstd="t" o:hr="t" fillcolor="#a0a0a0" stroked="f"/>
        </w:pict>
      </w:r>
    </w:p>
    <w:p w14:paraId="48FE0A3F" w14:textId="77777777" w:rsidR="009F5674" w:rsidRPr="009F5674" w:rsidRDefault="009F5674" w:rsidP="009F5674">
      <w:pPr>
        <w:pStyle w:val="BodyText"/>
        <w:spacing w:line="360" w:lineRule="auto"/>
        <w:ind w:left="22"/>
        <w:rPr>
          <w:b/>
          <w:bCs/>
          <w:lang w:val="en-AU"/>
        </w:rPr>
      </w:pPr>
      <w:r w:rsidRPr="009F5674">
        <w:rPr>
          <w:b/>
          <w:bCs/>
          <w:lang w:val="en-AU"/>
        </w:rPr>
        <w:t>Q13 – Implementation Timeline</w:t>
      </w:r>
    </w:p>
    <w:p w14:paraId="54DBEF92" w14:textId="49F36BC1" w:rsidR="009F5674" w:rsidRPr="009F5674" w:rsidRDefault="009F5674" w:rsidP="009F5674">
      <w:pPr>
        <w:pStyle w:val="BodyText"/>
        <w:spacing w:line="360" w:lineRule="auto"/>
        <w:ind w:left="22"/>
        <w:rPr>
          <w:lang w:val="en-AU"/>
        </w:rPr>
      </w:pPr>
      <w:r w:rsidRPr="009F5674">
        <w:rPr>
          <w:lang w:val="en-AU"/>
        </w:rPr>
        <w:t xml:space="preserve">1 July 2026 start date is </w:t>
      </w:r>
      <w:r w:rsidR="000150F7">
        <w:rPr>
          <w:lang w:val="en-AU"/>
        </w:rPr>
        <w:t xml:space="preserve">not </w:t>
      </w:r>
      <w:r w:rsidRPr="009F5674">
        <w:rPr>
          <w:lang w:val="en-AU"/>
        </w:rPr>
        <w:t>workable</w:t>
      </w:r>
      <w:r w:rsidR="000150F7">
        <w:rPr>
          <w:lang w:val="en-AU"/>
        </w:rPr>
        <w:t>, and should be amended to 1 July 2027</w:t>
      </w:r>
      <w:r w:rsidRPr="009F5674">
        <w:rPr>
          <w:lang w:val="en-AU"/>
        </w:rPr>
        <w:t xml:space="preserve"> </w:t>
      </w:r>
      <w:r w:rsidRPr="009F5674">
        <w:rPr>
          <w:b/>
          <w:bCs/>
          <w:lang w:val="en-AU"/>
        </w:rPr>
        <w:t>if</w:t>
      </w:r>
      <w:r w:rsidRPr="009F5674">
        <w:rPr>
          <w:lang w:val="en-AU"/>
        </w:rPr>
        <w:t>:</w:t>
      </w:r>
    </w:p>
    <w:p w14:paraId="1482A855" w14:textId="3F0B516B" w:rsidR="009F5674" w:rsidRPr="009F5674" w:rsidRDefault="009F5674" w:rsidP="009F5674">
      <w:pPr>
        <w:pStyle w:val="BodyText"/>
        <w:numPr>
          <w:ilvl w:val="0"/>
          <w:numId w:val="42"/>
        </w:numPr>
        <w:spacing w:line="360" w:lineRule="auto"/>
        <w:rPr>
          <w:lang w:val="en-AU"/>
        </w:rPr>
      </w:pPr>
      <w:r w:rsidRPr="009F5674">
        <w:rPr>
          <w:lang w:val="en-AU"/>
        </w:rPr>
        <w:t xml:space="preserve">Final standards are published by </w:t>
      </w:r>
      <w:r w:rsidR="000150F7">
        <w:rPr>
          <w:lang w:val="en-AU"/>
        </w:rPr>
        <w:t>mid</w:t>
      </w:r>
      <w:r w:rsidRPr="009F5674">
        <w:rPr>
          <w:lang w:val="en-AU"/>
        </w:rPr>
        <w:t>-202</w:t>
      </w:r>
      <w:r w:rsidR="000150F7">
        <w:rPr>
          <w:lang w:val="en-AU"/>
        </w:rPr>
        <w:t>6</w:t>
      </w:r>
      <w:r w:rsidRPr="009F5674">
        <w:rPr>
          <w:lang w:val="en-AU"/>
        </w:rPr>
        <w:t>.</w:t>
      </w:r>
    </w:p>
    <w:p w14:paraId="738074C1" w14:textId="419CD040" w:rsidR="009F5674" w:rsidRPr="009F5674" w:rsidRDefault="009F5674" w:rsidP="009F5674">
      <w:pPr>
        <w:pStyle w:val="BodyText"/>
        <w:numPr>
          <w:ilvl w:val="0"/>
          <w:numId w:val="42"/>
        </w:numPr>
        <w:spacing w:line="360" w:lineRule="auto"/>
        <w:rPr>
          <w:lang w:val="en-AU"/>
        </w:rPr>
      </w:pPr>
      <w:r w:rsidRPr="009F5674">
        <w:rPr>
          <w:lang w:val="en-AU"/>
        </w:rPr>
        <w:t xml:space="preserve">Merchants receive </w:t>
      </w:r>
      <w:r w:rsidR="00A7058C">
        <w:rPr>
          <w:lang w:val="en-AU"/>
        </w:rPr>
        <w:t>twelve</w:t>
      </w:r>
      <w:r w:rsidRPr="009F5674">
        <w:rPr>
          <w:lang w:val="en-AU"/>
        </w:rPr>
        <w:t xml:space="preserve"> months’ notice of exact rate changes.</w:t>
      </w:r>
    </w:p>
    <w:p w14:paraId="220C12F1" w14:textId="71A187CD" w:rsidR="009F5674" w:rsidRDefault="009F5674" w:rsidP="009F5674">
      <w:pPr>
        <w:pStyle w:val="BodyText"/>
        <w:numPr>
          <w:ilvl w:val="0"/>
          <w:numId w:val="42"/>
        </w:numPr>
        <w:spacing w:line="360" w:lineRule="auto"/>
        <w:rPr>
          <w:lang w:val="en-AU"/>
        </w:rPr>
      </w:pPr>
      <w:r w:rsidRPr="009F5674">
        <w:rPr>
          <w:lang w:val="en-AU"/>
        </w:rPr>
        <w:t xml:space="preserve">Transparency measures commence </w:t>
      </w:r>
      <w:r w:rsidR="00E93D1B">
        <w:rPr>
          <w:lang w:val="en-AU"/>
        </w:rPr>
        <w:t xml:space="preserve">in </w:t>
      </w:r>
      <w:r w:rsidRPr="009F5674">
        <w:rPr>
          <w:lang w:val="en-AU"/>
        </w:rPr>
        <w:t xml:space="preserve">2026 to allow plan renegotiations before </w:t>
      </w:r>
      <w:r w:rsidR="00E93D1B">
        <w:rPr>
          <w:lang w:val="en-AU"/>
        </w:rPr>
        <w:t xml:space="preserve">any </w:t>
      </w:r>
      <w:r w:rsidRPr="009F5674">
        <w:rPr>
          <w:lang w:val="en-AU"/>
        </w:rPr>
        <w:t>surcharging removal.</w:t>
      </w:r>
    </w:p>
    <w:p w14:paraId="6AF02273" w14:textId="77777777" w:rsidR="004E51B8" w:rsidRDefault="004E51B8" w:rsidP="004E51B8">
      <w:pPr>
        <w:pStyle w:val="BodyText"/>
        <w:spacing w:line="360" w:lineRule="auto"/>
        <w:ind w:left="360"/>
        <w:rPr>
          <w:lang w:val="en-AU"/>
        </w:rPr>
      </w:pPr>
    </w:p>
    <w:p w14:paraId="0D8378FC" w14:textId="41E87CD0" w:rsidR="004E51B8" w:rsidRPr="009F5674" w:rsidRDefault="004E51B8" w:rsidP="004E51B8">
      <w:pPr>
        <w:pStyle w:val="BodyText"/>
        <w:spacing w:line="360" w:lineRule="auto"/>
        <w:rPr>
          <w:lang w:val="en-AU"/>
        </w:rPr>
      </w:pPr>
      <w:r w:rsidRPr="004E51B8">
        <w:rPr>
          <w:lang w:val="en-AU"/>
        </w:rPr>
        <w:t>ARCA supports a commencement no sooner than 12-18 months after final standards to allow repricing, software changes (POS/PSP), signage, staff training, and contract renegotiation.</w:t>
      </w:r>
    </w:p>
    <w:p w14:paraId="443F60B9" w14:textId="77777777" w:rsidR="009F5674" w:rsidRPr="009F5674" w:rsidRDefault="00177925" w:rsidP="009F5674">
      <w:pPr>
        <w:pStyle w:val="BodyText"/>
        <w:spacing w:line="360" w:lineRule="auto"/>
        <w:ind w:left="22"/>
        <w:rPr>
          <w:lang w:val="en-AU"/>
        </w:rPr>
      </w:pPr>
      <w:r>
        <w:rPr>
          <w:lang w:val="en-AU"/>
        </w:rPr>
        <w:pict w14:anchorId="18092A90">
          <v:rect id="_x0000_i1035" style="width:0;height:1.5pt" o:hralign="center" o:hrstd="t" o:hr="t" fillcolor="#a0a0a0" stroked="f"/>
        </w:pict>
      </w:r>
    </w:p>
    <w:p w14:paraId="4E6E6363" w14:textId="77777777" w:rsidR="009F5674" w:rsidRPr="009F5674" w:rsidRDefault="009F5674" w:rsidP="009F5674">
      <w:pPr>
        <w:pStyle w:val="BodyText"/>
        <w:spacing w:line="360" w:lineRule="auto"/>
        <w:ind w:left="22"/>
        <w:rPr>
          <w:b/>
          <w:bCs/>
          <w:lang w:val="en-AU"/>
        </w:rPr>
      </w:pPr>
      <w:r w:rsidRPr="009F5674">
        <w:rPr>
          <w:b/>
          <w:bCs/>
          <w:lang w:val="en-AU"/>
        </w:rPr>
        <w:t>Q14 – Draft Standards</w:t>
      </w:r>
    </w:p>
    <w:p w14:paraId="7BE7A00F" w14:textId="77777777" w:rsidR="009F5674" w:rsidRPr="009F5674" w:rsidRDefault="009F5674" w:rsidP="009F5674">
      <w:pPr>
        <w:pStyle w:val="BodyText"/>
        <w:spacing w:line="360" w:lineRule="auto"/>
        <w:ind w:left="22"/>
        <w:rPr>
          <w:lang w:val="en-AU"/>
        </w:rPr>
      </w:pPr>
      <w:r w:rsidRPr="009F5674">
        <w:rPr>
          <w:lang w:val="en-AU"/>
        </w:rPr>
        <w:t>Concerns:</w:t>
      </w:r>
    </w:p>
    <w:p w14:paraId="7FF44A25" w14:textId="77777777" w:rsidR="009F5674" w:rsidRPr="009F5674" w:rsidRDefault="009F5674" w:rsidP="009F5674">
      <w:pPr>
        <w:pStyle w:val="BodyText"/>
        <w:numPr>
          <w:ilvl w:val="0"/>
          <w:numId w:val="43"/>
        </w:numPr>
        <w:spacing w:line="360" w:lineRule="auto"/>
        <w:rPr>
          <w:lang w:val="en-AU"/>
        </w:rPr>
      </w:pPr>
      <w:r w:rsidRPr="009F5674">
        <w:rPr>
          <w:lang w:val="en-AU"/>
        </w:rPr>
        <w:t>No enforcement of pass-through.</w:t>
      </w:r>
    </w:p>
    <w:p w14:paraId="59CD6075" w14:textId="77777777" w:rsidR="009F5674" w:rsidRPr="009F5674" w:rsidRDefault="009F5674" w:rsidP="009F5674">
      <w:pPr>
        <w:pStyle w:val="BodyText"/>
        <w:numPr>
          <w:ilvl w:val="0"/>
          <w:numId w:val="43"/>
        </w:numPr>
        <w:spacing w:line="360" w:lineRule="auto"/>
        <w:rPr>
          <w:lang w:val="en-AU"/>
        </w:rPr>
      </w:pPr>
      <w:r w:rsidRPr="009F5674">
        <w:rPr>
          <w:lang w:val="en-AU"/>
        </w:rPr>
        <w:lastRenderedPageBreak/>
        <w:t>No small-business-specific disclosures.</w:t>
      </w:r>
    </w:p>
    <w:p w14:paraId="36FA3B73" w14:textId="77777777" w:rsidR="009F5674" w:rsidRPr="009F5674" w:rsidRDefault="009F5674" w:rsidP="009F5674">
      <w:pPr>
        <w:pStyle w:val="BodyText"/>
        <w:numPr>
          <w:ilvl w:val="0"/>
          <w:numId w:val="43"/>
        </w:numPr>
        <w:spacing w:line="360" w:lineRule="auto"/>
        <w:rPr>
          <w:lang w:val="en-AU"/>
        </w:rPr>
      </w:pPr>
      <w:r w:rsidRPr="009F5674">
        <w:rPr>
          <w:lang w:val="en-AU"/>
        </w:rPr>
        <w:t>Inadequate coverage of mobile wallet/online transaction fees.</w:t>
      </w:r>
    </w:p>
    <w:p w14:paraId="38C7878A" w14:textId="77777777" w:rsidR="009F5674" w:rsidRPr="009F5674" w:rsidRDefault="009F5674" w:rsidP="009F5674">
      <w:pPr>
        <w:pStyle w:val="BodyText"/>
        <w:numPr>
          <w:ilvl w:val="0"/>
          <w:numId w:val="43"/>
        </w:numPr>
        <w:spacing w:line="360" w:lineRule="auto"/>
        <w:rPr>
          <w:lang w:val="en-AU"/>
        </w:rPr>
      </w:pPr>
      <w:r w:rsidRPr="009F5674">
        <w:rPr>
          <w:lang w:val="en-AU"/>
        </w:rPr>
        <w:t>Complexity remains for owner-operators.</w:t>
      </w:r>
    </w:p>
    <w:p w14:paraId="59A78E06" w14:textId="77777777" w:rsidR="009F5674" w:rsidRPr="009F5674" w:rsidRDefault="00177925" w:rsidP="009F5674">
      <w:pPr>
        <w:pStyle w:val="BodyText"/>
        <w:spacing w:line="360" w:lineRule="auto"/>
        <w:ind w:left="22"/>
        <w:rPr>
          <w:lang w:val="en-AU"/>
        </w:rPr>
      </w:pPr>
      <w:r>
        <w:rPr>
          <w:lang w:val="en-AU"/>
        </w:rPr>
        <w:pict w14:anchorId="32B2A49D">
          <v:rect id="_x0000_i1036" style="width:0;height:1.5pt" o:hralign="center" o:hrstd="t" o:hr="t" fillcolor="#a0a0a0" stroked="f"/>
        </w:pict>
      </w:r>
    </w:p>
    <w:p w14:paraId="0C0074AB" w14:textId="77777777" w:rsidR="009F5674" w:rsidRPr="009F5674" w:rsidRDefault="009F5674" w:rsidP="009F5674">
      <w:pPr>
        <w:pStyle w:val="BodyText"/>
        <w:spacing w:line="360" w:lineRule="auto"/>
        <w:ind w:left="22"/>
        <w:rPr>
          <w:b/>
          <w:bCs/>
          <w:lang w:val="en-AU"/>
        </w:rPr>
      </w:pPr>
      <w:r w:rsidRPr="009F5674">
        <w:rPr>
          <w:b/>
          <w:bCs/>
          <w:lang w:val="en-AU"/>
        </w:rPr>
        <w:t>Conclusion</w:t>
      </w:r>
    </w:p>
    <w:p w14:paraId="08887A99" w14:textId="77777777" w:rsidR="009F5674" w:rsidRPr="009F5674" w:rsidRDefault="009F5674" w:rsidP="009F5674">
      <w:pPr>
        <w:pStyle w:val="BodyText"/>
        <w:spacing w:line="360" w:lineRule="auto"/>
        <w:ind w:left="22"/>
        <w:rPr>
          <w:lang w:val="en-AU"/>
        </w:rPr>
      </w:pPr>
      <w:r w:rsidRPr="009F5674">
        <w:rPr>
          <w:lang w:val="en-AU"/>
        </w:rPr>
        <w:t xml:space="preserve">ARCA supports reforms that </w:t>
      </w:r>
      <w:r w:rsidRPr="009F5674">
        <w:rPr>
          <w:b/>
          <w:bCs/>
          <w:lang w:val="en-AU"/>
        </w:rPr>
        <w:t>reduce costs, increase transparency, and promote fair competition</w:t>
      </w:r>
      <w:r w:rsidRPr="009F5674">
        <w:rPr>
          <w:lang w:val="en-AU"/>
        </w:rPr>
        <w:t xml:space="preserve"> in the payments system — but warns that without </w:t>
      </w:r>
      <w:r w:rsidRPr="009F5674">
        <w:rPr>
          <w:b/>
          <w:bCs/>
          <w:lang w:val="en-AU"/>
        </w:rPr>
        <w:t>binding pass-through obligations, small business protections, and competitive pressure in credit markets</w:t>
      </w:r>
      <w:r w:rsidRPr="009F5674">
        <w:rPr>
          <w:lang w:val="en-AU"/>
        </w:rPr>
        <w:t>, the intended benefits may not reach the hospitality sector.</w:t>
      </w:r>
    </w:p>
    <w:p w14:paraId="76D3F514" w14:textId="77777777" w:rsidR="009F5674" w:rsidRDefault="009F5674" w:rsidP="009F5674">
      <w:pPr>
        <w:pStyle w:val="BodyText"/>
        <w:spacing w:line="360" w:lineRule="auto"/>
        <w:ind w:left="22"/>
        <w:rPr>
          <w:lang w:val="en-AU"/>
        </w:rPr>
      </w:pPr>
      <w:r w:rsidRPr="009F5674">
        <w:rPr>
          <w:lang w:val="en-AU"/>
        </w:rPr>
        <w:t xml:space="preserve">We stand ready to work with the RBA, the PSB, and industry stakeholders to ensure reforms deliver a </w:t>
      </w:r>
      <w:r w:rsidRPr="009F5674">
        <w:rPr>
          <w:b/>
          <w:bCs/>
          <w:lang w:val="en-AU"/>
        </w:rPr>
        <w:t>sustainable, equitable payments ecosystem</w:t>
      </w:r>
      <w:r w:rsidRPr="009F5674">
        <w:rPr>
          <w:lang w:val="en-AU"/>
        </w:rPr>
        <w:t xml:space="preserve"> for Australian restaurants and cafés.</w:t>
      </w:r>
    </w:p>
    <w:p w14:paraId="5ADEA025" w14:textId="77777777" w:rsidR="009F5674" w:rsidRDefault="009F5674" w:rsidP="009F5674">
      <w:pPr>
        <w:pStyle w:val="BodyText"/>
        <w:spacing w:line="360" w:lineRule="auto"/>
        <w:ind w:left="22"/>
        <w:rPr>
          <w:lang w:val="en-AU"/>
        </w:rPr>
      </w:pPr>
    </w:p>
    <w:p w14:paraId="28DCD8C3" w14:textId="0514A370" w:rsidR="009F5674" w:rsidRDefault="009F5674" w:rsidP="00445308">
      <w:pPr>
        <w:pStyle w:val="Heading1"/>
        <w:spacing w:line="480" w:lineRule="auto"/>
        <w:ind w:left="0" w:right="2817"/>
      </w:pPr>
      <w:r>
        <w:t>About ARCA</w:t>
      </w:r>
    </w:p>
    <w:p w14:paraId="7362E021" w14:textId="5968391D" w:rsidR="00D10310" w:rsidRDefault="001C4C1E" w:rsidP="00484FE8">
      <w:pPr>
        <w:pStyle w:val="BodyText"/>
        <w:spacing w:line="360" w:lineRule="auto"/>
        <w:ind w:left="22"/>
      </w:pPr>
      <w:r>
        <w:t>The</w:t>
      </w:r>
      <w:r>
        <w:rPr>
          <w:spacing w:val="-11"/>
        </w:rPr>
        <w:t xml:space="preserve"> </w:t>
      </w:r>
      <w:r>
        <w:t>Australian Restaurant &amp; Cafe</w:t>
      </w:r>
      <w:r>
        <w:rPr>
          <w:spacing w:val="-11"/>
        </w:rPr>
        <w:t xml:space="preserve"> </w:t>
      </w:r>
      <w:r>
        <w:t xml:space="preserve">Association Ltd. (ARCA) is a </w:t>
      </w:r>
      <w:proofErr w:type="gramStart"/>
      <w:r>
        <w:t>Member</w:t>
      </w:r>
      <w:proofErr w:type="gramEnd"/>
      <w:r>
        <w:t xml:space="preserve"> based not-for-profit Industry</w:t>
      </w:r>
      <w:r>
        <w:rPr>
          <w:spacing w:val="-5"/>
        </w:rPr>
        <w:t xml:space="preserve"> </w:t>
      </w:r>
      <w:r>
        <w:t>Association and is the strongest voice for the Restaurant &amp; Cafe segment of the Accommodation</w:t>
      </w:r>
      <w:r>
        <w:rPr>
          <w:spacing w:val="-5"/>
        </w:rPr>
        <w:t xml:space="preserve"> </w:t>
      </w:r>
      <w:r>
        <w:t>&amp;</w:t>
      </w:r>
      <w:r>
        <w:rPr>
          <w:spacing w:val="-5"/>
        </w:rPr>
        <w:t xml:space="preserve"> </w:t>
      </w:r>
      <w:r>
        <w:t>Foodservice</w:t>
      </w:r>
      <w:r>
        <w:rPr>
          <w:spacing w:val="-5"/>
        </w:rPr>
        <w:t xml:space="preserve"> </w:t>
      </w:r>
      <w:r>
        <w:t>Industry,</w:t>
      </w:r>
      <w:r>
        <w:rPr>
          <w:spacing w:val="-5"/>
        </w:rPr>
        <w:t xml:space="preserve"> </w:t>
      </w:r>
      <w:r>
        <w:t>representing</w:t>
      </w:r>
      <w:r>
        <w:rPr>
          <w:spacing w:val="-5"/>
        </w:rPr>
        <w:t xml:space="preserve"> </w:t>
      </w:r>
      <w:r>
        <w:t>a</w:t>
      </w:r>
      <w:r>
        <w:rPr>
          <w:spacing w:val="-4"/>
        </w:rPr>
        <w:t xml:space="preserve"> </w:t>
      </w:r>
      <w:r>
        <w:t>sector</w:t>
      </w:r>
      <w:r>
        <w:rPr>
          <w:spacing w:val="-5"/>
        </w:rPr>
        <w:t xml:space="preserve"> </w:t>
      </w:r>
      <w:r>
        <w:t>that</w:t>
      </w:r>
      <w:r>
        <w:rPr>
          <w:spacing w:val="-5"/>
        </w:rPr>
        <w:t xml:space="preserve"> </w:t>
      </w:r>
      <w:r>
        <w:t>employs</w:t>
      </w:r>
      <w:r>
        <w:rPr>
          <w:spacing w:val="-5"/>
        </w:rPr>
        <w:t xml:space="preserve"> </w:t>
      </w:r>
      <w:r w:rsidR="00803096">
        <w:t>500</w:t>
      </w:r>
      <w:r>
        <w:t>,000</w:t>
      </w:r>
      <w:r>
        <w:rPr>
          <w:spacing w:val="-6"/>
        </w:rPr>
        <w:t xml:space="preserve"> </w:t>
      </w:r>
      <w:r>
        <w:t xml:space="preserve">across </w:t>
      </w:r>
      <w:r w:rsidR="00803096">
        <w:t>nearly</w:t>
      </w:r>
      <w:r>
        <w:t xml:space="preserve"> 5</w:t>
      </w:r>
      <w:r w:rsidR="0076615F">
        <w:t>6</w:t>
      </w:r>
      <w:r>
        <w:t>,000 restaurants &amp; cafes in</w:t>
      </w:r>
      <w:r>
        <w:rPr>
          <w:spacing w:val="-4"/>
        </w:rPr>
        <w:t xml:space="preserve"> </w:t>
      </w:r>
      <w:r>
        <w:t xml:space="preserve">Australia. Our </w:t>
      </w:r>
      <w:proofErr w:type="gramStart"/>
      <w:r>
        <w:t>Members</w:t>
      </w:r>
      <w:proofErr w:type="gramEnd"/>
      <w:r>
        <w:t xml:space="preserve"> include many of the leading restaurants &amp; cafes in</w:t>
      </w:r>
      <w:r>
        <w:rPr>
          <w:spacing w:val="-4"/>
        </w:rPr>
        <w:t xml:space="preserve"> </w:t>
      </w:r>
      <w:r>
        <w:t xml:space="preserve">Australia, which employ tens of thousands within the Restaurant &amp; Cafe segment. </w:t>
      </w:r>
      <w:proofErr w:type="gramStart"/>
      <w:r>
        <w:t>The majority of</w:t>
      </w:r>
      <w:proofErr w:type="gramEnd"/>
      <w:r>
        <w:t xml:space="preserve"> the industry is considered small businesses with 99% of restaurants and cafes earning less than $10 million in annual revenue and 91.4% earning less than $2 million</w:t>
      </w:r>
      <w:r w:rsidR="00E5205C">
        <w:rPr>
          <w:rStyle w:val="FootnoteReference"/>
        </w:rPr>
        <w:footnoteReference w:id="1"/>
      </w:r>
      <w:r>
        <w:t>, according to the</w:t>
      </w:r>
      <w:r>
        <w:rPr>
          <w:spacing w:val="-3"/>
        </w:rPr>
        <w:t xml:space="preserve"> </w:t>
      </w:r>
      <w:r>
        <w:t>Australian Bureau of Statistics (ABS).</w:t>
      </w:r>
    </w:p>
    <w:p w14:paraId="545124B9" w14:textId="77777777" w:rsidR="00484FE8" w:rsidRDefault="00484FE8" w:rsidP="00484FE8">
      <w:pPr>
        <w:pStyle w:val="BodyText"/>
        <w:spacing w:line="360" w:lineRule="auto"/>
        <w:ind w:left="22"/>
      </w:pPr>
    </w:p>
    <w:p w14:paraId="2C60D5EC" w14:textId="77777777" w:rsidR="00E5205C" w:rsidRDefault="001C4C1E" w:rsidP="00E5205C">
      <w:pPr>
        <w:pStyle w:val="BodyText"/>
        <w:spacing w:before="1" w:line="360" w:lineRule="auto"/>
      </w:pPr>
      <w:r>
        <w:t>ARCA</w:t>
      </w:r>
      <w:r>
        <w:rPr>
          <w:spacing w:val="-7"/>
        </w:rPr>
        <w:t xml:space="preserve"> </w:t>
      </w:r>
      <w:r>
        <w:t>welcomes the opportunity to</w:t>
      </w:r>
      <w:r w:rsidR="00803096">
        <w:t xml:space="preserve"> again</w:t>
      </w:r>
      <w:r>
        <w:t xml:space="preserve"> provide input into the Reserve Bank of</w:t>
      </w:r>
      <w:r>
        <w:rPr>
          <w:spacing w:val="-8"/>
        </w:rPr>
        <w:t xml:space="preserve"> </w:t>
      </w:r>
      <w:r>
        <w:t xml:space="preserve">Australia’s (RBA) </w:t>
      </w:r>
      <w:r w:rsidR="00F16534">
        <w:t xml:space="preserve">Review of Merchant Card Payment Costs and Surcharging Consultation Paper </w:t>
      </w:r>
      <w:r>
        <w:t>into Merchant Card Payments Costs and Surcharging.</w:t>
      </w:r>
      <w:r>
        <w:rPr>
          <w:spacing w:val="-7"/>
        </w:rPr>
        <w:t xml:space="preserve"> </w:t>
      </w:r>
      <w:r>
        <w:t>As the peak industry body for cafes and restaurants across the country,</w:t>
      </w:r>
      <w:r>
        <w:rPr>
          <w:spacing w:val="-3"/>
        </w:rPr>
        <w:t xml:space="preserve"> </w:t>
      </w:r>
      <w:r>
        <w:t>ARCA</w:t>
      </w:r>
      <w:r>
        <w:rPr>
          <w:spacing w:val="-3"/>
        </w:rPr>
        <w:t xml:space="preserve"> </w:t>
      </w:r>
      <w:r>
        <w:t>represents businesses that are directly impacted by the rising</w:t>
      </w:r>
      <w:r w:rsidR="00E00070">
        <w:t xml:space="preserve"> </w:t>
      </w:r>
      <w:r>
        <w:t>costs of card payments and merchant fees and are the single most affecte</w:t>
      </w:r>
      <w:r w:rsidR="00E5205C">
        <w:t>d segment</w:t>
      </w:r>
      <w:r w:rsidR="00E5205C">
        <w:rPr>
          <w:spacing w:val="-6"/>
        </w:rPr>
        <w:t xml:space="preserve"> </w:t>
      </w:r>
      <w:r w:rsidR="00E5205C">
        <w:t>around</w:t>
      </w:r>
      <w:r w:rsidR="00E5205C">
        <w:rPr>
          <w:spacing w:val="-6"/>
        </w:rPr>
        <w:t xml:space="preserve"> </w:t>
      </w:r>
      <w:proofErr w:type="gramStart"/>
      <w:r w:rsidR="00E5205C">
        <w:t>surcharging</w:t>
      </w:r>
      <w:proofErr w:type="gramEnd"/>
      <w:r w:rsidR="00E5205C">
        <w:t>.</w:t>
      </w:r>
      <w:r w:rsidR="00E5205C">
        <w:rPr>
          <w:spacing w:val="-6"/>
        </w:rPr>
        <w:t xml:space="preserve"> </w:t>
      </w:r>
      <w:r w:rsidR="00E5205C">
        <w:t>We</w:t>
      </w:r>
      <w:r w:rsidR="00E5205C">
        <w:rPr>
          <w:spacing w:val="-6"/>
        </w:rPr>
        <w:t xml:space="preserve"> </w:t>
      </w:r>
      <w:r w:rsidR="00E5205C">
        <w:t>appreciate</w:t>
      </w:r>
      <w:r w:rsidR="00E5205C">
        <w:rPr>
          <w:spacing w:val="-6"/>
        </w:rPr>
        <w:t xml:space="preserve"> </w:t>
      </w:r>
      <w:r w:rsidR="00E5205C">
        <w:t>the</w:t>
      </w:r>
      <w:r w:rsidR="00E5205C">
        <w:rPr>
          <w:spacing w:val="-6"/>
        </w:rPr>
        <w:t xml:space="preserve"> </w:t>
      </w:r>
      <w:r w:rsidR="00E5205C">
        <w:t>RBA’s</w:t>
      </w:r>
      <w:r w:rsidR="00E5205C">
        <w:rPr>
          <w:spacing w:val="-6"/>
        </w:rPr>
        <w:t xml:space="preserve"> </w:t>
      </w:r>
      <w:r w:rsidR="00E5205C">
        <w:t>Consultation,</w:t>
      </w:r>
      <w:r w:rsidR="00E5205C">
        <w:rPr>
          <w:spacing w:val="-6"/>
        </w:rPr>
        <w:t xml:space="preserve"> </w:t>
      </w:r>
      <w:r w:rsidR="00E5205C">
        <w:t>which</w:t>
      </w:r>
      <w:r w:rsidR="00E5205C">
        <w:rPr>
          <w:spacing w:val="-6"/>
        </w:rPr>
        <w:t xml:space="preserve"> </w:t>
      </w:r>
      <w:r w:rsidR="00E5205C">
        <w:t>is</w:t>
      </w:r>
      <w:r w:rsidR="00E5205C">
        <w:rPr>
          <w:spacing w:val="-6"/>
        </w:rPr>
        <w:t xml:space="preserve"> </w:t>
      </w:r>
      <w:r w:rsidR="00E5205C">
        <w:t>timely</w:t>
      </w:r>
      <w:r w:rsidR="00E5205C">
        <w:rPr>
          <w:spacing w:val="-6"/>
        </w:rPr>
        <w:t xml:space="preserve"> </w:t>
      </w:r>
      <w:r w:rsidR="00E5205C">
        <w:t>given the</w:t>
      </w:r>
      <w:r w:rsidR="00E5205C">
        <w:rPr>
          <w:spacing w:val="-1"/>
        </w:rPr>
        <w:t xml:space="preserve"> </w:t>
      </w:r>
      <w:r w:rsidR="00E5205C">
        <w:t>ongoing</w:t>
      </w:r>
      <w:r w:rsidR="00E5205C">
        <w:rPr>
          <w:spacing w:val="-2"/>
        </w:rPr>
        <w:t xml:space="preserve"> </w:t>
      </w:r>
      <w:r w:rsidR="00E5205C">
        <w:t>concerns</w:t>
      </w:r>
      <w:r w:rsidR="00E5205C">
        <w:rPr>
          <w:spacing w:val="-1"/>
        </w:rPr>
        <w:t xml:space="preserve"> </w:t>
      </w:r>
      <w:r w:rsidR="00E5205C">
        <w:t>around</w:t>
      </w:r>
      <w:r w:rsidR="00E5205C">
        <w:rPr>
          <w:spacing w:val="-1"/>
        </w:rPr>
        <w:t xml:space="preserve"> </w:t>
      </w:r>
      <w:r w:rsidR="00E5205C">
        <w:t>the</w:t>
      </w:r>
      <w:r w:rsidR="00E5205C">
        <w:rPr>
          <w:spacing w:val="-1"/>
        </w:rPr>
        <w:t xml:space="preserve"> </w:t>
      </w:r>
      <w:r w:rsidR="00E5205C">
        <w:t>cost</w:t>
      </w:r>
      <w:r w:rsidR="00E5205C">
        <w:rPr>
          <w:spacing w:val="-1"/>
        </w:rPr>
        <w:t xml:space="preserve"> </w:t>
      </w:r>
      <w:r w:rsidR="00E5205C">
        <w:t>of</w:t>
      </w:r>
      <w:r w:rsidR="00E5205C">
        <w:rPr>
          <w:spacing w:val="-1"/>
        </w:rPr>
        <w:t xml:space="preserve"> </w:t>
      </w:r>
      <w:r w:rsidR="00E5205C">
        <w:t>living</w:t>
      </w:r>
      <w:r w:rsidR="00E5205C">
        <w:rPr>
          <w:spacing w:val="-1"/>
        </w:rPr>
        <w:t xml:space="preserve"> </w:t>
      </w:r>
      <w:r w:rsidR="00E5205C">
        <w:t>and</w:t>
      </w:r>
      <w:r w:rsidR="00E5205C">
        <w:rPr>
          <w:spacing w:val="-1"/>
        </w:rPr>
        <w:t xml:space="preserve"> </w:t>
      </w:r>
      <w:r w:rsidR="00E5205C">
        <w:t>the</w:t>
      </w:r>
      <w:r w:rsidR="00E5205C">
        <w:rPr>
          <w:spacing w:val="-1"/>
        </w:rPr>
        <w:t xml:space="preserve"> </w:t>
      </w:r>
      <w:r w:rsidR="00E5205C">
        <w:t>evolving</w:t>
      </w:r>
      <w:r w:rsidR="00E5205C">
        <w:rPr>
          <w:spacing w:val="-1"/>
        </w:rPr>
        <w:t xml:space="preserve"> </w:t>
      </w:r>
      <w:r w:rsidR="00E5205C">
        <w:t>preferences</w:t>
      </w:r>
      <w:r w:rsidR="00E5205C">
        <w:rPr>
          <w:spacing w:val="-1"/>
        </w:rPr>
        <w:t xml:space="preserve"> </w:t>
      </w:r>
      <w:r w:rsidR="00E5205C">
        <w:t>of</w:t>
      </w:r>
      <w:r w:rsidR="00E5205C">
        <w:rPr>
          <w:spacing w:val="-1"/>
        </w:rPr>
        <w:t xml:space="preserve"> </w:t>
      </w:r>
      <w:r w:rsidR="00E5205C">
        <w:t>consumers</w:t>
      </w:r>
      <w:r w:rsidR="00E5205C">
        <w:rPr>
          <w:spacing w:val="-1"/>
        </w:rPr>
        <w:t xml:space="preserve"> </w:t>
      </w:r>
      <w:r w:rsidR="00E5205C">
        <w:t>in the payments landscape.</w:t>
      </w:r>
    </w:p>
    <w:p w14:paraId="78B45DC2" w14:textId="0CC14BCC" w:rsidR="00484FE8" w:rsidRDefault="00E5205C" w:rsidP="00E5205C">
      <w:pPr>
        <w:pStyle w:val="BodyText"/>
        <w:spacing w:before="1" w:line="360" w:lineRule="auto"/>
        <w:ind w:left="23"/>
      </w:pPr>
      <w:r>
        <w:t>As</w:t>
      </w:r>
      <w:r>
        <w:rPr>
          <w:spacing w:val="-2"/>
        </w:rPr>
        <w:t xml:space="preserve"> </w:t>
      </w:r>
      <w:r>
        <w:t>highlighted</w:t>
      </w:r>
      <w:r>
        <w:rPr>
          <w:spacing w:val="-2"/>
        </w:rPr>
        <w:t xml:space="preserve"> </w:t>
      </w:r>
      <w:r>
        <w:t>in</w:t>
      </w:r>
      <w:r>
        <w:rPr>
          <w:spacing w:val="-2"/>
        </w:rPr>
        <w:t xml:space="preserve"> </w:t>
      </w:r>
      <w:r>
        <w:t>the</w:t>
      </w:r>
      <w:r>
        <w:rPr>
          <w:spacing w:val="-2"/>
        </w:rPr>
        <w:t xml:space="preserve"> </w:t>
      </w:r>
      <w:r>
        <w:t>RBA Consultation Paper, Australian</w:t>
      </w:r>
      <w:r>
        <w:rPr>
          <w:spacing w:val="-2"/>
        </w:rPr>
        <w:t xml:space="preserve"> </w:t>
      </w:r>
      <w:r>
        <w:t>consumers benefit from the convenience and security of card payments, and these payment methods are now integral to the way businesses like ours interact with customers.</w:t>
      </w:r>
    </w:p>
    <w:p w14:paraId="75A0D0F1" w14:textId="19FB9009" w:rsidR="00E5205C" w:rsidRPr="00E5205C" w:rsidRDefault="00E5205C" w:rsidP="00E5205C">
      <w:pPr>
        <w:pStyle w:val="BodyText"/>
        <w:spacing w:before="1" w:line="360" w:lineRule="auto"/>
        <w:ind w:left="23"/>
        <w:sectPr w:rsidR="00E5205C" w:rsidRPr="00E5205C" w:rsidSect="00484FE8">
          <w:headerReference w:type="even" r:id="rId8"/>
          <w:headerReference w:type="default" r:id="rId9"/>
          <w:footerReference w:type="even" r:id="rId10"/>
          <w:footerReference w:type="default" r:id="rId11"/>
          <w:headerReference w:type="first" r:id="rId12"/>
          <w:footerReference w:type="first" r:id="rId13"/>
          <w:pgSz w:w="11910" w:h="16830"/>
          <w:pgMar w:top="1560" w:right="1417" w:bottom="1418" w:left="1417" w:header="153" w:footer="1027" w:gutter="0"/>
          <w:pgNumType w:start="1"/>
          <w:cols w:space="720"/>
        </w:sectPr>
      </w:pPr>
    </w:p>
    <w:p w14:paraId="1F72F1A9" w14:textId="77777777" w:rsidR="0002027A" w:rsidRDefault="0002027A" w:rsidP="0002027A">
      <w:pPr>
        <w:pStyle w:val="BodyText"/>
        <w:spacing w:before="1" w:line="360" w:lineRule="auto"/>
        <w:ind w:left="23"/>
      </w:pPr>
    </w:p>
    <w:p w14:paraId="441ED3CF" w14:textId="1477575C" w:rsidR="00411727" w:rsidRDefault="001C4C1E" w:rsidP="002D073B">
      <w:pPr>
        <w:pStyle w:val="BodyText"/>
        <w:spacing w:line="360" w:lineRule="auto"/>
        <w:ind w:left="23" w:right="91"/>
      </w:pPr>
      <w:r>
        <w:t>However, the increasing cost of doing business, including merchant fees, is becoming an ever-greater challenge</w:t>
      </w:r>
      <w:r>
        <w:rPr>
          <w:spacing w:val="-3"/>
        </w:rPr>
        <w:t xml:space="preserve"> </w:t>
      </w:r>
      <w:r>
        <w:t>for</w:t>
      </w:r>
      <w:r>
        <w:rPr>
          <w:spacing w:val="-3"/>
        </w:rPr>
        <w:t xml:space="preserve"> </w:t>
      </w:r>
      <w:r>
        <w:t>our</w:t>
      </w:r>
      <w:r>
        <w:rPr>
          <w:spacing w:val="-3"/>
        </w:rPr>
        <w:t xml:space="preserve"> </w:t>
      </w:r>
      <w:r>
        <w:t>members.</w:t>
      </w:r>
      <w:r>
        <w:rPr>
          <w:spacing w:val="-7"/>
        </w:rPr>
        <w:t xml:space="preserve"> </w:t>
      </w:r>
      <w:r>
        <w:t>This</w:t>
      </w:r>
      <w:r>
        <w:rPr>
          <w:spacing w:val="-4"/>
        </w:rPr>
        <w:t xml:space="preserve"> </w:t>
      </w:r>
      <w:r>
        <w:t>is</w:t>
      </w:r>
      <w:r>
        <w:rPr>
          <w:spacing w:val="-4"/>
        </w:rPr>
        <w:t xml:space="preserve"> </w:t>
      </w:r>
      <w:r>
        <w:t>particularly</w:t>
      </w:r>
      <w:r>
        <w:rPr>
          <w:spacing w:val="-3"/>
        </w:rPr>
        <w:t xml:space="preserve"> </w:t>
      </w:r>
      <w:r>
        <w:t>true</w:t>
      </w:r>
      <w:r>
        <w:rPr>
          <w:spacing w:val="-3"/>
        </w:rPr>
        <w:t xml:space="preserve"> </w:t>
      </w:r>
      <w:r>
        <w:t>for</w:t>
      </w:r>
      <w:r>
        <w:rPr>
          <w:spacing w:val="-3"/>
        </w:rPr>
        <w:t xml:space="preserve"> </w:t>
      </w:r>
      <w:r>
        <w:t>small</w:t>
      </w:r>
      <w:r>
        <w:rPr>
          <w:spacing w:val="-3"/>
        </w:rPr>
        <w:t xml:space="preserve"> </w:t>
      </w:r>
      <w:r>
        <w:t>and</w:t>
      </w:r>
      <w:r>
        <w:rPr>
          <w:spacing w:val="-3"/>
        </w:rPr>
        <w:t xml:space="preserve"> </w:t>
      </w:r>
      <w:r>
        <w:t>medium-sized</w:t>
      </w:r>
      <w:r>
        <w:rPr>
          <w:spacing w:val="-3"/>
        </w:rPr>
        <w:t xml:space="preserve"> </w:t>
      </w:r>
      <w:r>
        <w:t>businesses in the hospitality sector, which often operate on tight margins and have little leverage to negotiate better payment processing terms.</w:t>
      </w:r>
      <w:r w:rsidR="00C55587">
        <w:t xml:space="preserve"> </w:t>
      </w:r>
    </w:p>
    <w:p w14:paraId="247C99FE" w14:textId="77777777" w:rsidR="00484FE8" w:rsidRDefault="00484FE8" w:rsidP="002D073B">
      <w:pPr>
        <w:pStyle w:val="BodyText"/>
        <w:spacing w:line="360" w:lineRule="auto"/>
        <w:ind w:left="23" w:right="91"/>
      </w:pPr>
    </w:p>
    <w:p w14:paraId="7362E02B" w14:textId="5319E5F8" w:rsidR="00D10310" w:rsidRDefault="0002027A" w:rsidP="00484FE8">
      <w:pPr>
        <w:pStyle w:val="BodyText"/>
        <w:spacing w:line="360" w:lineRule="auto"/>
        <w:ind w:right="91"/>
      </w:pPr>
      <w:r>
        <w:t xml:space="preserve">ARCA acknowledges that the </w:t>
      </w:r>
      <w:r w:rsidR="00072517">
        <w:t>RBA’s</w:t>
      </w:r>
      <w:r w:rsidR="00072517">
        <w:rPr>
          <w:spacing w:val="-5"/>
        </w:rPr>
        <w:t xml:space="preserve"> </w:t>
      </w:r>
      <w:r w:rsidR="00072517">
        <w:t>current</w:t>
      </w:r>
      <w:r w:rsidR="00072517">
        <w:rPr>
          <w:spacing w:val="-6"/>
        </w:rPr>
        <w:t xml:space="preserve"> </w:t>
      </w:r>
      <w:r w:rsidR="00072517">
        <w:t>regulatory</w:t>
      </w:r>
      <w:r w:rsidR="00072517">
        <w:rPr>
          <w:spacing w:val="-6"/>
        </w:rPr>
        <w:t xml:space="preserve"> </w:t>
      </w:r>
      <w:r w:rsidR="00072517">
        <w:t>framework,</w:t>
      </w:r>
      <w:r w:rsidR="00072517">
        <w:rPr>
          <w:spacing w:val="-6"/>
        </w:rPr>
        <w:t xml:space="preserve"> </w:t>
      </w:r>
      <w:r w:rsidR="00072517">
        <w:t>including</w:t>
      </w:r>
      <w:r w:rsidR="00072517">
        <w:rPr>
          <w:spacing w:val="-6"/>
        </w:rPr>
        <w:t xml:space="preserve"> </w:t>
      </w:r>
      <w:r w:rsidR="00072517">
        <w:t>initiatives</w:t>
      </w:r>
      <w:r w:rsidR="00072517">
        <w:rPr>
          <w:spacing w:val="-6"/>
        </w:rPr>
        <w:t xml:space="preserve"> </w:t>
      </w:r>
      <w:r w:rsidR="00072517">
        <w:t>aimed at reducing interchange and scheme fees, as well as the introduction of least-cost routing (LCR), has helped address some of these concerns. However, as the RBA</w:t>
      </w:r>
      <w:r w:rsidR="00072517">
        <w:rPr>
          <w:spacing w:val="-10"/>
        </w:rPr>
        <w:t xml:space="preserve"> </w:t>
      </w:r>
      <w:r w:rsidR="00072517">
        <w:t>has noted, it has been</w:t>
      </w:r>
      <w:r w:rsidR="00072517">
        <w:rPr>
          <w:spacing w:val="-2"/>
        </w:rPr>
        <w:t xml:space="preserve"> </w:t>
      </w:r>
      <w:r w:rsidR="00072517">
        <w:t>some</w:t>
      </w:r>
      <w:r w:rsidR="00072517">
        <w:rPr>
          <w:spacing w:val="-2"/>
        </w:rPr>
        <w:t xml:space="preserve"> </w:t>
      </w:r>
      <w:r w:rsidR="00072517">
        <w:t>years</w:t>
      </w:r>
      <w:r w:rsidR="00072517">
        <w:rPr>
          <w:spacing w:val="-2"/>
        </w:rPr>
        <w:t xml:space="preserve"> </w:t>
      </w:r>
      <w:r w:rsidR="00072517">
        <w:t>since</w:t>
      </w:r>
      <w:r w:rsidR="00072517">
        <w:rPr>
          <w:spacing w:val="-3"/>
        </w:rPr>
        <w:t xml:space="preserve"> </w:t>
      </w:r>
      <w:r w:rsidR="00072517">
        <w:t>the</w:t>
      </w:r>
      <w:r w:rsidR="00072517">
        <w:rPr>
          <w:spacing w:val="-2"/>
        </w:rPr>
        <w:t xml:space="preserve"> </w:t>
      </w:r>
      <w:r w:rsidR="00072517">
        <w:t>surcharging</w:t>
      </w:r>
      <w:r w:rsidR="00072517">
        <w:rPr>
          <w:spacing w:val="-2"/>
        </w:rPr>
        <w:t xml:space="preserve"> </w:t>
      </w:r>
      <w:r w:rsidR="00072517">
        <w:t>framework</w:t>
      </w:r>
      <w:r w:rsidR="00072517">
        <w:rPr>
          <w:spacing w:val="-2"/>
        </w:rPr>
        <w:t xml:space="preserve"> </w:t>
      </w:r>
      <w:r w:rsidR="00072517">
        <w:t>was</w:t>
      </w:r>
      <w:r w:rsidR="00072517">
        <w:rPr>
          <w:spacing w:val="-2"/>
        </w:rPr>
        <w:t xml:space="preserve"> </w:t>
      </w:r>
      <w:r w:rsidR="00072517">
        <w:t>introduced,</w:t>
      </w:r>
      <w:r w:rsidR="00072517">
        <w:rPr>
          <w:spacing w:val="-2"/>
        </w:rPr>
        <w:t xml:space="preserve"> </w:t>
      </w:r>
      <w:r w:rsidR="00072517">
        <w:t>and</w:t>
      </w:r>
      <w:r w:rsidR="00072517">
        <w:rPr>
          <w:spacing w:val="-2"/>
        </w:rPr>
        <w:t xml:space="preserve"> </w:t>
      </w:r>
      <w:r w:rsidR="00072517">
        <w:t>it</w:t>
      </w:r>
      <w:r w:rsidR="00072517">
        <w:rPr>
          <w:spacing w:val="-2"/>
        </w:rPr>
        <w:t xml:space="preserve"> </w:t>
      </w:r>
      <w:r w:rsidR="00072517">
        <w:t>is</w:t>
      </w:r>
      <w:r w:rsidR="00072517">
        <w:rPr>
          <w:spacing w:val="-2"/>
        </w:rPr>
        <w:t xml:space="preserve"> </w:t>
      </w:r>
      <w:r w:rsidR="00072517">
        <w:t>now</w:t>
      </w:r>
      <w:r w:rsidR="00072517">
        <w:rPr>
          <w:spacing w:val="-3"/>
        </w:rPr>
        <w:t xml:space="preserve"> </w:t>
      </w:r>
      <w:r w:rsidR="00072517">
        <w:t>essential</w:t>
      </w:r>
      <w:r w:rsidR="00072517">
        <w:rPr>
          <w:spacing w:val="-2"/>
        </w:rPr>
        <w:t xml:space="preserve"> </w:t>
      </w:r>
      <w:r w:rsidR="00072517">
        <w:t>to assess whether this framework is still fit for purpose. In an environment where the costs associated</w:t>
      </w:r>
      <w:r w:rsidR="00072517">
        <w:rPr>
          <w:spacing w:val="-3"/>
        </w:rPr>
        <w:t xml:space="preserve"> </w:t>
      </w:r>
      <w:r w:rsidR="00072517">
        <w:t>with</w:t>
      </w:r>
      <w:r w:rsidR="00072517">
        <w:rPr>
          <w:spacing w:val="-2"/>
        </w:rPr>
        <w:t xml:space="preserve"> </w:t>
      </w:r>
      <w:r w:rsidR="00072517">
        <w:t>card</w:t>
      </w:r>
      <w:r w:rsidR="00072517">
        <w:rPr>
          <w:spacing w:val="-2"/>
        </w:rPr>
        <w:t xml:space="preserve"> </w:t>
      </w:r>
      <w:r w:rsidR="00072517">
        <w:t>payments</w:t>
      </w:r>
      <w:r w:rsidR="00072517">
        <w:rPr>
          <w:spacing w:val="-2"/>
        </w:rPr>
        <w:t xml:space="preserve"> </w:t>
      </w:r>
      <w:r w:rsidR="00072517">
        <w:t>are</w:t>
      </w:r>
      <w:r w:rsidR="00072517">
        <w:rPr>
          <w:spacing w:val="-3"/>
        </w:rPr>
        <w:t xml:space="preserve"> </w:t>
      </w:r>
      <w:r w:rsidR="00072517">
        <w:t>rising,</w:t>
      </w:r>
      <w:r w:rsidR="00072517">
        <w:rPr>
          <w:spacing w:val="-2"/>
        </w:rPr>
        <w:t xml:space="preserve"> </w:t>
      </w:r>
      <w:r w:rsidR="00072517">
        <w:t>and</w:t>
      </w:r>
      <w:r w:rsidR="00072517">
        <w:rPr>
          <w:spacing w:val="-3"/>
        </w:rPr>
        <w:t xml:space="preserve"> </w:t>
      </w:r>
      <w:r w:rsidR="00072517">
        <w:t>consumer</w:t>
      </w:r>
      <w:r w:rsidR="00072517">
        <w:rPr>
          <w:spacing w:val="-2"/>
        </w:rPr>
        <w:t xml:space="preserve"> </w:t>
      </w:r>
      <w:r w:rsidR="00072517">
        <w:t>payment</w:t>
      </w:r>
      <w:r w:rsidR="00072517">
        <w:rPr>
          <w:spacing w:val="-2"/>
        </w:rPr>
        <w:t xml:space="preserve"> </w:t>
      </w:r>
      <w:r w:rsidR="00072517">
        <w:t>preferences</w:t>
      </w:r>
      <w:r w:rsidR="00072517">
        <w:rPr>
          <w:spacing w:val="-2"/>
        </w:rPr>
        <w:t xml:space="preserve"> </w:t>
      </w:r>
      <w:r w:rsidR="00072517">
        <w:t>are</w:t>
      </w:r>
      <w:r w:rsidR="00072517">
        <w:rPr>
          <w:spacing w:val="-3"/>
        </w:rPr>
        <w:t xml:space="preserve"> </w:t>
      </w:r>
      <w:r w:rsidR="00072517">
        <w:t>shifting,</w:t>
      </w:r>
      <w:r w:rsidR="00072517">
        <w:rPr>
          <w:spacing w:val="-2"/>
        </w:rPr>
        <w:t xml:space="preserve"> </w:t>
      </w:r>
      <w:r w:rsidR="00072517">
        <w:t>it</w:t>
      </w:r>
      <w:bookmarkStart w:id="0" w:name="_bookmark0"/>
      <w:bookmarkEnd w:id="0"/>
      <w:r w:rsidR="00484FE8">
        <w:t xml:space="preserve"> </w:t>
      </w:r>
      <w:r w:rsidR="001C4C1E">
        <w:t>is</w:t>
      </w:r>
      <w:r w:rsidR="001C4C1E">
        <w:rPr>
          <w:spacing w:val="-3"/>
        </w:rPr>
        <w:t xml:space="preserve"> </w:t>
      </w:r>
      <w:r w:rsidR="001C4C1E">
        <w:t>critical</w:t>
      </w:r>
      <w:r w:rsidR="001C4C1E">
        <w:rPr>
          <w:spacing w:val="-3"/>
        </w:rPr>
        <w:t xml:space="preserve"> </w:t>
      </w:r>
      <w:r w:rsidR="001C4C1E">
        <w:t>that</w:t>
      </w:r>
      <w:r w:rsidR="001C4C1E">
        <w:rPr>
          <w:spacing w:val="-3"/>
        </w:rPr>
        <w:t xml:space="preserve"> </w:t>
      </w:r>
      <w:r w:rsidR="001C4C1E">
        <w:t>the</w:t>
      </w:r>
      <w:r w:rsidR="001C4C1E">
        <w:rPr>
          <w:spacing w:val="-3"/>
        </w:rPr>
        <w:t xml:space="preserve"> </w:t>
      </w:r>
      <w:r w:rsidR="001C4C1E">
        <w:t>regulatory</w:t>
      </w:r>
      <w:r w:rsidR="001C4C1E">
        <w:rPr>
          <w:spacing w:val="-3"/>
        </w:rPr>
        <w:t xml:space="preserve"> </w:t>
      </w:r>
      <w:r w:rsidR="001C4C1E">
        <w:t>framework</w:t>
      </w:r>
      <w:r w:rsidR="001C4C1E">
        <w:rPr>
          <w:spacing w:val="-3"/>
        </w:rPr>
        <w:t xml:space="preserve"> </w:t>
      </w:r>
      <w:r w:rsidR="001C4C1E">
        <w:t>evolves</w:t>
      </w:r>
      <w:r w:rsidR="001C4C1E">
        <w:rPr>
          <w:spacing w:val="-3"/>
        </w:rPr>
        <w:t xml:space="preserve"> </w:t>
      </w:r>
      <w:r w:rsidR="001C4C1E">
        <w:t>to</w:t>
      </w:r>
      <w:r w:rsidR="001C4C1E">
        <w:rPr>
          <w:spacing w:val="-3"/>
        </w:rPr>
        <w:t xml:space="preserve"> </w:t>
      </w:r>
      <w:r w:rsidR="001C4C1E">
        <w:t>ensure</w:t>
      </w:r>
      <w:r w:rsidR="001C4C1E">
        <w:rPr>
          <w:spacing w:val="-3"/>
        </w:rPr>
        <w:t xml:space="preserve"> </w:t>
      </w:r>
      <w:r w:rsidR="001C4C1E">
        <w:t>that</w:t>
      </w:r>
      <w:r w:rsidR="001C4C1E">
        <w:rPr>
          <w:spacing w:val="-3"/>
        </w:rPr>
        <w:t xml:space="preserve"> </w:t>
      </w:r>
      <w:r w:rsidR="001C4C1E">
        <w:t>both</w:t>
      </w:r>
      <w:r w:rsidR="001C4C1E">
        <w:rPr>
          <w:spacing w:val="-3"/>
        </w:rPr>
        <w:t xml:space="preserve"> </w:t>
      </w:r>
      <w:r w:rsidR="001C4C1E">
        <w:t>businesses</w:t>
      </w:r>
      <w:r w:rsidR="001C4C1E">
        <w:rPr>
          <w:spacing w:val="-3"/>
        </w:rPr>
        <w:t xml:space="preserve"> </w:t>
      </w:r>
      <w:r w:rsidR="001C4C1E">
        <w:t>and consumers can benefit from fairer and more efficient payment systems.</w:t>
      </w:r>
    </w:p>
    <w:p w14:paraId="363C65EC" w14:textId="77777777" w:rsidR="00816022" w:rsidRDefault="00816022">
      <w:pPr>
        <w:pStyle w:val="BodyText"/>
        <w:spacing w:line="360" w:lineRule="auto"/>
        <w:ind w:left="23"/>
      </w:pPr>
    </w:p>
    <w:p w14:paraId="19F49FD6" w14:textId="77777777" w:rsidR="00816022" w:rsidRDefault="00816022" w:rsidP="00816022">
      <w:pPr>
        <w:pStyle w:val="BodyText"/>
        <w:spacing w:line="360" w:lineRule="auto"/>
        <w:ind w:left="23"/>
        <w:rPr>
          <w:lang w:val="en-AU"/>
        </w:rPr>
      </w:pPr>
      <w:r w:rsidRPr="00816022">
        <w:rPr>
          <w:lang w:val="en-AU"/>
        </w:rPr>
        <w:t>In our submission, informed by extensive consultation with members and industry stakeholders, the Australian Restaurant &amp; Café Association (ARCA) will highlight the ongoing challenges that restaurants and cafés face in managing the rising cost of merchant card payments. These costs remain disproportionately high for small hospitality businesses, exacerbated by limited access to strategic rates and bundled pricing models that obscure true payment costs.</w:t>
      </w:r>
    </w:p>
    <w:p w14:paraId="297150B9" w14:textId="77777777" w:rsidR="00816022" w:rsidRPr="00816022" w:rsidRDefault="00816022" w:rsidP="00816022">
      <w:pPr>
        <w:pStyle w:val="BodyText"/>
        <w:spacing w:line="360" w:lineRule="auto"/>
        <w:ind w:left="23"/>
        <w:rPr>
          <w:lang w:val="en-AU"/>
        </w:rPr>
      </w:pPr>
    </w:p>
    <w:p w14:paraId="58A48213" w14:textId="4EACA169" w:rsidR="00816022" w:rsidRDefault="00816022" w:rsidP="00816022">
      <w:pPr>
        <w:pStyle w:val="BodyText"/>
        <w:spacing w:line="360" w:lineRule="auto"/>
        <w:ind w:left="23"/>
        <w:rPr>
          <w:lang w:val="en-AU"/>
        </w:rPr>
      </w:pPr>
      <w:r w:rsidRPr="00816022">
        <w:rPr>
          <w:lang w:val="en-AU"/>
        </w:rPr>
        <w:t>We will also respond to the RBA’s proposed regulatory changes, including the potential removal of surcharges and the introduction of tighter interchange caps. While these reforms aim to enhance efficiency and fairness in the payments system, a critical concern for our sector is the risk that payment service providers may not pass through cost savings, effectively shifting more of the burden onto already strained small businesses. This risk is particularly acute in the café and restaurant segment of the Accommodation and Food Services industry, where high transaction volumes, low margins, and limited bargaining power make payment system design a material operational issue.</w:t>
      </w:r>
    </w:p>
    <w:p w14:paraId="6091B5EF" w14:textId="77777777" w:rsidR="00816022" w:rsidRPr="00816022" w:rsidRDefault="00816022" w:rsidP="00816022">
      <w:pPr>
        <w:pStyle w:val="BodyText"/>
        <w:spacing w:line="360" w:lineRule="auto"/>
        <w:ind w:left="23"/>
        <w:rPr>
          <w:lang w:val="en-AU"/>
        </w:rPr>
      </w:pPr>
    </w:p>
    <w:p w14:paraId="3A1EE89F" w14:textId="77777777" w:rsidR="00816022" w:rsidRPr="00816022" w:rsidRDefault="00816022" w:rsidP="00816022">
      <w:pPr>
        <w:pStyle w:val="BodyText"/>
        <w:spacing w:line="360" w:lineRule="auto"/>
        <w:ind w:left="23"/>
        <w:rPr>
          <w:lang w:val="en-AU"/>
        </w:rPr>
      </w:pPr>
      <w:r w:rsidRPr="00816022">
        <w:rPr>
          <w:lang w:val="en-AU"/>
        </w:rPr>
        <w:t xml:space="preserve">ARCA supports the RBA’s objectives to improve competition, transparency, and efficiency. However, we strongly urge that any changes ensure small merchants are not disadvantaged by the actions of larger market participants or by unintended consequences of reform. This includes guarding against cross-subsidisation, ensuring clear visibility of scheme and </w:t>
      </w:r>
      <w:r w:rsidRPr="00816022">
        <w:rPr>
          <w:lang w:val="en-AU"/>
        </w:rPr>
        <w:lastRenderedPageBreak/>
        <w:t>acquiring fees, and preserving flexibility through measures like least-cost routing.</w:t>
      </w:r>
    </w:p>
    <w:p w14:paraId="7362E02C" w14:textId="468A4AB5" w:rsidR="00D10310" w:rsidRPr="00816022" w:rsidRDefault="00816022" w:rsidP="00816022">
      <w:pPr>
        <w:pStyle w:val="BodyText"/>
        <w:spacing w:line="360" w:lineRule="auto"/>
        <w:ind w:left="23"/>
        <w:rPr>
          <w:lang w:val="en-AU"/>
        </w:rPr>
      </w:pPr>
      <w:r w:rsidRPr="00816022">
        <w:rPr>
          <w:lang w:val="en-AU"/>
        </w:rPr>
        <w:t>Our sector requires a payments ecosystem that reflects the realities of small business operation: transparent, low-cost, competitive, and adaptable to emerging technologies. We welcome the RBA’s consultation and look forward to working collaboratively with policymakers and industry stakeholders to deliver reforms that create a more sustainable and equitable future for Australia’s hospitality sector.</w:t>
      </w:r>
    </w:p>
    <w:p w14:paraId="19E5E3A5" w14:textId="77777777" w:rsidR="00DE1807" w:rsidRDefault="00DE1807">
      <w:pPr>
        <w:pStyle w:val="BodyText"/>
        <w:spacing w:line="360" w:lineRule="auto"/>
        <w:ind w:left="22" w:right="131"/>
      </w:pPr>
    </w:p>
    <w:p w14:paraId="5F0470A3" w14:textId="77777777" w:rsidR="00A6233F" w:rsidRPr="00A6233F" w:rsidRDefault="00A6233F" w:rsidP="009B67F0">
      <w:pPr>
        <w:pStyle w:val="BodyText"/>
        <w:spacing w:after="100" w:afterAutospacing="1" w:line="360" w:lineRule="auto"/>
        <w:rPr>
          <w:lang w:val="en-AU"/>
        </w:rPr>
      </w:pPr>
      <w:r w:rsidRPr="00A6233F">
        <w:rPr>
          <w:b/>
          <w:bCs/>
          <w:lang w:val="en-AU"/>
        </w:rPr>
        <w:t>Q1: Would removing surcharging on designated card networks best support the RBA’s objectives to promote the public interest through improving competition, efficiency and safety in the payments system?</w:t>
      </w:r>
    </w:p>
    <w:p w14:paraId="4861FE52" w14:textId="77777777" w:rsidR="00A6233F" w:rsidRPr="00A6233F" w:rsidRDefault="00A6233F" w:rsidP="009B67F0">
      <w:pPr>
        <w:pStyle w:val="BodyText"/>
        <w:spacing w:after="100" w:afterAutospacing="1" w:line="360" w:lineRule="auto"/>
        <w:rPr>
          <w:lang w:val="en-AU"/>
        </w:rPr>
      </w:pPr>
      <w:r w:rsidRPr="00A6233F">
        <w:rPr>
          <w:b/>
          <w:bCs/>
          <w:lang w:val="en-AU"/>
        </w:rPr>
        <w:t>No — removing the ability for restaurants and cafés to apply reasonable, cost-based surcharges would not support the public interest. In fact, it would increase pressure on small hospitality businesses, reduce price transparency, and lead to higher base prices for all consumers.</w:t>
      </w:r>
    </w:p>
    <w:p w14:paraId="757DEDD1" w14:textId="30682379" w:rsidR="00E2201D" w:rsidRDefault="00C42999" w:rsidP="009B67F0">
      <w:pPr>
        <w:pStyle w:val="BodyText"/>
        <w:spacing w:after="100" w:afterAutospacing="1" w:line="360" w:lineRule="auto"/>
        <w:rPr>
          <w:lang w:val="en-AU"/>
        </w:rPr>
      </w:pPr>
      <w:r>
        <w:rPr>
          <w:noProof/>
          <w:sz w:val="20"/>
        </w:rPr>
        <w:drawing>
          <wp:anchor distT="0" distB="0" distL="0" distR="0" simplePos="0" relativeHeight="251676160" behindDoc="1" locked="0" layoutInCell="1" allowOverlap="1" wp14:anchorId="355FAD44" wp14:editId="337721A2">
            <wp:simplePos x="0" y="0"/>
            <wp:positionH relativeFrom="page">
              <wp:posOffset>915035</wp:posOffset>
            </wp:positionH>
            <wp:positionV relativeFrom="paragraph">
              <wp:posOffset>1842135</wp:posOffset>
            </wp:positionV>
            <wp:extent cx="4548330" cy="1284065"/>
            <wp:effectExtent l="0" t="0" r="0" b="0"/>
            <wp:wrapTopAndBottom/>
            <wp:docPr id="637893838" name="Image 47" descr="A close-up of a card&#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7893838" name="Image 47" descr="A close-up of a card&#10;&#10;AI-generated content may be incorrect."/>
                    <pic:cNvPicPr/>
                  </pic:nvPicPr>
                  <pic:blipFill>
                    <a:blip r:embed="rId14" cstate="print"/>
                    <a:stretch>
                      <a:fillRect/>
                    </a:stretch>
                  </pic:blipFill>
                  <pic:spPr>
                    <a:xfrm>
                      <a:off x="0" y="0"/>
                      <a:ext cx="4548330" cy="1284065"/>
                    </a:xfrm>
                    <a:prstGeom prst="rect">
                      <a:avLst/>
                    </a:prstGeom>
                  </pic:spPr>
                </pic:pic>
              </a:graphicData>
            </a:graphic>
          </wp:anchor>
        </w:drawing>
      </w:r>
      <w:r w:rsidR="00A6233F" w:rsidRPr="00A6233F">
        <w:rPr>
          <w:lang w:val="en-AU"/>
        </w:rPr>
        <w:t xml:space="preserve">For restaurants and cafés — often operating on margins of 3–5% — merchant fees are a </w:t>
      </w:r>
      <w:r w:rsidR="00A6233F" w:rsidRPr="00A6233F">
        <w:rPr>
          <w:b/>
          <w:bCs/>
          <w:lang w:val="en-AU"/>
        </w:rPr>
        <w:t>significant and rising cost</w:t>
      </w:r>
      <w:r w:rsidR="00A6233F" w:rsidRPr="00A6233F">
        <w:rPr>
          <w:lang w:val="en-AU"/>
        </w:rPr>
        <w:t xml:space="preserve">. </w:t>
      </w:r>
      <w:r w:rsidR="00A75A29">
        <w:rPr>
          <w:lang w:val="en-AU"/>
        </w:rPr>
        <w:t xml:space="preserve">Based on ARCA Member &amp; Industry Surveys, over 81% of venues charge diners a </w:t>
      </w:r>
      <w:r w:rsidR="00433EC6" w:rsidRPr="00A6233F">
        <w:rPr>
          <w:lang w:val="en-AU"/>
        </w:rPr>
        <w:t>surcharge</w:t>
      </w:r>
      <w:r w:rsidR="00A6233F" w:rsidRPr="00A6233F">
        <w:rPr>
          <w:lang w:val="en-AU"/>
        </w:rPr>
        <w:t>,</w:t>
      </w:r>
      <w:r w:rsidR="00A75A29">
        <w:rPr>
          <w:lang w:val="en-AU"/>
        </w:rPr>
        <w:t xml:space="preserve"> in stark contrast to the RBA’s fig</w:t>
      </w:r>
      <w:r w:rsidR="009B67F0">
        <w:rPr>
          <w:lang w:val="en-AU"/>
        </w:rPr>
        <w:t>ures (approx. 10%)</w:t>
      </w:r>
      <w:r w:rsidR="00DE1807">
        <w:rPr>
          <w:lang w:val="en-AU"/>
        </w:rPr>
        <w:t xml:space="preserve"> and </w:t>
      </w:r>
      <w:r w:rsidR="00A6233F" w:rsidRPr="00A6233F">
        <w:rPr>
          <w:lang w:val="en-AU"/>
        </w:rPr>
        <w:t xml:space="preserve">the right to do so allows small operators to </w:t>
      </w:r>
      <w:r w:rsidR="00A6233F" w:rsidRPr="00A6233F">
        <w:rPr>
          <w:b/>
          <w:bCs/>
          <w:lang w:val="en-AU"/>
        </w:rPr>
        <w:t>recover the cost of card acceptance</w:t>
      </w:r>
      <w:r w:rsidR="00A6233F" w:rsidRPr="00A6233F">
        <w:rPr>
          <w:lang w:val="en-AU"/>
        </w:rPr>
        <w:t xml:space="preserve">, particularly for premium cards or delivery orders. If this right is removed, businesses will have no choice but to </w:t>
      </w:r>
      <w:r w:rsidR="00A6233F" w:rsidRPr="00A6233F">
        <w:rPr>
          <w:b/>
          <w:bCs/>
          <w:lang w:val="en-AU"/>
        </w:rPr>
        <w:t>embed these costs into their menu prices</w:t>
      </w:r>
      <w:r w:rsidR="00A6233F" w:rsidRPr="00A6233F">
        <w:rPr>
          <w:lang w:val="en-AU"/>
        </w:rPr>
        <w:t xml:space="preserve">, impacting </w:t>
      </w:r>
      <w:r w:rsidR="00A6233F" w:rsidRPr="00A6233F">
        <w:rPr>
          <w:b/>
          <w:bCs/>
          <w:lang w:val="en-AU"/>
        </w:rPr>
        <w:t>all diners</w:t>
      </w:r>
      <w:r w:rsidR="00A6233F" w:rsidRPr="00A6233F">
        <w:rPr>
          <w:lang w:val="en-AU"/>
        </w:rPr>
        <w:t xml:space="preserve"> regardless of payment method. </w:t>
      </w:r>
      <w:r>
        <w:rPr>
          <w:lang w:val="en-AU"/>
        </w:rPr>
        <w:t>A recent ARCA Member survey indicat</w:t>
      </w:r>
      <w:r w:rsidR="00513B31">
        <w:rPr>
          <w:lang w:val="en-AU"/>
        </w:rPr>
        <w:t>ed:</w:t>
      </w:r>
    </w:p>
    <w:p w14:paraId="09FBA3F9" w14:textId="1FE1C60A" w:rsidR="00185D12" w:rsidRDefault="00C42999" w:rsidP="009B67F0">
      <w:pPr>
        <w:pStyle w:val="BodyText"/>
        <w:spacing w:after="100" w:afterAutospacing="1" w:line="360" w:lineRule="auto"/>
        <w:rPr>
          <w:b/>
          <w:bCs/>
          <w:lang w:val="en-AU"/>
        </w:rPr>
      </w:pPr>
      <w:r>
        <w:rPr>
          <w:noProof/>
          <w:sz w:val="20"/>
        </w:rPr>
        <w:lastRenderedPageBreak/>
        <w:drawing>
          <wp:anchor distT="0" distB="0" distL="0" distR="0" simplePos="0" relativeHeight="251677184" behindDoc="1" locked="0" layoutInCell="1" allowOverlap="1" wp14:anchorId="7925D9C1" wp14:editId="45F3006F">
            <wp:simplePos x="0" y="0"/>
            <wp:positionH relativeFrom="page">
              <wp:posOffset>899795</wp:posOffset>
            </wp:positionH>
            <wp:positionV relativeFrom="paragraph">
              <wp:posOffset>1435100</wp:posOffset>
            </wp:positionV>
            <wp:extent cx="4773962" cy="2225040"/>
            <wp:effectExtent l="0" t="0" r="7620" b="3810"/>
            <wp:wrapTopAndBottom/>
            <wp:docPr id="53" name="Image 53" descr="A screenshot of a phone&#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 name="Image 53" descr="A screenshot of a phone&#10;&#10;AI-generated content may be incorrect."/>
                    <pic:cNvPicPr/>
                  </pic:nvPicPr>
                  <pic:blipFill>
                    <a:blip r:embed="rId15" cstate="print"/>
                    <a:stretch>
                      <a:fillRect/>
                    </a:stretch>
                  </pic:blipFill>
                  <pic:spPr>
                    <a:xfrm>
                      <a:off x="0" y="0"/>
                      <a:ext cx="4773962" cy="2225040"/>
                    </a:xfrm>
                    <a:prstGeom prst="rect">
                      <a:avLst/>
                    </a:prstGeom>
                  </pic:spPr>
                </pic:pic>
              </a:graphicData>
            </a:graphic>
          </wp:anchor>
        </w:drawing>
      </w:r>
    </w:p>
    <w:p w14:paraId="18BF87B5" w14:textId="20B09A94" w:rsidR="00E2201D" w:rsidRDefault="00185D12" w:rsidP="009B67F0">
      <w:pPr>
        <w:pStyle w:val="BodyText"/>
        <w:spacing w:after="100" w:afterAutospacing="1" w:line="360" w:lineRule="auto"/>
        <w:rPr>
          <w:b/>
          <w:bCs/>
          <w:lang w:val="en-AU"/>
        </w:rPr>
      </w:pPr>
      <w:r>
        <w:rPr>
          <w:noProof/>
          <w:sz w:val="20"/>
        </w:rPr>
        <w:drawing>
          <wp:inline distT="0" distB="0" distL="0" distR="0" wp14:anchorId="3226D21E" wp14:editId="1092CEA0">
            <wp:extent cx="4787411" cy="2225039"/>
            <wp:effectExtent l="0" t="0" r="0" b="0"/>
            <wp:docPr id="59" name="Image 59" descr="A screenshot of a survey&#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 name="Image 59" descr="A screenshot of a survey&#10;&#10;AI-generated content may be incorrect."/>
                    <pic:cNvPicPr/>
                  </pic:nvPicPr>
                  <pic:blipFill>
                    <a:blip r:embed="rId16" cstate="print"/>
                    <a:stretch>
                      <a:fillRect/>
                    </a:stretch>
                  </pic:blipFill>
                  <pic:spPr>
                    <a:xfrm>
                      <a:off x="0" y="0"/>
                      <a:ext cx="4787411" cy="2225039"/>
                    </a:xfrm>
                    <a:prstGeom prst="rect">
                      <a:avLst/>
                    </a:prstGeom>
                  </pic:spPr>
                </pic:pic>
              </a:graphicData>
            </a:graphic>
          </wp:inline>
        </w:drawing>
      </w:r>
    </w:p>
    <w:p w14:paraId="0A02FF3E" w14:textId="636F80FD" w:rsidR="00185D12" w:rsidRDefault="00185D12" w:rsidP="009B67F0">
      <w:pPr>
        <w:pStyle w:val="BodyText"/>
        <w:spacing w:after="100" w:afterAutospacing="1" w:line="360" w:lineRule="auto"/>
        <w:rPr>
          <w:b/>
          <w:bCs/>
          <w:lang w:val="en-AU"/>
        </w:rPr>
      </w:pPr>
      <w:r>
        <w:rPr>
          <w:noProof/>
          <w:sz w:val="20"/>
        </w:rPr>
        <w:drawing>
          <wp:anchor distT="0" distB="0" distL="0" distR="0" simplePos="0" relativeHeight="487616000" behindDoc="1" locked="0" layoutInCell="1" allowOverlap="1" wp14:anchorId="47B44C4A" wp14:editId="2EC91404">
            <wp:simplePos x="0" y="0"/>
            <wp:positionH relativeFrom="page">
              <wp:posOffset>899795</wp:posOffset>
            </wp:positionH>
            <wp:positionV relativeFrom="paragraph">
              <wp:posOffset>418465</wp:posOffset>
            </wp:positionV>
            <wp:extent cx="4779327" cy="1999488"/>
            <wp:effectExtent l="0" t="0" r="0" b="0"/>
            <wp:wrapTopAndBottom/>
            <wp:docPr id="60" name="Image 60" descr="A screenshot of a computer&#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 name="Image 60" descr="A screenshot of a computer&#10;&#10;AI-generated content may be incorrect."/>
                    <pic:cNvPicPr/>
                  </pic:nvPicPr>
                  <pic:blipFill>
                    <a:blip r:embed="rId17" cstate="print"/>
                    <a:stretch>
                      <a:fillRect/>
                    </a:stretch>
                  </pic:blipFill>
                  <pic:spPr>
                    <a:xfrm>
                      <a:off x="0" y="0"/>
                      <a:ext cx="4779327" cy="1999488"/>
                    </a:xfrm>
                    <a:prstGeom prst="rect">
                      <a:avLst/>
                    </a:prstGeom>
                  </pic:spPr>
                </pic:pic>
              </a:graphicData>
            </a:graphic>
          </wp:anchor>
        </w:drawing>
      </w:r>
    </w:p>
    <w:p w14:paraId="0630B245" w14:textId="77777777" w:rsidR="00185D12" w:rsidRPr="00E2201D" w:rsidRDefault="00185D12" w:rsidP="009B67F0">
      <w:pPr>
        <w:pStyle w:val="BodyText"/>
        <w:spacing w:after="100" w:afterAutospacing="1" w:line="360" w:lineRule="auto"/>
        <w:rPr>
          <w:b/>
          <w:bCs/>
          <w:lang w:val="en-AU"/>
        </w:rPr>
      </w:pPr>
    </w:p>
    <w:p w14:paraId="72667936" w14:textId="7B196834" w:rsidR="00A6233F" w:rsidRPr="00A6233F" w:rsidRDefault="00A6233F" w:rsidP="009B67F0">
      <w:pPr>
        <w:pStyle w:val="BodyText"/>
        <w:spacing w:after="100" w:afterAutospacing="1" w:line="360" w:lineRule="auto"/>
        <w:rPr>
          <w:lang w:val="en-AU"/>
        </w:rPr>
      </w:pPr>
      <w:r w:rsidRPr="00A6233F">
        <w:rPr>
          <w:lang w:val="en-AU"/>
        </w:rPr>
        <w:lastRenderedPageBreak/>
        <w:t xml:space="preserve">This outcome is </w:t>
      </w:r>
      <w:r w:rsidRPr="00A6233F">
        <w:rPr>
          <w:b/>
          <w:bCs/>
          <w:lang w:val="en-AU"/>
        </w:rPr>
        <w:t>less transparent and less fair</w:t>
      </w:r>
      <w:r w:rsidRPr="00A6233F">
        <w:rPr>
          <w:lang w:val="en-AU"/>
        </w:rPr>
        <w:t xml:space="preserve"> for the public than the current surcharging framework.</w:t>
      </w:r>
    </w:p>
    <w:p w14:paraId="6044FC42" w14:textId="77777777" w:rsidR="00A6233F" w:rsidRPr="00A6233F" w:rsidRDefault="00A6233F" w:rsidP="009B67F0">
      <w:pPr>
        <w:pStyle w:val="BodyText"/>
        <w:spacing w:after="100" w:afterAutospacing="1" w:line="360" w:lineRule="auto"/>
        <w:rPr>
          <w:lang w:val="en-AU"/>
        </w:rPr>
      </w:pPr>
      <w:r w:rsidRPr="00A6233F">
        <w:rPr>
          <w:lang w:val="en-AU"/>
        </w:rPr>
        <w:t xml:space="preserve">The RBA's claim that eliminating surcharges would promote efficiency ignores the </w:t>
      </w:r>
      <w:r w:rsidRPr="00A6233F">
        <w:rPr>
          <w:b/>
          <w:bCs/>
          <w:lang w:val="en-AU"/>
        </w:rPr>
        <w:t>realities faced by low-margin, high-volume industries like hospitality</w:t>
      </w:r>
      <w:r w:rsidRPr="00A6233F">
        <w:rPr>
          <w:lang w:val="en-AU"/>
        </w:rPr>
        <w:t xml:space="preserve">. The supposed “consumer savings” will likely be negated by broad-based price increases. Furthermore, removing surcharges disproportionately benefits </w:t>
      </w:r>
      <w:r w:rsidRPr="00A6233F">
        <w:rPr>
          <w:b/>
          <w:bCs/>
          <w:lang w:val="en-AU"/>
        </w:rPr>
        <w:t>large financial institutions and high-income credit card users</w:t>
      </w:r>
      <w:r w:rsidRPr="00A6233F">
        <w:rPr>
          <w:lang w:val="en-AU"/>
        </w:rPr>
        <w:t>, while placing the burden on small businesses and everyday Australians.</w:t>
      </w:r>
    </w:p>
    <w:p w14:paraId="518E62B1" w14:textId="77777777" w:rsidR="00A6233F" w:rsidRPr="00A6233F" w:rsidRDefault="00A6233F" w:rsidP="009B67F0">
      <w:pPr>
        <w:pStyle w:val="BodyText"/>
        <w:spacing w:after="100" w:afterAutospacing="1" w:line="360" w:lineRule="auto"/>
        <w:rPr>
          <w:lang w:val="en-AU"/>
        </w:rPr>
      </w:pPr>
      <w:r w:rsidRPr="00A6233F">
        <w:rPr>
          <w:lang w:val="en-AU"/>
        </w:rPr>
        <w:t>Rather than removing the surcharging framework, ARCA recommends:</w:t>
      </w:r>
    </w:p>
    <w:p w14:paraId="5E6CFDA9" w14:textId="77777777" w:rsidR="00A6233F" w:rsidRPr="00A6233F" w:rsidRDefault="00A6233F" w:rsidP="009B67F0">
      <w:pPr>
        <w:pStyle w:val="BodyText"/>
        <w:numPr>
          <w:ilvl w:val="0"/>
          <w:numId w:val="4"/>
        </w:numPr>
        <w:spacing w:after="100" w:afterAutospacing="1" w:line="360" w:lineRule="auto"/>
        <w:rPr>
          <w:lang w:val="en-AU"/>
        </w:rPr>
      </w:pPr>
      <w:r w:rsidRPr="00A6233F">
        <w:rPr>
          <w:b/>
          <w:bCs/>
          <w:lang w:val="en-AU"/>
        </w:rPr>
        <w:t>Retaining surcharging rights</w:t>
      </w:r>
      <w:r w:rsidRPr="00A6233F">
        <w:rPr>
          <w:lang w:val="en-AU"/>
        </w:rPr>
        <w:t xml:space="preserve"> with a refined definition of acceptable costs (focused on transparency and enforcement),</w:t>
      </w:r>
    </w:p>
    <w:p w14:paraId="164C22AD" w14:textId="77777777" w:rsidR="00A6233F" w:rsidRPr="00A6233F" w:rsidRDefault="00A6233F" w:rsidP="009B67F0">
      <w:pPr>
        <w:pStyle w:val="BodyText"/>
        <w:numPr>
          <w:ilvl w:val="0"/>
          <w:numId w:val="4"/>
        </w:numPr>
        <w:spacing w:after="100" w:afterAutospacing="1" w:line="360" w:lineRule="auto"/>
        <w:rPr>
          <w:lang w:val="en-AU"/>
        </w:rPr>
      </w:pPr>
      <w:r w:rsidRPr="00A6233F">
        <w:rPr>
          <w:lang w:val="en-AU"/>
        </w:rPr>
        <w:t xml:space="preserve">Supporting </w:t>
      </w:r>
      <w:r w:rsidRPr="00A6233F">
        <w:rPr>
          <w:b/>
          <w:bCs/>
          <w:lang w:val="en-AU"/>
        </w:rPr>
        <w:t>merchant fee reductions</w:t>
      </w:r>
      <w:r w:rsidRPr="00A6233F">
        <w:rPr>
          <w:lang w:val="en-AU"/>
        </w:rPr>
        <w:t xml:space="preserve"> through interchange caps or competitive payment reforms,</w:t>
      </w:r>
    </w:p>
    <w:p w14:paraId="01DAF801" w14:textId="77777777" w:rsidR="00A6233F" w:rsidRPr="00A6233F" w:rsidRDefault="00A6233F" w:rsidP="009B67F0">
      <w:pPr>
        <w:pStyle w:val="BodyText"/>
        <w:numPr>
          <w:ilvl w:val="0"/>
          <w:numId w:val="4"/>
        </w:numPr>
        <w:spacing w:after="100" w:afterAutospacing="1" w:line="360" w:lineRule="auto"/>
        <w:rPr>
          <w:lang w:val="en-AU"/>
        </w:rPr>
      </w:pPr>
      <w:r w:rsidRPr="00A6233F">
        <w:rPr>
          <w:lang w:val="en-AU"/>
        </w:rPr>
        <w:t>Educating consumers and businesses on payment choices and costs, and</w:t>
      </w:r>
    </w:p>
    <w:p w14:paraId="4868F7D5" w14:textId="77777777" w:rsidR="00A6233F" w:rsidRPr="00A6233F" w:rsidRDefault="00A6233F" w:rsidP="009B67F0">
      <w:pPr>
        <w:pStyle w:val="BodyText"/>
        <w:numPr>
          <w:ilvl w:val="0"/>
          <w:numId w:val="4"/>
        </w:numPr>
        <w:spacing w:after="100" w:afterAutospacing="1" w:line="360" w:lineRule="auto"/>
        <w:rPr>
          <w:lang w:val="en-AU"/>
        </w:rPr>
      </w:pPr>
      <w:r w:rsidRPr="00A6233F">
        <w:rPr>
          <w:b/>
          <w:bCs/>
          <w:lang w:val="en-AU"/>
        </w:rPr>
        <w:t>Exempting small businesses</w:t>
      </w:r>
      <w:r w:rsidRPr="00A6233F">
        <w:rPr>
          <w:lang w:val="en-AU"/>
        </w:rPr>
        <w:t xml:space="preserve"> from any surcharging ban to protect fairness and viability.</w:t>
      </w:r>
    </w:p>
    <w:p w14:paraId="7E8D688A" w14:textId="5F4F0540" w:rsidR="00185D12" w:rsidRDefault="00A6233F" w:rsidP="00E53D6F">
      <w:pPr>
        <w:pStyle w:val="BodyText"/>
        <w:spacing w:after="100" w:afterAutospacing="1" w:line="360" w:lineRule="auto"/>
        <w:rPr>
          <w:lang w:val="en-AU"/>
        </w:rPr>
      </w:pPr>
      <w:r w:rsidRPr="00A6233F">
        <w:rPr>
          <w:lang w:val="en-AU"/>
        </w:rPr>
        <w:t xml:space="preserve">Restaurants and cafés are not financial institutions — they cannot absorb rising merchant fees indefinitely. If surcharges are removed, </w:t>
      </w:r>
      <w:r w:rsidR="00FF000C" w:rsidRPr="00A6233F">
        <w:rPr>
          <w:lang w:val="en-AU"/>
        </w:rPr>
        <w:t>the result</w:t>
      </w:r>
      <w:r w:rsidRPr="00A6233F">
        <w:rPr>
          <w:lang w:val="en-AU"/>
        </w:rPr>
        <w:t xml:space="preserve"> will be </w:t>
      </w:r>
      <w:r w:rsidRPr="00A6233F">
        <w:rPr>
          <w:b/>
          <w:bCs/>
          <w:lang w:val="en-AU"/>
        </w:rPr>
        <w:t>higher prices, lower transparency, and weaker competition</w:t>
      </w:r>
      <w:r w:rsidRPr="00A6233F">
        <w:rPr>
          <w:lang w:val="en-AU"/>
        </w:rPr>
        <w:t xml:space="preserve"> — precisely the opposite of the RBA’s stated </w:t>
      </w:r>
      <w:r w:rsidR="00E53D6F" w:rsidRPr="00E53D6F">
        <w:rPr>
          <w:lang w:val="en-AU"/>
        </w:rPr>
        <w:t>Q2: Do the proposed changes to interchange regulation promote the public interest by improving competition and efficiency in the payments system?</w:t>
      </w:r>
    </w:p>
    <w:p w14:paraId="468094A3" w14:textId="77777777" w:rsidR="00072517" w:rsidRPr="00072517" w:rsidRDefault="00072517" w:rsidP="00072517">
      <w:pPr>
        <w:pStyle w:val="BodyText"/>
        <w:spacing w:after="100" w:afterAutospacing="1" w:line="360" w:lineRule="auto"/>
        <w:rPr>
          <w:b/>
          <w:bCs/>
          <w:lang w:val="en-AU"/>
        </w:rPr>
      </w:pPr>
      <w:r w:rsidRPr="00072517">
        <w:rPr>
          <w:b/>
          <w:bCs/>
          <w:lang w:val="en-AU"/>
        </w:rPr>
        <w:t>Recommendation:</w:t>
      </w:r>
    </w:p>
    <w:p w14:paraId="4DD31338" w14:textId="77777777" w:rsidR="00072517" w:rsidRPr="00072517" w:rsidRDefault="00072517" w:rsidP="00072517">
      <w:pPr>
        <w:pStyle w:val="BodyText"/>
        <w:spacing w:after="100" w:afterAutospacing="1" w:line="360" w:lineRule="auto"/>
        <w:rPr>
          <w:lang w:val="en-AU"/>
        </w:rPr>
      </w:pPr>
      <w:r w:rsidRPr="00072517">
        <w:rPr>
          <w:lang w:val="en-AU"/>
        </w:rPr>
        <w:t xml:space="preserve">Retain surcharging rights. User choice, user pays-not the merchant. Card acceptance cost is not a shared overhead like rent or water; it is triggered by a customer’s card and channel choice (for example, international credit cards vs </w:t>
      </w:r>
      <w:proofErr w:type="spellStart"/>
      <w:r w:rsidRPr="00072517">
        <w:rPr>
          <w:lang w:val="en-AU"/>
        </w:rPr>
        <w:t>eftpos</w:t>
      </w:r>
      <w:proofErr w:type="spellEnd"/>
      <w:r w:rsidRPr="00072517">
        <w:rPr>
          <w:lang w:val="en-AU"/>
        </w:rPr>
        <w:t>/debit, phone/online vs in person). Removing cost based surcharging forces cash or debit paying and in person patrons to cross subsidise higher cost credit and card not present (CNP) payments.</w:t>
      </w:r>
    </w:p>
    <w:p w14:paraId="35953BAA" w14:textId="77777777" w:rsidR="00072517" w:rsidRPr="00072517" w:rsidRDefault="00072517" w:rsidP="00072517">
      <w:pPr>
        <w:pStyle w:val="BodyText"/>
        <w:spacing w:after="100" w:afterAutospacing="1" w:line="360" w:lineRule="auto"/>
        <w:rPr>
          <w:lang w:val="en-AU"/>
        </w:rPr>
      </w:pPr>
      <w:r w:rsidRPr="00072517">
        <w:rPr>
          <w:lang w:val="en-AU"/>
        </w:rPr>
        <w:t>Because card type and channel materially change acceptance costs, removing surcharging effectively replaces a targeted, avoidable fee with higher prices for all customers and reduced service quality.</w:t>
      </w:r>
    </w:p>
    <w:p w14:paraId="391EA6F3" w14:textId="77777777" w:rsidR="00072517" w:rsidRPr="00072517" w:rsidRDefault="00072517" w:rsidP="00072517">
      <w:pPr>
        <w:pStyle w:val="BodyText"/>
        <w:spacing w:after="100" w:afterAutospacing="1" w:line="360" w:lineRule="auto"/>
        <w:rPr>
          <w:lang w:val="en-AU"/>
        </w:rPr>
      </w:pPr>
      <w:r w:rsidRPr="00072517">
        <w:rPr>
          <w:lang w:val="en-AU"/>
        </w:rPr>
        <w:t xml:space="preserve">CNP transactions such as phone orders and online orders for delivery or pick up remain </w:t>
      </w:r>
      <w:r w:rsidRPr="00072517">
        <w:rPr>
          <w:lang w:val="en-AU"/>
        </w:rPr>
        <w:lastRenderedPageBreak/>
        <w:t xml:space="preserve">structurally higher cost under the PSB’s proposals, and merchants are typically liable for fraud and chargebacks in these channels. These options are offered for customer convenience but reflect a consumer choice that drives incremental cost for venues. Removing cost-based surcharging would force in person cash or debit payers to subsidise higher cost CNP transactions. To avoid this distortion, the framework should: </w:t>
      </w:r>
    </w:p>
    <w:p w14:paraId="67F788F9" w14:textId="77777777" w:rsidR="00072517" w:rsidRPr="00072517" w:rsidRDefault="00072517" w:rsidP="00072517">
      <w:pPr>
        <w:pStyle w:val="BodyText"/>
        <w:spacing w:after="100" w:afterAutospacing="1" w:line="360" w:lineRule="auto"/>
        <w:rPr>
          <w:lang w:val="en-AU"/>
        </w:rPr>
      </w:pPr>
      <w:r w:rsidRPr="00072517">
        <w:rPr>
          <w:lang w:val="en-AU"/>
        </w:rPr>
        <w:t xml:space="preserve">(a) retain </w:t>
      </w:r>
      <w:proofErr w:type="gramStart"/>
      <w:r w:rsidRPr="00072517">
        <w:rPr>
          <w:lang w:val="en-AU"/>
        </w:rPr>
        <w:t>cost based</w:t>
      </w:r>
      <w:proofErr w:type="gramEnd"/>
      <w:r w:rsidRPr="00072517">
        <w:rPr>
          <w:lang w:val="en-AU"/>
        </w:rPr>
        <w:t xml:space="preserve"> surcharging and permit channel specific surcharges that reflect actual cost of acceptance (COA); and </w:t>
      </w:r>
    </w:p>
    <w:p w14:paraId="598AF045" w14:textId="0823ED94" w:rsidR="00072517" w:rsidRDefault="00072517" w:rsidP="00E53D6F">
      <w:pPr>
        <w:pStyle w:val="BodyText"/>
        <w:spacing w:after="100" w:afterAutospacing="1" w:line="360" w:lineRule="auto"/>
        <w:rPr>
          <w:lang w:val="en-AU"/>
        </w:rPr>
      </w:pPr>
      <w:r w:rsidRPr="00072517">
        <w:rPr>
          <w:lang w:val="en-AU"/>
        </w:rPr>
        <w:t>(b) require dynamic least cost routing (LCR) so merchants can steer to lower cost options online as well as in store.</w:t>
      </w:r>
    </w:p>
    <w:p w14:paraId="1E126C0C" w14:textId="77777777" w:rsidR="005E7F45" w:rsidRPr="005E7F45" w:rsidRDefault="005E7F45" w:rsidP="005E7F45">
      <w:pPr>
        <w:pStyle w:val="BodyText"/>
        <w:spacing w:line="360" w:lineRule="auto"/>
        <w:rPr>
          <w:lang w:val="en-AU"/>
        </w:rPr>
      </w:pPr>
      <w:r w:rsidRPr="005E7F45">
        <w:rPr>
          <w:b/>
          <w:bCs/>
          <w:lang w:val="en-AU"/>
        </w:rPr>
        <w:t>Q2: Do the proposed changes to interchange regulation promote the public interest by improving competition and efficiency in the payments system?</w:t>
      </w:r>
    </w:p>
    <w:p w14:paraId="43C7C341" w14:textId="389CCDD4" w:rsidR="005E7F45" w:rsidRPr="005E7F45" w:rsidRDefault="005E7F45" w:rsidP="005E7F45">
      <w:pPr>
        <w:pStyle w:val="BodyText"/>
        <w:spacing w:line="360" w:lineRule="auto"/>
        <w:rPr>
          <w:lang w:val="en-AU"/>
        </w:rPr>
      </w:pPr>
      <w:r w:rsidRPr="005E7F45">
        <w:rPr>
          <w:b/>
          <w:bCs/>
          <w:lang w:val="en-AU"/>
        </w:rPr>
        <w:t>Yes</w:t>
      </w:r>
      <w:r w:rsidR="0079684E">
        <w:rPr>
          <w:b/>
          <w:bCs/>
          <w:lang w:val="en-AU"/>
        </w:rPr>
        <w:t>,</w:t>
      </w:r>
      <w:r w:rsidR="0046390D">
        <w:rPr>
          <w:b/>
          <w:bCs/>
          <w:lang w:val="en-AU"/>
        </w:rPr>
        <w:t xml:space="preserve"> but could go further</w:t>
      </w:r>
      <w:r w:rsidRPr="005E7F45">
        <w:rPr>
          <w:lang w:val="en-AU"/>
        </w:rPr>
        <w:t>, from the perspective of restaurants and cafés, the proposed changes are in the public interest as they help reduce payment processing costs and promote a fairer, more competitive system:</w:t>
      </w:r>
    </w:p>
    <w:p w14:paraId="619A659C" w14:textId="77777777" w:rsidR="005E7F45" w:rsidRPr="005E7F45" w:rsidRDefault="005E7F45" w:rsidP="005E7F45">
      <w:pPr>
        <w:pStyle w:val="BodyText"/>
        <w:numPr>
          <w:ilvl w:val="0"/>
          <w:numId w:val="11"/>
        </w:numPr>
        <w:spacing w:line="360" w:lineRule="auto"/>
        <w:rPr>
          <w:lang w:val="en-AU"/>
        </w:rPr>
      </w:pPr>
      <w:r w:rsidRPr="005E7F45">
        <w:rPr>
          <w:b/>
          <w:bCs/>
          <w:lang w:val="en-AU"/>
        </w:rPr>
        <w:t>Lower costs for small businesses:</w:t>
      </w:r>
      <w:r w:rsidRPr="005E7F45">
        <w:rPr>
          <w:lang w:val="en-AU"/>
        </w:rPr>
        <w:t xml:space="preserve"> </w:t>
      </w:r>
      <w:proofErr w:type="gramStart"/>
      <w:r w:rsidRPr="005E7F45">
        <w:rPr>
          <w:lang w:val="en-AU"/>
        </w:rPr>
        <w:t>Small</w:t>
      </w:r>
      <w:proofErr w:type="gramEnd"/>
      <w:r w:rsidRPr="005E7F45">
        <w:rPr>
          <w:lang w:val="en-AU"/>
        </w:rPr>
        <w:t xml:space="preserve"> merchants, including most restaurants and cafés, currently pay significantly higher interchange rates than large merchants due to their lack of negotiating power. Lowering the domestic debit benchmark to 6 cents and capping credit interchange at 0.3% will help reduce this imbalance and deliver real cost savings for small businesses.</w:t>
      </w:r>
    </w:p>
    <w:p w14:paraId="7B38F912" w14:textId="77777777" w:rsidR="005E7F45" w:rsidRPr="005E7F45" w:rsidRDefault="005E7F45" w:rsidP="005E7F45">
      <w:pPr>
        <w:pStyle w:val="BodyText"/>
        <w:numPr>
          <w:ilvl w:val="0"/>
          <w:numId w:val="11"/>
        </w:numPr>
        <w:spacing w:line="360" w:lineRule="auto"/>
        <w:rPr>
          <w:lang w:val="en-AU"/>
        </w:rPr>
      </w:pPr>
      <w:r w:rsidRPr="005E7F45">
        <w:rPr>
          <w:b/>
          <w:bCs/>
          <w:lang w:val="en-AU"/>
        </w:rPr>
        <w:t>Reduced cross-subsidisation:</w:t>
      </w:r>
      <w:r w:rsidRPr="005E7F45">
        <w:rPr>
          <w:lang w:val="en-AU"/>
        </w:rPr>
        <w:t xml:space="preserve"> The current system sees smaller hospitality businesses effectively subsidising the payment costs of large retailers. These changes would reduce that unfair burden.</w:t>
      </w:r>
    </w:p>
    <w:p w14:paraId="53B81ADA" w14:textId="77777777" w:rsidR="005E7F45" w:rsidRPr="005E7F45" w:rsidRDefault="005E7F45" w:rsidP="005E7F45">
      <w:pPr>
        <w:pStyle w:val="BodyText"/>
        <w:numPr>
          <w:ilvl w:val="0"/>
          <w:numId w:val="11"/>
        </w:numPr>
        <w:spacing w:line="360" w:lineRule="auto"/>
        <w:rPr>
          <w:lang w:val="en-AU"/>
        </w:rPr>
      </w:pPr>
      <w:r w:rsidRPr="005E7F45">
        <w:rPr>
          <w:b/>
          <w:bCs/>
          <w:lang w:val="en-AU"/>
        </w:rPr>
        <w:t>Better alignment with true issuer costs:</w:t>
      </w:r>
      <w:r w:rsidRPr="005E7F45">
        <w:rPr>
          <w:lang w:val="en-AU"/>
        </w:rPr>
        <w:t xml:space="preserve"> The RBA’s own cost studies show that the proposed caps still exceed the actual average issuer costs. This ensures efficiency is improved without compromising the functionality or innovation of the payments system.</w:t>
      </w:r>
    </w:p>
    <w:p w14:paraId="58EB0C03" w14:textId="77777777" w:rsidR="005E7F45" w:rsidRDefault="005E7F45" w:rsidP="005E7F45">
      <w:pPr>
        <w:pStyle w:val="BodyText"/>
        <w:numPr>
          <w:ilvl w:val="0"/>
          <w:numId w:val="11"/>
        </w:numPr>
        <w:spacing w:line="360" w:lineRule="auto"/>
        <w:rPr>
          <w:lang w:val="en-AU"/>
        </w:rPr>
      </w:pPr>
      <w:r w:rsidRPr="005E7F45">
        <w:rPr>
          <w:b/>
          <w:bCs/>
          <w:lang w:val="en-AU"/>
        </w:rPr>
        <w:t>Support for cost-of-living relief:</w:t>
      </w:r>
      <w:r w:rsidRPr="005E7F45">
        <w:rPr>
          <w:lang w:val="en-AU"/>
        </w:rPr>
        <w:t xml:space="preserve"> Reducing hidden card payment costs for restaurants and cafés can help ease the price pressures faced by consumers, improving access to affordable dining experiences amid a cost-of-living crisis.</w:t>
      </w:r>
    </w:p>
    <w:p w14:paraId="4C38C1BB" w14:textId="7867DE58" w:rsidR="005E7F45" w:rsidRPr="00484FE8" w:rsidRDefault="0079684E" w:rsidP="00484FE8">
      <w:pPr>
        <w:pStyle w:val="BodyText"/>
        <w:numPr>
          <w:ilvl w:val="0"/>
          <w:numId w:val="11"/>
        </w:numPr>
        <w:spacing w:line="360" w:lineRule="auto"/>
        <w:rPr>
          <w:lang w:val="en-AU"/>
        </w:rPr>
      </w:pPr>
      <w:r>
        <w:rPr>
          <w:b/>
          <w:bCs/>
          <w:lang w:val="en-AU"/>
        </w:rPr>
        <w:t>But we recommend that the RBA could go further as small businesses still pay 5x</w:t>
      </w:r>
      <w:r w:rsidR="00436036">
        <w:rPr>
          <w:b/>
          <w:bCs/>
          <w:lang w:val="en-AU"/>
        </w:rPr>
        <w:t xml:space="preserve"> what big businesses pay on debit cards and 3x on credit cards in merchant fees.</w:t>
      </w:r>
      <w:r w:rsidR="00436036">
        <w:rPr>
          <w:lang w:val="en-AU"/>
        </w:rPr>
        <w:t xml:space="preserve"> </w:t>
      </w:r>
    </w:p>
    <w:p w14:paraId="0738E8C0" w14:textId="77777777" w:rsidR="00484FE8" w:rsidRDefault="00484FE8" w:rsidP="00484FE8">
      <w:pPr>
        <w:pStyle w:val="BodyText"/>
        <w:spacing w:line="360" w:lineRule="auto"/>
        <w:ind w:left="22"/>
        <w:rPr>
          <w:b/>
          <w:bCs/>
          <w:lang w:val="en-AU"/>
        </w:rPr>
      </w:pPr>
      <w:r w:rsidRPr="00EB4A73">
        <w:rPr>
          <w:b/>
          <w:bCs/>
          <w:lang w:val="en-AU"/>
        </w:rPr>
        <w:t xml:space="preserve">Recommendation. </w:t>
      </w:r>
      <w:r w:rsidRPr="00EB4A73">
        <w:rPr>
          <w:lang w:val="en-AU"/>
        </w:rPr>
        <w:t xml:space="preserve">Commence with lower interchange caps so savings flow immediately into the system and soften the impact of any subsequent changes to surcharging or pricing </w:t>
      </w:r>
      <w:r w:rsidRPr="00EB4A73">
        <w:rPr>
          <w:lang w:val="en-AU"/>
        </w:rPr>
        <w:lastRenderedPageBreak/>
        <w:t>displays. Early interchange relief is essential to protect small, low margin venues.</w:t>
      </w:r>
    </w:p>
    <w:p w14:paraId="541A1232" w14:textId="0347C736" w:rsidR="00484FE8" w:rsidRDefault="00177925" w:rsidP="005E7F45">
      <w:pPr>
        <w:pStyle w:val="BodyText"/>
        <w:spacing w:line="360" w:lineRule="auto"/>
        <w:rPr>
          <w:b/>
          <w:bCs/>
          <w:lang w:val="en-AU"/>
        </w:rPr>
      </w:pPr>
      <w:r>
        <w:rPr>
          <w:lang w:val="en-AU"/>
        </w:rPr>
        <w:pict w14:anchorId="72996F17">
          <v:rect id="_x0000_i1037" style="width:0;height:1.5pt" o:hralign="center" o:hrstd="t" o:hr="t" fillcolor="#a0a0a0" stroked="f"/>
        </w:pict>
      </w:r>
    </w:p>
    <w:p w14:paraId="386CF954" w14:textId="61E2C7DB" w:rsidR="005E7F45" w:rsidRPr="005E7F45" w:rsidRDefault="005E7F45" w:rsidP="005E7F45">
      <w:pPr>
        <w:pStyle w:val="BodyText"/>
        <w:spacing w:line="360" w:lineRule="auto"/>
        <w:rPr>
          <w:lang w:val="en-AU"/>
        </w:rPr>
      </w:pPr>
      <w:r w:rsidRPr="005E7F45">
        <w:rPr>
          <w:b/>
          <w:bCs/>
          <w:lang w:val="en-AU"/>
        </w:rPr>
        <w:t xml:space="preserve">Q3: Are there further considerations for smaller issuers that the RBA should </w:t>
      </w:r>
      <w:proofErr w:type="gramStart"/>
      <w:r w:rsidRPr="005E7F45">
        <w:rPr>
          <w:b/>
          <w:bCs/>
          <w:lang w:val="en-AU"/>
        </w:rPr>
        <w:t>take into account</w:t>
      </w:r>
      <w:proofErr w:type="gramEnd"/>
      <w:r w:rsidRPr="005E7F45">
        <w:rPr>
          <w:b/>
          <w:bCs/>
          <w:lang w:val="en-AU"/>
        </w:rPr>
        <w:t xml:space="preserve"> to enhance competition and efficiency in the payments system?</w:t>
      </w:r>
    </w:p>
    <w:p w14:paraId="47A5CF8D" w14:textId="77777777" w:rsidR="005E7F45" w:rsidRPr="005E7F45" w:rsidRDefault="005E7F45" w:rsidP="005E7F45">
      <w:pPr>
        <w:pStyle w:val="BodyText"/>
        <w:spacing w:line="360" w:lineRule="auto"/>
        <w:rPr>
          <w:lang w:val="en-AU"/>
        </w:rPr>
      </w:pPr>
      <w:r w:rsidRPr="005E7F45">
        <w:rPr>
          <w:lang w:val="en-AU"/>
        </w:rPr>
        <w:t>Yes. While supporting the reduction in interchange rates, restaurants and cafés believe the RBA should ensure that:</w:t>
      </w:r>
    </w:p>
    <w:p w14:paraId="3F182B5D" w14:textId="77777777" w:rsidR="005E7F45" w:rsidRPr="005E7F45" w:rsidRDefault="005E7F45" w:rsidP="005E7F45">
      <w:pPr>
        <w:pStyle w:val="BodyText"/>
        <w:numPr>
          <w:ilvl w:val="0"/>
          <w:numId w:val="12"/>
        </w:numPr>
        <w:spacing w:line="360" w:lineRule="auto"/>
        <w:rPr>
          <w:lang w:val="en-AU"/>
        </w:rPr>
      </w:pPr>
      <w:r w:rsidRPr="005E7F45">
        <w:rPr>
          <w:b/>
          <w:bCs/>
          <w:lang w:val="en-AU"/>
        </w:rPr>
        <w:t>Savings are passed through to merchants:</w:t>
      </w:r>
      <w:r w:rsidRPr="005E7F45">
        <w:rPr>
          <w:lang w:val="en-AU"/>
        </w:rPr>
        <w:t xml:space="preserve"> The RBA must implement transparency requirements and enforce PSP accountability to ensure any interchange fee reductions are fully passed through to restaurants and cafés in the form of lower merchant service fees.</w:t>
      </w:r>
    </w:p>
    <w:p w14:paraId="1D447224" w14:textId="31511F8E" w:rsidR="005E7F45" w:rsidRPr="005E7F45" w:rsidRDefault="005E7F45" w:rsidP="005E7F45">
      <w:pPr>
        <w:pStyle w:val="BodyText"/>
        <w:numPr>
          <w:ilvl w:val="0"/>
          <w:numId w:val="12"/>
        </w:numPr>
        <w:spacing w:line="360" w:lineRule="auto"/>
        <w:rPr>
          <w:lang w:val="en-AU"/>
        </w:rPr>
      </w:pPr>
      <w:r w:rsidRPr="005E7F45">
        <w:rPr>
          <w:b/>
          <w:bCs/>
          <w:lang w:val="en-AU"/>
        </w:rPr>
        <w:t xml:space="preserve">No anti-competitive </w:t>
      </w:r>
      <w:r w:rsidR="001E63BD" w:rsidRPr="005E7F45">
        <w:rPr>
          <w:b/>
          <w:bCs/>
          <w:lang w:val="en-AU"/>
        </w:rPr>
        <w:t>behaviour</w:t>
      </w:r>
      <w:r w:rsidRPr="005E7F45">
        <w:rPr>
          <w:b/>
          <w:bCs/>
          <w:lang w:val="en-AU"/>
        </w:rPr>
        <w:t xml:space="preserve"> by card schemes or large banks:</w:t>
      </w:r>
      <w:r w:rsidRPr="005E7F45">
        <w:rPr>
          <w:lang w:val="en-AU"/>
        </w:rPr>
        <w:t xml:space="preserve"> There should be strong monitoring for attempts to circumvent these changes through increased scheme fees, bundled pricing, or discriminatory treatment of small merchants.</w:t>
      </w:r>
    </w:p>
    <w:p w14:paraId="65DBA35F" w14:textId="77777777" w:rsidR="005E7F45" w:rsidRPr="005E7F45" w:rsidRDefault="005E7F45" w:rsidP="005E7F45">
      <w:pPr>
        <w:pStyle w:val="BodyText"/>
        <w:numPr>
          <w:ilvl w:val="0"/>
          <w:numId w:val="12"/>
        </w:numPr>
        <w:spacing w:line="360" w:lineRule="auto"/>
        <w:rPr>
          <w:lang w:val="en-AU"/>
        </w:rPr>
      </w:pPr>
      <w:r w:rsidRPr="005E7F45">
        <w:rPr>
          <w:b/>
          <w:bCs/>
          <w:lang w:val="en-AU"/>
        </w:rPr>
        <w:t>Support for least-cost routing (LCR):</w:t>
      </w:r>
      <w:r w:rsidRPr="005E7F45">
        <w:rPr>
          <w:lang w:val="en-AU"/>
        </w:rPr>
        <w:t xml:space="preserve"> Mandatory enablement of LCR for all card-present and card-not-present debit transactions should be fast-tracked, especially in hospitality, where margins are thin and contactless payments are high.</w:t>
      </w:r>
    </w:p>
    <w:p w14:paraId="36175A9D" w14:textId="77777777" w:rsidR="005E7F45" w:rsidRDefault="005E7F45" w:rsidP="005E7F45">
      <w:pPr>
        <w:pStyle w:val="BodyText"/>
        <w:numPr>
          <w:ilvl w:val="0"/>
          <w:numId w:val="12"/>
        </w:numPr>
        <w:spacing w:line="360" w:lineRule="auto"/>
        <w:rPr>
          <w:lang w:val="en-AU"/>
        </w:rPr>
      </w:pPr>
      <w:r w:rsidRPr="005E7F45">
        <w:rPr>
          <w:b/>
          <w:bCs/>
          <w:lang w:val="en-AU"/>
        </w:rPr>
        <w:t>Recognition of small merchant vulnerability:</w:t>
      </w:r>
      <w:r w:rsidRPr="005E7F45">
        <w:rPr>
          <w:lang w:val="en-AU"/>
        </w:rPr>
        <w:t xml:space="preserve"> The RBA should further explore ways to narrow the strategic rate gap and consider setting a floor on interchange rates offered to large merchants to stop undercutting and distortion of fair competition.</w:t>
      </w:r>
    </w:p>
    <w:p w14:paraId="14D86A8C" w14:textId="5D7CC389" w:rsidR="00BD5651" w:rsidRPr="00BD5651" w:rsidRDefault="00BD5651" w:rsidP="00BD5651">
      <w:pPr>
        <w:pStyle w:val="BodyText"/>
        <w:numPr>
          <w:ilvl w:val="0"/>
          <w:numId w:val="12"/>
        </w:numPr>
        <w:spacing w:line="360" w:lineRule="auto"/>
        <w:rPr>
          <w:lang w:val="en-AU"/>
        </w:rPr>
      </w:pPr>
      <w:r w:rsidRPr="00BD5651">
        <w:rPr>
          <w:b/>
          <w:bCs/>
          <w:lang w:val="en-AU"/>
        </w:rPr>
        <w:t>To ensure the benefits</w:t>
      </w:r>
      <w:r w:rsidRPr="009F5674">
        <w:rPr>
          <w:lang w:val="en-AU"/>
        </w:rPr>
        <w:t xml:space="preserve"> of interchange reform</w:t>
      </w:r>
      <w:r w:rsidRPr="00962059">
        <w:t xml:space="preserve"> </w:t>
      </w:r>
      <w:r w:rsidRPr="00962059">
        <w:rPr>
          <w:lang w:val="en-AU"/>
        </w:rPr>
        <w:t>regulation must be consistent (no bigger interchange for small banks)</w:t>
      </w:r>
      <w:r>
        <w:rPr>
          <w:lang w:val="en-AU"/>
        </w:rPr>
        <w:t xml:space="preserve"> &amp; </w:t>
      </w:r>
      <w:proofErr w:type="gramStart"/>
      <w:r w:rsidRPr="00962059">
        <w:rPr>
          <w:lang w:val="en-AU"/>
        </w:rPr>
        <w:t>duel</w:t>
      </w:r>
      <w:proofErr w:type="gramEnd"/>
      <w:r w:rsidRPr="00962059">
        <w:rPr>
          <w:lang w:val="en-AU"/>
        </w:rPr>
        <w:t xml:space="preserve"> network cards must re</w:t>
      </w:r>
      <w:r>
        <w:rPr>
          <w:lang w:val="en-AU"/>
        </w:rPr>
        <w:t>-</w:t>
      </w:r>
      <w:r w:rsidRPr="00962059">
        <w:rPr>
          <w:lang w:val="en-AU"/>
        </w:rPr>
        <w:t>mandated for all banks to enable least cost routing</w:t>
      </w:r>
      <w:r>
        <w:rPr>
          <w:lang w:val="en-AU"/>
        </w:rPr>
        <w:t xml:space="preserve">. </w:t>
      </w:r>
    </w:p>
    <w:p w14:paraId="38FC107A" w14:textId="77777777" w:rsidR="005E7F45" w:rsidRPr="005E7F45" w:rsidRDefault="00177925" w:rsidP="005E7F45">
      <w:pPr>
        <w:pStyle w:val="BodyText"/>
        <w:spacing w:after="100" w:afterAutospacing="1" w:line="360" w:lineRule="auto"/>
        <w:rPr>
          <w:lang w:val="en-AU"/>
        </w:rPr>
      </w:pPr>
      <w:r>
        <w:rPr>
          <w:lang w:val="en-AU"/>
        </w:rPr>
        <w:pict w14:anchorId="791E7AA2">
          <v:rect id="_x0000_i1038" style="width:0;height:1.5pt" o:hralign="center" o:hrstd="t" o:hr="t" fillcolor="#a0a0a0" stroked="f"/>
        </w:pict>
      </w:r>
    </w:p>
    <w:p w14:paraId="3910F130" w14:textId="77777777" w:rsidR="005E7F45" w:rsidRPr="005E7F45" w:rsidRDefault="005E7F45" w:rsidP="005E7F45">
      <w:pPr>
        <w:pStyle w:val="BodyText"/>
        <w:spacing w:line="360" w:lineRule="auto"/>
        <w:rPr>
          <w:lang w:val="en-AU"/>
        </w:rPr>
      </w:pPr>
      <w:r w:rsidRPr="005E7F45">
        <w:rPr>
          <w:b/>
          <w:bCs/>
          <w:lang w:val="en-AU"/>
        </w:rPr>
        <w:t>Q4: Do the proposed changes to the net compensation provisions effectively achieve the RBA’s objectives and promote the public interest? Will Australian issuers sponsored by overseas entities be able to comply with the changes?</w:t>
      </w:r>
    </w:p>
    <w:p w14:paraId="5A01823F" w14:textId="77777777" w:rsidR="005E7F45" w:rsidRPr="005E7F45" w:rsidRDefault="005E7F45" w:rsidP="005E7F45">
      <w:pPr>
        <w:pStyle w:val="BodyText"/>
        <w:spacing w:line="360" w:lineRule="auto"/>
        <w:rPr>
          <w:lang w:val="en-AU"/>
        </w:rPr>
      </w:pPr>
      <w:r w:rsidRPr="005E7F45">
        <w:rPr>
          <w:b/>
          <w:bCs/>
          <w:lang w:val="en-AU"/>
        </w:rPr>
        <w:t>Yes</w:t>
      </w:r>
      <w:r w:rsidRPr="005E7F45">
        <w:rPr>
          <w:lang w:val="en-AU"/>
        </w:rPr>
        <w:t>, the proposed changes to the net compensation provisions are a necessary and appropriate step to:</w:t>
      </w:r>
    </w:p>
    <w:p w14:paraId="06EE937E" w14:textId="77777777" w:rsidR="005E7F45" w:rsidRPr="005E7F45" w:rsidRDefault="005E7F45" w:rsidP="005E7F45">
      <w:pPr>
        <w:pStyle w:val="BodyText"/>
        <w:numPr>
          <w:ilvl w:val="0"/>
          <w:numId w:val="13"/>
        </w:numPr>
        <w:spacing w:line="360" w:lineRule="auto"/>
        <w:rPr>
          <w:lang w:val="en-AU"/>
        </w:rPr>
      </w:pPr>
      <w:r w:rsidRPr="005E7F45">
        <w:rPr>
          <w:b/>
          <w:bCs/>
          <w:lang w:val="en-AU"/>
        </w:rPr>
        <w:t>Close regulatory loopholes:</w:t>
      </w:r>
      <w:r w:rsidRPr="005E7F45">
        <w:rPr>
          <w:lang w:val="en-AU"/>
        </w:rPr>
        <w:t xml:space="preserve"> Restaurants and cafés support ensuring that all Australian issuers, including those sponsored by overseas entities, are subject to the same rules. This avoids regulatory arbitrage and protects the integrity of the system.</w:t>
      </w:r>
    </w:p>
    <w:p w14:paraId="099CEBC5" w14:textId="77777777" w:rsidR="005E7F45" w:rsidRPr="005E7F45" w:rsidRDefault="005E7F45" w:rsidP="005E7F45">
      <w:pPr>
        <w:pStyle w:val="BodyText"/>
        <w:numPr>
          <w:ilvl w:val="0"/>
          <w:numId w:val="13"/>
        </w:numPr>
        <w:spacing w:line="360" w:lineRule="auto"/>
        <w:rPr>
          <w:lang w:val="en-AU"/>
        </w:rPr>
      </w:pPr>
      <w:r w:rsidRPr="005E7F45">
        <w:rPr>
          <w:b/>
          <w:bCs/>
          <w:lang w:val="en-AU"/>
        </w:rPr>
        <w:t>Ensure competitive neutrality:</w:t>
      </w:r>
      <w:r w:rsidRPr="005E7F45">
        <w:rPr>
          <w:lang w:val="en-AU"/>
        </w:rPr>
        <w:t xml:space="preserve"> Equal treatment of all issuers—regardless of domicile—ensures a level playing field and discourages market manipulation that could ultimately increase costs for small businesses.</w:t>
      </w:r>
    </w:p>
    <w:p w14:paraId="640D915F" w14:textId="77777777" w:rsidR="005E7F45" w:rsidRPr="005E7F45" w:rsidRDefault="005E7F45" w:rsidP="005E7F45">
      <w:pPr>
        <w:pStyle w:val="BodyText"/>
        <w:numPr>
          <w:ilvl w:val="0"/>
          <w:numId w:val="13"/>
        </w:numPr>
        <w:spacing w:line="360" w:lineRule="auto"/>
        <w:rPr>
          <w:lang w:val="en-AU"/>
        </w:rPr>
      </w:pPr>
      <w:r w:rsidRPr="005E7F45">
        <w:rPr>
          <w:b/>
          <w:bCs/>
          <w:lang w:val="en-AU"/>
        </w:rPr>
        <w:t>Promote transparency and trust:</w:t>
      </w:r>
      <w:r w:rsidRPr="005E7F45">
        <w:rPr>
          <w:lang w:val="en-AU"/>
        </w:rPr>
        <w:t xml:space="preserve"> Broadening the scope of net compensation </w:t>
      </w:r>
      <w:r w:rsidRPr="005E7F45">
        <w:rPr>
          <w:lang w:val="en-AU"/>
        </w:rPr>
        <w:lastRenderedPageBreak/>
        <w:t>provisions builds confidence among merchants that interchange reforms cannot be undermined through side payments or indirect compensation mechanisms.</w:t>
      </w:r>
    </w:p>
    <w:p w14:paraId="778EDB2D" w14:textId="77777777" w:rsidR="005E7F45" w:rsidRPr="005E7F45" w:rsidRDefault="005E7F45" w:rsidP="005E7F45">
      <w:pPr>
        <w:pStyle w:val="BodyText"/>
        <w:numPr>
          <w:ilvl w:val="0"/>
          <w:numId w:val="13"/>
        </w:numPr>
        <w:spacing w:line="360" w:lineRule="auto"/>
        <w:rPr>
          <w:lang w:val="en-AU"/>
        </w:rPr>
      </w:pPr>
      <w:r w:rsidRPr="005E7F45">
        <w:rPr>
          <w:b/>
          <w:bCs/>
          <w:lang w:val="en-AU"/>
        </w:rPr>
        <w:t>Compliance feasibility:</w:t>
      </w:r>
      <w:r w:rsidRPr="005E7F45">
        <w:rPr>
          <w:lang w:val="en-AU"/>
        </w:rPr>
        <w:t xml:space="preserve"> The RBA notes that this regulatory gap is not currently being exploited and that the proposed changes reflect existing practice. Therefore, compliance should be achievable without disruption, particularly for well-governed institutions.</w:t>
      </w:r>
    </w:p>
    <w:p w14:paraId="3E7B3C3E" w14:textId="77777777" w:rsidR="005E7F45" w:rsidRPr="005E7F45" w:rsidRDefault="00177925" w:rsidP="005E7F45">
      <w:pPr>
        <w:pStyle w:val="BodyText"/>
        <w:spacing w:after="100" w:afterAutospacing="1" w:line="360" w:lineRule="auto"/>
        <w:rPr>
          <w:lang w:val="en-AU"/>
        </w:rPr>
      </w:pPr>
      <w:r>
        <w:rPr>
          <w:lang w:val="en-AU"/>
        </w:rPr>
        <w:pict w14:anchorId="215391F0">
          <v:rect id="_x0000_i1039" style="width:0;height:1.5pt" o:hralign="center" o:hrstd="t" o:hr="t" fillcolor="#a0a0a0" stroked="f"/>
        </w:pict>
      </w:r>
    </w:p>
    <w:p w14:paraId="18C2E9C6" w14:textId="77777777" w:rsidR="005E7F45" w:rsidRDefault="005E7F45" w:rsidP="005E7F45">
      <w:pPr>
        <w:pStyle w:val="BodyText"/>
        <w:spacing w:line="360" w:lineRule="auto"/>
        <w:rPr>
          <w:lang w:val="en-AU"/>
        </w:rPr>
      </w:pPr>
      <w:r w:rsidRPr="005E7F45">
        <w:rPr>
          <w:b/>
          <w:bCs/>
          <w:lang w:val="en-AU"/>
        </w:rPr>
        <w:t>Conclusion:</w:t>
      </w:r>
      <w:r w:rsidRPr="005E7F45">
        <w:rPr>
          <w:lang w:val="en-AU"/>
        </w:rPr>
        <w:br/>
        <w:t>Restaurants and cafés strongly support the RBA’s proposed reforms to reduce domestic and foreign interchange fees and amend net compensation rules. These reforms would deliver significant cost relief, reduce cross-subsidisation, and promote fairness in a payments system where small hospitality businesses have historically been disadvantaged.</w:t>
      </w:r>
    </w:p>
    <w:p w14:paraId="3DD8F352" w14:textId="77777777" w:rsidR="005E7F45" w:rsidRDefault="005E7F45" w:rsidP="005E7F45">
      <w:pPr>
        <w:pStyle w:val="BodyText"/>
        <w:spacing w:line="360" w:lineRule="auto"/>
        <w:rPr>
          <w:lang w:val="en-AU"/>
        </w:rPr>
      </w:pPr>
    </w:p>
    <w:p w14:paraId="5D6C1690" w14:textId="77777777" w:rsidR="006F776C" w:rsidRPr="006F776C" w:rsidRDefault="006F776C" w:rsidP="006F776C">
      <w:pPr>
        <w:pStyle w:val="BodyText"/>
        <w:spacing w:line="360" w:lineRule="auto"/>
        <w:rPr>
          <w:b/>
          <w:bCs/>
          <w:lang w:val="en-AU"/>
        </w:rPr>
      </w:pPr>
      <w:r w:rsidRPr="006F776C">
        <w:rPr>
          <w:b/>
          <w:bCs/>
          <w:lang w:val="en-AU"/>
        </w:rPr>
        <w:t>Q5: Does the proposal for card networks to publish aggregate wholesale fee data achieve the RBA’s objectives of improving competition and efficiency among the card networks? Does the proposal adequately balance the information needs of the market with commercial concerns?</w:t>
      </w:r>
    </w:p>
    <w:p w14:paraId="16AA809C" w14:textId="5B81A86D" w:rsidR="006F776C" w:rsidRPr="006F776C" w:rsidRDefault="006F776C" w:rsidP="006F776C">
      <w:pPr>
        <w:pStyle w:val="BodyText"/>
        <w:spacing w:line="360" w:lineRule="auto"/>
        <w:rPr>
          <w:lang w:val="en-AU"/>
        </w:rPr>
      </w:pPr>
      <w:r w:rsidRPr="006F776C">
        <w:rPr>
          <w:b/>
          <w:bCs/>
          <w:lang w:val="en-AU"/>
        </w:rPr>
        <w:t>Yes</w:t>
      </w:r>
      <w:r w:rsidR="00455C88">
        <w:rPr>
          <w:b/>
          <w:bCs/>
          <w:lang w:val="en-AU"/>
        </w:rPr>
        <w:t xml:space="preserve">, </w:t>
      </w:r>
      <w:r w:rsidR="003C135F">
        <w:rPr>
          <w:b/>
          <w:bCs/>
          <w:lang w:val="en-AU"/>
        </w:rPr>
        <w:t>but needs to be per segment, not just aggregated</w:t>
      </w:r>
      <w:r w:rsidRPr="006F776C">
        <w:rPr>
          <w:lang w:val="en-AU"/>
        </w:rPr>
        <w:t xml:space="preserve">—from the point of view of restaurants and cafés, the proposal strikes an appropriate balance and is a </w:t>
      </w:r>
      <w:r w:rsidRPr="006F776C">
        <w:rPr>
          <w:b/>
          <w:bCs/>
          <w:lang w:val="en-AU"/>
        </w:rPr>
        <w:t>critical step toward greater fairness and efficiency</w:t>
      </w:r>
      <w:r w:rsidRPr="006F776C">
        <w:rPr>
          <w:lang w:val="en-AU"/>
        </w:rPr>
        <w:t xml:space="preserve"> in the </w:t>
      </w:r>
      <w:proofErr w:type="gramStart"/>
      <w:r w:rsidRPr="006F776C">
        <w:rPr>
          <w:lang w:val="en-AU"/>
        </w:rPr>
        <w:t>payments</w:t>
      </w:r>
      <w:proofErr w:type="gramEnd"/>
      <w:r w:rsidRPr="006F776C">
        <w:rPr>
          <w:lang w:val="en-AU"/>
        </w:rPr>
        <w:t xml:space="preserve"> ecosystem.</w:t>
      </w:r>
    </w:p>
    <w:p w14:paraId="2614A289" w14:textId="4DD5D072" w:rsidR="006F776C" w:rsidRPr="006F776C" w:rsidRDefault="006F776C" w:rsidP="006F776C">
      <w:pPr>
        <w:pStyle w:val="BodyText"/>
        <w:numPr>
          <w:ilvl w:val="0"/>
          <w:numId w:val="14"/>
        </w:numPr>
        <w:spacing w:line="360" w:lineRule="auto"/>
        <w:rPr>
          <w:lang w:val="en-AU"/>
        </w:rPr>
      </w:pPr>
      <w:r w:rsidRPr="006F776C">
        <w:rPr>
          <w:b/>
          <w:bCs/>
          <w:lang w:val="en-AU"/>
        </w:rPr>
        <w:t>Improves merchant visibility:</w:t>
      </w:r>
      <w:r w:rsidRPr="006F776C">
        <w:rPr>
          <w:lang w:val="en-AU"/>
        </w:rPr>
        <w:t xml:space="preserve"> Many small hospitality businesses lack the financial expertise, negotiating leverage, or access to detailed pricing information to assess whether they’re getting a fair deal. The publication of </w:t>
      </w:r>
      <w:r w:rsidR="003C135F">
        <w:rPr>
          <w:lang w:val="en-AU"/>
        </w:rPr>
        <w:t>segmented</w:t>
      </w:r>
      <w:r w:rsidRPr="006F776C">
        <w:rPr>
          <w:lang w:val="en-AU"/>
        </w:rPr>
        <w:t xml:space="preserve"> interchange and scheme fee data, broken down by transaction type (card-present, card-not-present, mobile wallet, etc.), will allow restaurants and cafés to better understand the true costs of different payment types.</w:t>
      </w:r>
    </w:p>
    <w:p w14:paraId="00AC2EA6" w14:textId="3D4FBCFF" w:rsidR="006F776C" w:rsidRPr="006F776C" w:rsidRDefault="006F776C" w:rsidP="006F776C">
      <w:pPr>
        <w:pStyle w:val="BodyText"/>
        <w:numPr>
          <w:ilvl w:val="0"/>
          <w:numId w:val="14"/>
        </w:numPr>
        <w:spacing w:line="360" w:lineRule="auto"/>
        <w:rPr>
          <w:lang w:val="en-AU"/>
        </w:rPr>
      </w:pPr>
      <w:r w:rsidRPr="006F776C">
        <w:rPr>
          <w:b/>
          <w:bCs/>
          <w:lang w:val="en-AU"/>
        </w:rPr>
        <w:t>Supports cost reduction through comparison:</w:t>
      </w:r>
      <w:r w:rsidRPr="006F776C">
        <w:rPr>
          <w:lang w:val="en-AU"/>
        </w:rPr>
        <w:t xml:space="preserve"> </w:t>
      </w:r>
      <w:r w:rsidR="003C135F">
        <w:rPr>
          <w:lang w:val="en-AU"/>
        </w:rPr>
        <w:t>Segmented</w:t>
      </w:r>
      <w:r w:rsidRPr="006F776C">
        <w:rPr>
          <w:lang w:val="en-AU"/>
        </w:rPr>
        <w:t xml:space="preserve"> data would enable restaurants and cafés—especially through their PSPs or industry bodies—to compare costs across card networks and push for more competitive service offerings. This could encourage acquirers and PSPs to </w:t>
      </w:r>
      <w:r w:rsidR="00796223">
        <w:rPr>
          <w:lang w:val="en-AU"/>
        </w:rPr>
        <w:t xml:space="preserve">balance </w:t>
      </w:r>
      <w:r w:rsidRPr="006F776C">
        <w:rPr>
          <w:lang w:val="en-AU"/>
        </w:rPr>
        <w:t>bundled merchant service fees or enable smarter LCR implementation.</w:t>
      </w:r>
    </w:p>
    <w:p w14:paraId="688657B7" w14:textId="6A920F1A" w:rsidR="006F776C" w:rsidRPr="006F776C" w:rsidRDefault="006F776C" w:rsidP="006F776C">
      <w:pPr>
        <w:pStyle w:val="BodyText"/>
        <w:numPr>
          <w:ilvl w:val="0"/>
          <w:numId w:val="14"/>
        </w:numPr>
        <w:spacing w:line="360" w:lineRule="auto"/>
        <w:rPr>
          <w:lang w:val="en-AU"/>
        </w:rPr>
      </w:pPr>
      <w:r w:rsidRPr="006F776C">
        <w:rPr>
          <w:b/>
          <w:bCs/>
          <w:lang w:val="en-AU"/>
        </w:rPr>
        <w:t>Balances transparency and confidentiality:</w:t>
      </w:r>
      <w:r w:rsidRPr="006F776C">
        <w:rPr>
          <w:lang w:val="en-AU"/>
        </w:rPr>
        <w:t xml:space="preserve"> The level of aggregation proposed by the RBA </w:t>
      </w:r>
      <w:r w:rsidR="00483511">
        <w:rPr>
          <w:lang w:val="en-AU"/>
        </w:rPr>
        <w:t xml:space="preserve">may </w:t>
      </w:r>
      <w:r w:rsidRPr="006F776C">
        <w:rPr>
          <w:lang w:val="en-AU"/>
        </w:rPr>
        <w:t>protect commercially sensitive information while still providing meaningful insights for small businesses and industry associations</w:t>
      </w:r>
      <w:r w:rsidR="007467CD">
        <w:rPr>
          <w:lang w:val="en-AU"/>
        </w:rPr>
        <w:t xml:space="preserve">, though segmentation will be required for maximum </w:t>
      </w:r>
      <w:r w:rsidR="00483511">
        <w:rPr>
          <w:lang w:val="en-AU"/>
        </w:rPr>
        <w:t xml:space="preserve">data analysis opportunities. </w:t>
      </w:r>
      <w:r w:rsidRPr="006F776C">
        <w:rPr>
          <w:lang w:val="en-AU"/>
        </w:rPr>
        <w:t xml:space="preserve"> </w:t>
      </w:r>
      <w:r w:rsidR="00483511">
        <w:rPr>
          <w:lang w:val="en-AU"/>
        </w:rPr>
        <w:t xml:space="preserve">We </w:t>
      </w:r>
      <w:r w:rsidR="00483511">
        <w:rPr>
          <w:lang w:val="en-AU"/>
        </w:rPr>
        <w:lastRenderedPageBreak/>
        <w:t>recognize</w:t>
      </w:r>
      <w:r w:rsidRPr="006F776C">
        <w:rPr>
          <w:lang w:val="en-AU"/>
        </w:rPr>
        <w:t xml:space="preserve"> it avoids disclosing individual pricing arrangements that could raise anti-competitive risks or violate confidentiality agreements.</w:t>
      </w:r>
    </w:p>
    <w:p w14:paraId="04DFF747" w14:textId="77777777" w:rsidR="006F776C" w:rsidRPr="006F776C" w:rsidRDefault="006F776C" w:rsidP="006F776C">
      <w:pPr>
        <w:pStyle w:val="BodyText"/>
        <w:numPr>
          <w:ilvl w:val="0"/>
          <w:numId w:val="14"/>
        </w:numPr>
        <w:spacing w:line="360" w:lineRule="auto"/>
        <w:rPr>
          <w:lang w:val="en-AU"/>
        </w:rPr>
      </w:pPr>
      <w:r w:rsidRPr="006F776C">
        <w:rPr>
          <w:b/>
          <w:bCs/>
          <w:lang w:val="en-AU"/>
        </w:rPr>
        <w:t>Enhances advocacy and negotiation:</w:t>
      </w:r>
      <w:r w:rsidRPr="006F776C">
        <w:rPr>
          <w:lang w:val="en-AU"/>
        </w:rPr>
        <w:t xml:space="preserve"> With clearer data on wholesale fees, ARCA and other advocacy bodies will be better equipped to engage with banks, PSPs, and regulators on behalf of small businesses who are otherwise at a disadvantage in the market.</w:t>
      </w:r>
    </w:p>
    <w:p w14:paraId="1F1E1E09" w14:textId="2E9A738C" w:rsidR="006F776C" w:rsidRPr="006F776C" w:rsidRDefault="006F776C" w:rsidP="006F776C">
      <w:pPr>
        <w:pStyle w:val="BodyText"/>
        <w:spacing w:line="360" w:lineRule="auto"/>
        <w:rPr>
          <w:lang w:val="en-AU"/>
        </w:rPr>
      </w:pPr>
      <w:r w:rsidRPr="006F776C">
        <w:rPr>
          <w:lang w:val="en-AU"/>
        </w:rPr>
        <w:t xml:space="preserve">In summary, this proposal will </w:t>
      </w:r>
      <w:r w:rsidRPr="006F776C">
        <w:rPr>
          <w:b/>
          <w:bCs/>
          <w:lang w:val="en-AU"/>
        </w:rPr>
        <w:t>enhance price transparency, foster informed decision-making</w:t>
      </w:r>
      <w:r w:rsidRPr="006F776C">
        <w:rPr>
          <w:lang w:val="en-AU"/>
        </w:rPr>
        <w:t xml:space="preserve">, and help </w:t>
      </w:r>
      <w:r w:rsidRPr="006F776C">
        <w:rPr>
          <w:b/>
          <w:bCs/>
          <w:lang w:val="en-AU"/>
        </w:rPr>
        <w:t>reduce merchant costs in the long run</w:t>
      </w:r>
      <w:r w:rsidRPr="006F776C">
        <w:rPr>
          <w:lang w:val="en-AU"/>
        </w:rPr>
        <w:t>—especially for small hospitality businesses that have historically had limited visibility over their payment processing costs</w:t>
      </w:r>
      <w:r w:rsidR="00A667C9" w:rsidRPr="00A667C9">
        <w:rPr>
          <w:b/>
          <w:bCs/>
          <w:lang w:val="en-AU"/>
        </w:rPr>
        <w:t xml:space="preserve"> but could go further with segmentation</w:t>
      </w:r>
      <w:r w:rsidRPr="006F776C">
        <w:rPr>
          <w:lang w:val="en-AU"/>
        </w:rPr>
        <w:t>.</w:t>
      </w:r>
      <w:r w:rsidR="00FA6A79">
        <w:rPr>
          <w:lang w:val="en-AU"/>
        </w:rPr>
        <w:t xml:space="preserve"> </w:t>
      </w:r>
      <w:r w:rsidR="00FA6A79" w:rsidRPr="00FA6A79">
        <w:rPr>
          <w:lang w:val="en-AU"/>
        </w:rPr>
        <w:t>Without caps and clarity, opaque scheme fees can climb despite interchange cuts, pushing merchant COA back up.</w:t>
      </w:r>
    </w:p>
    <w:p w14:paraId="6172FE6F" w14:textId="77777777" w:rsidR="006F776C" w:rsidRPr="006F776C" w:rsidRDefault="00177925" w:rsidP="006F776C">
      <w:pPr>
        <w:pStyle w:val="BodyText"/>
        <w:spacing w:line="360" w:lineRule="auto"/>
        <w:rPr>
          <w:lang w:val="en-AU"/>
        </w:rPr>
      </w:pPr>
      <w:r>
        <w:rPr>
          <w:lang w:val="en-AU"/>
        </w:rPr>
        <w:pict w14:anchorId="0EBF56A8">
          <v:rect id="_x0000_i1040" style="width:0;height:1.5pt" o:hralign="center" o:hrstd="t" o:hr="t" fillcolor="#a0a0a0" stroked="f"/>
        </w:pict>
      </w:r>
    </w:p>
    <w:p w14:paraId="1397C6E3" w14:textId="77777777" w:rsidR="006F776C" w:rsidRPr="006F776C" w:rsidRDefault="006F776C" w:rsidP="006F776C">
      <w:pPr>
        <w:pStyle w:val="BodyText"/>
        <w:spacing w:line="360" w:lineRule="auto"/>
        <w:rPr>
          <w:b/>
          <w:bCs/>
          <w:lang w:val="en-AU"/>
        </w:rPr>
      </w:pPr>
      <w:r w:rsidRPr="006F776C">
        <w:rPr>
          <w:b/>
          <w:bCs/>
          <w:lang w:val="en-AU"/>
        </w:rPr>
        <w:t>Q6: Does the proposal for card networks to work with industry to reduce the complexity and improve the transparency of their scheme fee schedules enhance the competitiveness and efficiency of the card payments system?</w:t>
      </w:r>
    </w:p>
    <w:p w14:paraId="40B5AEC8" w14:textId="77777777" w:rsidR="006F776C" w:rsidRPr="006F776C" w:rsidRDefault="006F776C" w:rsidP="006F776C">
      <w:pPr>
        <w:pStyle w:val="BodyText"/>
        <w:spacing w:line="360" w:lineRule="auto"/>
        <w:rPr>
          <w:lang w:val="en-AU"/>
        </w:rPr>
      </w:pPr>
      <w:r w:rsidRPr="006F776C">
        <w:rPr>
          <w:b/>
          <w:bCs/>
          <w:lang w:val="en-AU"/>
        </w:rPr>
        <w:t>Yes</w:t>
      </w:r>
      <w:r w:rsidRPr="006F776C">
        <w:rPr>
          <w:lang w:val="en-AU"/>
        </w:rPr>
        <w:t xml:space="preserve">—this proposal directly addresses a long-standing concern of the restaurant and café sector: the </w:t>
      </w:r>
      <w:r w:rsidRPr="006F776C">
        <w:rPr>
          <w:b/>
          <w:bCs/>
          <w:lang w:val="en-AU"/>
        </w:rPr>
        <w:t>unmanageable complexity and lack of transparency in scheme fees</w:t>
      </w:r>
      <w:r w:rsidRPr="006F776C">
        <w:rPr>
          <w:lang w:val="en-AU"/>
        </w:rPr>
        <w:t>, which has led to confusion, overcharging, and an inability to optimise payment acceptance strategies.</w:t>
      </w:r>
    </w:p>
    <w:p w14:paraId="14FF10F7" w14:textId="77777777" w:rsidR="006F776C" w:rsidRPr="006F776C" w:rsidRDefault="006F776C" w:rsidP="006F776C">
      <w:pPr>
        <w:pStyle w:val="BodyText"/>
        <w:numPr>
          <w:ilvl w:val="0"/>
          <w:numId w:val="15"/>
        </w:numPr>
        <w:spacing w:line="360" w:lineRule="auto"/>
        <w:rPr>
          <w:lang w:val="en-AU"/>
        </w:rPr>
      </w:pPr>
      <w:r w:rsidRPr="006F776C">
        <w:rPr>
          <w:b/>
          <w:bCs/>
          <w:lang w:val="en-AU"/>
        </w:rPr>
        <w:t>Complexity disadvantages small merchants:</w:t>
      </w:r>
      <w:r w:rsidRPr="006F776C">
        <w:rPr>
          <w:lang w:val="en-AU"/>
        </w:rPr>
        <w:t xml:space="preserve"> Restaurants and cafés often operate on thin margins and do not have access to in-house financial or IT teams to decipher hundreds of </w:t>
      </w:r>
      <w:proofErr w:type="gramStart"/>
      <w:r w:rsidRPr="006F776C">
        <w:rPr>
          <w:lang w:val="en-AU"/>
        </w:rPr>
        <w:t>obscure</w:t>
      </w:r>
      <w:proofErr w:type="gramEnd"/>
      <w:r w:rsidRPr="006F776C">
        <w:rPr>
          <w:lang w:val="en-AU"/>
        </w:rPr>
        <w:t xml:space="preserve"> and changing scheme fee categories. This makes it nearly impossible to determine what fees they’re paying—and why—especially under flat-rate or bundled pricing models.</w:t>
      </w:r>
    </w:p>
    <w:p w14:paraId="183A9333" w14:textId="77777777" w:rsidR="006F776C" w:rsidRPr="006F776C" w:rsidRDefault="006F776C" w:rsidP="006F776C">
      <w:pPr>
        <w:pStyle w:val="BodyText"/>
        <w:numPr>
          <w:ilvl w:val="0"/>
          <w:numId w:val="15"/>
        </w:numPr>
        <w:spacing w:line="360" w:lineRule="auto"/>
        <w:rPr>
          <w:lang w:val="en-AU"/>
        </w:rPr>
      </w:pPr>
      <w:r w:rsidRPr="006F776C">
        <w:rPr>
          <w:b/>
          <w:bCs/>
          <w:lang w:val="en-AU"/>
        </w:rPr>
        <w:t>Barrier to least-cost routing (LCR):</w:t>
      </w:r>
      <w:r w:rsidRPr="006F776C">
        <w:rPr>
          <w:lang w:val="en-AU"/>
        </w:rPr>
        <w:t xml:space="preserve"> The current complexity of scheme fee schedules directly hinders the implementation of effective LCR, as PSPs struggle to determine which network or transaction method is truly lowest-cost in real time. A more transparent and simplified scheme fee structure would empower both PSPs and merchants to optimise routing and reduce costs.</w:t>
      </w:r>
    </w:p>
    <w:p w14:paraId="1A2DB93C" w14:textId="77777777" w:rsidR="006F776C" w:rsidRPr="006F776C" w:rsidRDefault="006F776C" w:rsidP="006F776C">
      <w:pPr>
        <w:pStyle w:val="BodyText"/>
        <w:numPr>
          <w:ilvl w:val="0"/>
          <w:numId w:val="15"/>
        </w:numPr>
        <w:spacing w:line="360" w:lineRule="auto"/>
        <w:rPr>
          <w:lang w:val="en-AU"/>
        </w:rPr>
      </w:pPr>
      <w:r w:rsidRPr="006F776C">
        <w:rPr>
          <w:b/>
          <w:bCs/>
          <w:lang w:val="en-AU"/>
        </w:rPr>
        <w:t>Mandated collaboration is essential:</w:t>
      </w:r>
      <w:r w:rsidRPr="006F776C">
        <w:rPr>
          <w:lang w:val="en-AU"/>
        </w:rPr>
        <w:t xml:space="preserve"> While voluntary cooperation is welcome, experience in the hospitality industry suggests that without regulatory expectation and clear timelines, meaningful change may not occur. Requiring card networks to submit actionable plans, engage directly with PSPs, and report measurable progress by September 2026 is necessary to drive real outcomes.</w:t>
      </w:r>
    </w:p>
    <w:p w14:paraId="672804FE" w14:textId="77777777" w:rsidR="006F776C" w:rsidRPr="006F776C" w:rsidRDefault="006F776C" w:rsidP="006F776C">
      <w:pPr>
        <w:pStyle w:val="BodyText"/>
        <w:numPr>
          <w:ilvl w:val="0"/>
          <w:numId w:val="15"/>
        </w:numPr>
        <w:spacing w:line="360" w:lineRule="auto"/>
        <w:rPr>
          <w:lang w:val="en-AU"/>
        </w:rPr>
      </w:pPr>
      <w:r w:rsidRPr="006F776C">
        <w:rPr>
          <w:b/>
          <w:bCs/>
          <w:lang w:val="en-AU"/>
        </w:rPr>
        <w:t>Improves competitive dynamics:</w:t>
      </w:r>
      <w:r w:rsidRPr="006F776C">
        <w:rPr>
          <w:lang w:val="en-AU"/>
        </w:rPr>
        <w:t xml:space="preserve"> By simplifying fee structures and clarifying which fees are mandatory versus optional, the proposal would </w:t>
      </w:r>
      <w:r w:rsidRPr="006F776C">
        <w:rPr>
          <w:b/>
          <w:bCs/>
          <w:lang w:val="en-AU"/>
        </w:rPr>
        <w:t xml:space="preserve">increase competition </w:t>
      </w:r>
      <w:r w:rsidRPr="006F776C">
        <w:rPr>
          <w:b/>
          <w:bCs/>
          <w:lang w:val="en-AU"/>
        </w:rPr>
        <w:lastRenderedPageBreak/>
        <w:t>among card schemes</w:t>
      </w:r>
      <w:r w:rsidRPr="006F776C">
        <w:rPr>
          <w:lang w:val="en-AU"/>
        </w:rPr>
        <w:t>, enabling PSPs to offer more tailored, transparent pricing to small merchants, who currently have little bargaining power or clarity.</w:t>
      </w:r>
    </w:p>
    <w:p w14:paraId="05546815" w14:textId="77777777" w:rsidR="006F776C" w:rsidRDefault="006F776C" w:rsidP="006F776C">
      <w:pPr>
        <w:pStyle w:val="BodyText"/>
        <w:spacing w:line="360" w:lineRule="auto"/>
        <w:rPr>
          <w:lang w:val="en-AU"/>
        </w:rPr>
      </w:pPr>
      <w:r w:rsidRPr="006F776C">
        <w:rPr>
          <w:lang w:val="en-AU"/>
        </w:rPr>
        <w:t xml:space="preserve">In conclusion, this proposal would </w:t>
      </w:r>
      <w:r w:rsidRPr="006F776C">
        <w:rPr>
          <w:b/>
          <w:bCs/>
          <w:lang w:val="en-AU"/>
        </w:rPr>
        <w:t>empower restaurants and cafés with clearer, fairer, and more predictable fee structures</w:t>
      </w:r>
      <w:r w:rsidRPr="006F776C">
        <w:rPr>
          <w:lang w:val="en-AU"/>
        </w:rPr>
        <w:t xml:space="preserve">, and </w:t>
      </w:r>
      <w:r w:rsidRPr="006F776C">
        <w:rPr>
          <w:b/>
          <w:bCs/>
          <w:lang w:val="en-AU"/>
        </w:rPr>
        <w:t>help break the information asymmetry</w:t>
      </w:r>
      <w:r w:rsidRPr="006F776C">
        <w:rPr>
          <w:lang w:val="en-AU"/>
        </w:rPr>
        <w:t xml:space="preserve"> that has long disadvantaged small hospitality businesses in their relationships with PSPs and card schemes.</w:t>
      </w:r>
    </w:p>
    <w:p w14:paraId="06CFBEF3" w14:textId="77777777" w:rsidR="006F776C" w:rsidRDefault="006F776C" w:rsidP="006F776C">
      <w:pPr>
        <w:pStyle w:val="BodyText"/>
        <w:spacing w:line="360" w:lineRule="auto"/>
        <w:rPr>
          <w:lang w:val="en-AU"/>
        </w:rPr>
      </w:pPr>
    </w:p>
    <w:p w14:paraId="23785EC6" w14:textId="77777777" w:rsidR="006C45E3" w:rsidRPr="006C45E3" w:rsidRDefault="006C45E3" w:rsidP="006C45E3">
      <w:pPr>
        <w:pStyle w:val="BodyText"/>
        <w:spacing w:line="360" w:lineRule="auto"/>
        <w:rPr>
          <w:lang w:val="en-AU"/>
        </w:rPr>
      </w:pPr>
      <w:r w:rsidRPr="006C45E3">
        <w:rPr>
          <w:b/>
          <w:bCs/>
          <w:lang w:val="en-AU"/>
        </w:rPr>
        <w:t>Q7: Does the proposed expectation on scheme fees achieve the RBA’s objectives of competition and efficiency in the payments system?</w:t>
      </w:r>
    </w:p>
    <w:p w14:paraId="5BD89E6E" w14:textId="77777777" w:rsidR="006C45E3" w:rsidRPr="006C45E3" w:rsidRDefault="006C45E3" w:rsidP="006C45E3">
      <w:pPr>
        <w:pStyle w:val="BodyText"/>
        <w:spacing w:line="360" w:lineRule="auto"/>
        <w:rPr>
          <w:lang w:val="en-AU"/>
        </w:rPr>
      </w:pPr>
      <w:r w:rsidRPr="006C45E3">
        <w:rPr>
          <w:b/>
          <w:bCs/>
          <w:lang w:val="en-AU"/>
        </w:rPr>
        <w:t>Partially</w:t>
      </w:r>
      <w:r w:rsidRPr="006C45E3">
        <w:rPr>
          <w:lang w:val="en-AU"/>
        </w:rPr>
        <w:t xml:space="preserve"> — from the perspective of restaurants and cafés, the proposal to set an expectation that scheme fees should not rise without clear explanation is a positive first step, but </w:t>
      </w:r>
      <w:r w:rsidRPr="006C45E3">
        <w:rPr>
          <w:b/>
          <w:bCs/>
          <w:lang w:val="en-AU"/>
        </w:rPr>
        <w:t>on its own, it is unlikely to deliver the competitive pressure or cost relief needed</w:t>
      </w:r>
      <w:r w:rsidRPr="006C45E3">
        <w:rPr>
          <w:lang w:val="en-AU"/>
        </w:rPr>
        <w:t xml:space="preserve"> for small hospitality businesses.</w:t>
      </w:r>
    </w:p>
    <w:p w14:paraId="2042CD43" w14:textId="53992A9E" w:rsidR="006C45E3" w:rsidRPr="006C45E3" w:rsidRDefault="006C45E3" w:rsidP="006C45E3">
      <w:pPr>
        <w:pStyle w:val="BodyText"/>
        <w:numPr>
          <w:ilvl w:val="0"/>
          <w:numId w:val="18"/>
        </w:numPr>
        <w:spacing w:line="360" w:lineRule="auto"/>
        <w:rPr>
          <w:lang w:val="en-AU"/>
        </w:rPr>
      </w:pPr>
      <w:r w:rsidRPr="006C45E3">
        <w:rPr>
          <w:b/>
          <w:bCs/>
          <w:lang w:val="en-AU"/>
        </w:rPr>
        <w:t xml:space="preserve">Transparency </w:t>
      </w:r>
      <w:r w:rsidR="00CD1CEC" w:rsidRPr="006C45E3">
        <w:rPr>
          <w:b/>
          <w:bCs/>
          <w:lang w:val="en-AU"/>
        </w:rPr>
        <w:t>helps but</w:t>
      </w:r>
      <w:r w:rsidRPr="006C45E3">
        <w:rPr>
          <w:b/>
          <w:bCs/>
          <w:lang w:val="en-AU"/>
        </w:rPr>
        <w:t xml:space="preserve"> doesn’t guarantee lower costs:</w:t>
      </w:r>
      <w:r w:rsidRPr="006C45E3">
        <w:rPr>
          <w:lang w:val="en-AU"/>
        </w:rPr>
        <w:t xml:space="preserve"> Requiring card networks to justify fee increases will make it easier for PSPs, merchant groups, and industry bodies like ARCA to scrutinise and challenge unjustified rises. However, it does not create a binding limit, so the competitive and efficiency benefits may be limited if networks simply provide generic or technical explanations.</w:t>
      </w:r>
    </w:p>
    <w:p w14:paraId="3DC93B03" w14:textId="77777777" w:rsidR="006C45E3" w:rsidRPr="006C45E3" w:rsidRDefault="006C45E3" w:rsidP="006C45E3">
      <w:pPr>
        <w:pStyle w:val="BodyText"/>
        <w:numPr>
          <w:ilvl w:val="0"/>
          <w:numId w:val="18"/>
        </w:numPr>
        <w:spacing w:line="360" w:lineRule="auto"/>
        <w:rPr>
          <w:lang w:val="en-AU"/>
        </w:rPr>
      </w:pPr>
      <w:r w:rsidRPr="006C45E3">
        <w:rPr>
          <w:b/>
          <w:bCs/>
          <w:lang w:val="en-AU"/>
        </w:rPr>
        <w:t>Hospitality sector vulnerability:</w:t>
      </w:r>
      <w:r w:rsidRPr="006C45E3">
        <w:rPr>
          <w:lang w:val="en-AU"/>
        </w:rPr>
        <w:t xml:space="preserve"> Restaurants and cafés typically have high transaction volumes, a large share of low-value card-present payments, and thin margins. Even small scheme fee increases have a disproportionate impact on profitability, so relying on “expectations” without enforcement leaves the sector exposed.</w:t>
      </w:r>
    </w:p>
    <w:p w14:paraId="6BE9BA5A" w14:textId="77777777" w:rsidR="006C45E3" w:rsidRPr="006C45E3" w:rsidRDefault="006C45E3" w:rsidP="006C45E3">
      <w:pPr>
        <w:pStyle w:val="BodyText"/>
        <w:numPr>
          <w:ilvl w:val="0"/>
          <w:numId w:val="18"/>
        </w:numPr>
        <w:spacing w:line="360" w:lineRule="auto"/>
        <w:rPr>
          <w:lang w:val="en-AU"/>
        </w:rPr>
      </w:pPr>
      <w:r w:rsidRPr="006C45E3">
        <w:rPr>
          <w:b/>
          <w:bCs/>
          <w:lang w:val="en-AU"/>
        </w:rPr>
        <w:t>Need for competitive tension in credit market:</w:t>
      </w:r>
      <w:r w:rsidRPr="006C45E3">
        <w:rPr>
          <w:lang w:val="en-AU"/>
        </w:rPr>
        <w:t xml:space="preserve"> Unlike debit cards, the absence of Least Cost Routing (LCR) in the credit card market means restaurants and cafés have no routing option to avoid higher-cost schemes, reducing the competitive pressure to contain scheme fees.</w:t>
      </w:r>
    </w:p>
    <w:p w14:paraId="009F0DDA" w14:textId="7C8FE0D2" w:rsidR="006C45E3" w:rsidRPr="006C45E3" w:rsidRDefault="006C45E3" w:rsidP="006C45E3">
      <w:pPr>
        <w:pStyle w:val="BodyText"/>
        <w:spacing w:line="360" w:lineRule="auto"/>
        <w:rPr>
          <w:lang w:val="en-AU"/>
        </w:rPr>
      </w:pPr>
      <w:r w:rsidRPr="006C45E3">
        <w:rPr>
          <w:lang w:val="en-AU"/>
        </w:rPr>
        <w:t xml:space="preserve">While the proposal supports the RBA’s objective of transparency and scrutiny, </w:t>
      </w:r>
      <w:r w:rsidRPr="006C45E3">
        <w:rPr>
          <w:b/>
          <w:bCs/>
          <w:lang w:val="en-AU"/>
        </w:rPr>
        <w:t>it would be more effective if paired with stronger enforcement mechanisms</w:t>
      </w:r>
      <w:r w:rsidRPr="006C45E3">
        <w:rPr>
          <w:lang w:val="en-AU"/>
        </w:rPr>
        <w:t xml:space="preserve"> or a clear pathway to caps or competitive reforms should fee growth remain excessive.</w:t>
      </w:r>
      <w:r w:rsidR="00E432B8">
        <w:rPr>
          <w:lang w:val="en-AU"/>
        </w:rPr>
        <w:t xml:space="preserve"> </w:t>
      </w:r>
      <w:r w:rsidR="00E432B8" w:rsidRPr="00E432B8">
        <w:rPr>
          <w:lang w:val="en-AU"/>
        </w:rPr>
        <w:t>Expectations alone are not binding; add a comply or explain trigger if scheme fee growth outpaces expectations.</w:t>
      </w:r>
    </w:p>
    <w:p w14:paraId="70E3211C" w14:textId="77777777" w:rsidR="006C45E3" w:rsidRPr="006C45E3" w:rsidRDefault="00177925" w:rsidP="006C45E3">
      <w:pPr>
        <w:pStyle w:val="BodyText"/>
        <w:spacing w:line="360" w:lineRule="auto"/>
        <w:rPr>
          <w:lang w:val="en-AU"/>
        </w:rPr>
      </w:pPr>
      <w:r>
        <w:rPr>
          <w:lang w:val="en-AU"/>
        </w:rPr>
        <w:pict w14:anchorId="39699B52">
          <v:rect id="_x0000_i1041" style="width:0;height:1.5pt" o:hralign="center" o:hrstd="t" o:hr="t" fillcolor="#a0a0a0" stroked="f"/>
        </w:pict>
      </w:r>
    </w:p>
    <w:p w14:paraId="547A22DD" w14:textId="77777777" w:rsidR="006C45E3" w:rsidRPr="006C45E3" w:rsidRDefault="006C45E3" w:rsidP="006C45E3">
      <w:pPr>
        <w:pStyle w:val="BodyText"/>
        <w:spacing w:line="360" w:lineRule="auto"/>
        <w:rPr>
          <w:lang w:val="en-AU"/>
        </w:rPr>
      </w:pPr>
      <w:r w:rsidRPr="006C45E3">
        <w:rPr>
          <w:b/>
          <w:bCs/>
          <w:lang w:val="en-AU"/>
        </w:rPr>
        <w:t>Q8: Should the PSB consider further regulatory measures on scheme fees?</w:t>
      </w:r>
    </w:p>
    <w:p w14:paraId="6C9848AE" w14:textId="77777777" w:rsidR="006C45E3" w:rsidRPr="006C45E3" w:rsidRDefault="006C45E3" w:rsidP="006C45E3">
      <w:pPr>
        <w:pStyle w:val="BodyText"/>
        <w:spacing w:line="360" w:lineRule="auto"/>
        <w:rPr>
          <w:lang w:val="en-AU"/>
        </w:rPr>
      </w:pPr>
      <w:r w:rsidRPr="006C45E3">
        <w:rPr>
          <w:b/>
          <w:bCs/>
          <w:lang w:val="en-AU"/>
        </w:rPr>
        <w:t>Yes</w:t>
      </w:r>
      <w:r w:rsidRPr="006C45E3">
        <w:rPr>
          <w:lang w:val="en-AU"/>
        </w:rPr>
        <w:t xml:space="preserve"> — further regulatory measures should remain firmly on the table to protect small merchants, particularly in markets with low competitive tension. The following measures would be most relevant to the hospitality sector:</w:t>
      </w:r>
    </w:p>
    <w:p w14:paraId="29293798" w14:textId="77777777" w:rsidR="006C45E3" w:rsidRPr="006C45E3" w:rsidRDefault="006C45E3" w:rsidP="006C45E3">
      <w:pPr>
        <w:pStyle w:val="BodyText"/>
        <w:numPr>
          <w:ilvl w:val="0"/>
          <w:numId w:val="19"/>
        </w:numPr>
        <w:spacing w:line="360" w:lineRule="auto"/>
        <w:rPr>
          <w:lang w:val="en-AU"/>
        </w:rPr>
      </w:pPr>
      <w:r w:rsidRPr="006C45E3">
        <w:rPr>
          <w:b/>
          <w:bCs/>
          <w:lang w:val="en-AU"/>
        </w:rPr>
        <w:lastRenderedPageBreak/>
        <w:t>Regulatory caps on scheme fees</w:t>
      </w:r>
    </w:p>
    <w:p w14:paraId="2D4689C7" w14:textId="77777777" w:rsidR="006C45E3" w:rsidRPr="006C45E3" w:rsidRDefault="006C45E3" w:rsidP="006C45E3">
      <w:pPr>
        <w:pStyle w:val="BodyText"/>
        <w:numPr>
          <w:ilvl w:val="1"/>
          <w:numId w:val="19"/>
        </w:numPr>
        <w:spacing w:line="360" w:lineRule="auto"/>
        <w:rPr>
          <w:lang w:val="en-AU"/>
        </w:rPr>
      </w:pPr>
      <w:r w:rsidRPr="006C45E3">
        <w:rPr>
          <w:lang w:val="en-AU"/>
        </w:rPr>
        <w:t>If scheme fees continue to grow faster than transaction values, caps should be considered, particularly in the credit card market and for international transactions.</w:t>
      </w:r>
    </w:p>
    <w:p w14:paraId="06205CAE" w14:textId="77777777" w:rsidR="006C45E3" w:rsidRPr="006C45E3" w:rsidRDefault="006C45E3" w:rsidP="006C45E3">
      <w:pPr>
        <w:pStyle w:val="BodyText"/>
        <w:numPr>
          <w:ilvl w:val="1"/>
          <w:numId w:val="19"/>
        </w:numPr>
        <w:spacing w:line="360" w:lineRule="auto"/>
        <w:rPr>
          <w:lang w:val="en-AU"/>
        </w:rPr>
      </w:pPr>
      <w:r w:rsidRPr="006C45E3">
        <w:rPr>
          <w:lang w:val="en-AU"/>
        </w:rPr>
        <w:t>Caps would provide certainty for small businesses and prevent hidden, compounding increases that merchants cannot negotiate away.</w:t>
      </w:r>
    </w:p>
    <w:p w14:paraId="22903A55" w14:textId="77777777" w:rsidR="006C45E3" w:rsidRPr="006C45E3" w:rsidRDefault="006C45E3" w:rsidP="006C45E3">
      <w:pPr>
        <w:pStyle w:val="BodyText"/>
        <w:numPr>
          <w:ilvl w:val="0"/>
          <w:numId w:val="19"/>
        </w:numPr>
        <w:spacing w:line="360" w:lineRule="auto"/>
        <w:rPr>
          <w:lang w:val="en-AU"/>
        </w:rPr>
      </w:pPr>
      <w:r w:rsidRPr="006C45E3">
        <w:rPr>
          <w:b/>
          <w:bCs/>
          <w:lang w:val="en-AU"/>
        </w:rPr>
        <w:t>Mandating dual-network credit cards and enabling LCR for credit</w:t>
      </w:r>
    </w:p>
    <w:p w14:paraId="121A8E6C" w14:textId="77777777" w:rsidR="006C45E3" w:rsidRPr="006C45E3" w:rsidRDefault="006C45E3" w:rsidP="006C45E3">
      <w:pPr>
        <w:pStyle w:val="BodyText"/>
        <w:numPr>
          <w:ilvl w:val="1"/>
          <w:numId w:val="19"/>
        </w:numPr>
        <w:spacing w:line="360" w:lineRule="auto"/>
        <w:rPr>
          <w:lang w:val="en-AU"/>
        </w:rPr>
      </w:pPr>
      <w:r w:rsidRPr="006C45E3">
        <w:rPr>
          <w:lang w:val="en-AU"/>
        </w:rPr>
        <w:t>Extending LCR to credit card transactions would introduce competitive pressure on scheme fees in a market where restaurants and cafés currently have no choice of routing.</w:t>
      </w:r>
    </w:p>
    <w:p w14:paraId="1FD679E9" w14:textId="77777777" w:rsidR="006C45E3" w:rsidRPr="006C45E3" w:rsidRDefault="006C45E3" w:rsidP="006C45E3">
      <w:pPr>
        <w:pStyle w:val="BodyText"/>
        <w:numPr>
          <w:ilvl w:val="1"/>
          <w:numId w:val="19"/>
        </w:numPr>
        <w:spacing w:line="360" w:lineRule="auto"/>
        <w:rPr>
          <w:lang w:val="en-AU"/>
        </w:rPr>
      </w:pPr>
      <w:r w:rsidRPr="006C45E3">
        <w:rPr>
          <w:lang w:val="en-AU"/>
        </w:rPr>
        <w:t>Dual-network credit cards would create real alternatives, forcing networks to compete on cost and service.</w:t>
      </w:r>
    </w:p>
    <w:p w14:paraId="020FADB9" w14:textId="77777777" w:rsidR="006C45E3" w:rsidRPr="006C45E3" w:rsidRDefault="006C45E3" w:rsidP="006C45E3">
      <w:pPr>
        <w:pStyle w:val="BodyText"/>
        <w:numPr>
          <w:ilvl w:val="0"/>
          <w:numId w:val="19"/>
        </w:numPr>
        <w:spacing w:line="360" w:lineRule="auto"/>
        <w:rPr>
          <w:lang w:val="en-AU"/>
        </w:rPr>
      </w:pPr>
      <w:r w:rsidRPr="006C45E3">
        <w:rPr>
          <w:b/>
          <w:bCs/>
          <w:lang w:val="en-AU"/>
        </w:rPr>
        <w:t>Public reporting of average scheme fees by network and transaction type</w:t>
      </w:r>
    </w:p>
    <w:p w14:paraId="2E885006" w14:textId="77777777" w:rsidR="006C45E3" w:rsidRPr="006C45E3" w:rsidRDefault="006C45E3" w:rsidP="006C45E3">
      <w:pPr>
        <w:pStyle w:val="BodyText"/>
        <w:numPr>
          <w:ilvl w:val="1"/>
          <w:numId w:val="19"/>
        </w:numPr>
        <w:spacing w:line="360" w:lineRule="auto"/>
        <w:rPr>
          <w:lang w:val="en-AU"/>
        </w:rPr>
      </w:pPr>
      <w:r w:rsidRPr="006C45E3">
        <w:rPr>
          <w:lang w:val="en-AU"/>
        </w:rPr>
        <w:t>Coupling caps or competitive reforms with transparent reporting would empower merchants and their representatives to monitor and advocate for fairer pricing.</w:t>
      </w:r>
    </w:p>
    <w:p w14:paraId="3E72CA67" w14:textId="77777777" w:rsidR="006C45E3" w:rsidRPr="006C45E3" w:rsidRDefault="006C45E3" w:rsidP="006C45E3">
      <w:pPr>
        <w:pStyle w:val="BodyText"/>
        <w:numPr>
          <w:ilvl w:val="0"/>
          <w:numId w:val="19"/>
        </w:numPr>
        <w:spacing w:line="360" w:lineRule="auto"/>
        <w:rPr>
          <w:lang w:val="en-AU"/>
        </w:rPr>
      </w:pPr>
      <w:r w:rsidRPr="006C45E3">
        <w:rPr>
          <w:b/>
          <w:bCs/>
          <w:lang w:val="en-AU"/>
        </w:rPr>
        <w:t>Stronger pass-through obligations</w:t>
      </w:r>
    </w:p>
    <w:p w14:paraId="54CBA231" w14:textId="77777777" w:rsidR="006C45E3" w:rsidRPr="006C45E3" w:rsidRDefault="006C45E3" w:rsidP="006C45E3">
      <w:pPr>
        <w:pStyle w:val="BodyText"/>
        <w:numPr>
          <w:ilvl w:val="1"/>
          <w:numId w:val="19"/>
        </w:numPr>
        <w:spacing w:line="360" w:lineRule="auto"/>
        <w:rPr>
          <w:lang w:val="en-AU"/>
        </w:rPr>
      </w:pPr>
      <w:r w:rsidRPr="006C45E3">
        <w:rPr>
          <w:lang w:val="en-AU"/>
        </w:rPr>
        <w:t>Any reduction or restraint in scheme fees must be passed on to merchants in full by PSPs to ensure benefits are realised at the small business level.</w:t>
      </w:r>
    </w:p>
    <w:p w14:paraId="231A044D" w14:textId="77777777" w:rsidR="006C45E3" w:rsidRPr="006C45E3" w:rsidRDefault="006C45E3" w:rsidP="006C45E3">
      <w:pPr>
        <w:pStyle w:val="BodyText"/>
        <w:spacing w:line="360" w:lineRule="auto"/>
        <w:rPr>
          <w:lang w:val="en-AU"/>
        </w:rPr>
      </w:pPr>
      <w:r w:rsidRPr="006C45E3">
        <w:rPr>
          <w:b/>
          <w:bCs/>
          <w:lang w:val="en-AU"/>
        </w:rPr>
        <w:t>In summary:</w:t>
      </w:r>
      <w:r w:rsidRPr="006C45E3">
        <w:rPr>
          <w:lang w:val="en-AU"/>
        </w:rPr>
        <w:br/>
        <w:t xml:space="preserve">The proposed expectation is welcome but </w:t>
      </w:r>
      <w:r w:rsidRPr="006C45E3">
        <w:rPr>
          <w:b/>
          <w:bCs/>
          <w:lang w:val="en-AU"/>
        </w:rPr>
        <w:t>insufficient on its own</w:t>
      </w:r>
      <w:r w:rsidRPr="006C45E3">
        <w:rPr>
          <w:lang w:val="en-AU"/>
        </w:rPr>
        <w:t xml:space="preserve">. Restaurants and cafés recommend that the PSB prepare to escalate to </w:t>
      </w:r>
      <w:r w:rsidRPr="006C45E3">
        <w:rPr>
          <w:b/>
          <w:bCs/>
          <w:lang w:val="en-AU"/>
        </w:rPr>
        <w:t>caps, credit card LCR, and dual-network mandates</w:t>
      </w:r>
      <w:r w:rsidRPr="006C45E3">
        <w:rPr>
          <w:lang w:val="en-AU"/>
        </w:rPr>
        <w:t xml:space="preserve"> if scheme fees do not stabilise relative to transaction values within a set review period. Without these tools, the sector risks continued upward pressure on payment costs, undermining competition and efficiency in the system.</w:t>
      </w:r>
    </w:p>
    <w:p w14:paraId="03595FE4" w14:textId="77777777" w:rsidR="006C45E3" w:rsidRPr="006F776C" w:rsidRDefault="006C45E3" w:rsidP="006F776C">
      <w:pPr>
        <w:pStyle w:val="BodyText"/>
        <w:spacing w:line="360" w:lineRule="auto"/>
        <w:rPr>
          <w:lang w:val="en-AU"/>
        </w:rPr>
      </w:pPr>
    </w:p>
    <w:p w14:paraId="32F7B989" w14:textId="77777777" w:rsidR="005E7F45" w:rsidRPr="005E7F45" w:rsidRDefault="005E7F45" w:rsidP="005E7F45">
      <w:pPr>
        <w:pStyle w:val="BodyText"/>
        <w:spacing w:line="360" w:lineRule="auto"/>
        <w:rPr>
          <w:lang w:val="en-AU"/>
        </w:rPr>
      </w:pPr>
    </w:p>
    <w:p w14:paraId="78FFF90C" w14:textId="77777777" w:rsidR="005076E5" w:rsidRPr="005076E5" w:rsidRDefault="005076E5" w:rsidP="005076E5">
      <w:pPr>
        <w:pStyle w:val="BodyText"/>
        <w:spacing w:line="360" w:lineRule="auto"/>
        <w:rPr>
          <w:lang w:val="en-AU"/>
        </w:rPr>
      </w:pPr>
      <w:r w:rsidRPr="005076E5">
        <w:rPr>
          <w:b/>
          <w:bCs/>
          <w:lang w:val="en-AU"/>
        </w:rPr>
        <w:t>Q9: Does the proposed requirement for acquirers to publish their merchants’ cost of acceptance enhance competition and efficiency by helping merchants search for a better plan?</w:t>
      </w:r>
    </w:p>
    <w:p w14:paraId="0F0238E0" w14:textId="77777777" w:rsidR="005076E5" w:rsidRPr="005076E5" w:rsidRDefault="005076E5" w:rsidP="005076E5">
      <w:pPr>
        <w:pStyle w:val="BodyText"/>
        <w:spacing w:line="360" w:lineRule="auto"/>
        <w:rPr>
          <w:lang w:val="en-AU"/>
        </w:rPr>
      </w:pPr>
      <w:r w:rsidRPr="005076E5">
        <w:rPr>
          <w:b/>
          <w:bCs/>
          <w:lang w:val="en-AU"/>
        </w:rPr>
        <w:t>Yes — with some refinements.</w:t>
      </w:r>
      <w:r w:rsidRPr="005076E5">
        <w:rPr>
          <w:lang w:val="en-AU"/>
        </w:rPr>
        <w:t xml:space="preserve"> For restaurants and cafés, especially small and independent operators, this proposal would provide </w:t>
      </w:r>
      <w:r w:rsidRPr="005076E5">
        <w:rPr>
          <w:b/>
          <w:bCs/>
          <w:lang w:val="en-AU"/>
        </w:rPr>
        <w:t>critical visibility</w:t>
      </w:r>
      <w:r w:rsidRPr="005076E5">
        <w:rPr>
          <w:lang w:val="en-AU"/>
        </w:rPr>
        <w:t xml:space="preserve"> into whether they are paying fair rates for card payments.</w:t>
      </w:r>
    </w:p>
    <w:p w14:paraId="634C920F" w14:textId="77777777" w:rsidR="005076E5" w:rsidRPr="005076E5" w:rsidRDefault="005076E5" w:rsidP="005076E5">
      <w:pPr>
        <w:pStyle w:val="BodyText"/>
        <w:numPr>
          <w:ilvl w:val="0"/>
          <w:numId w:val="5"/>
        </w:numPr>
        <w:spacing w:line="360" w:lineRule="auto"/>
        <w:rPr>
          <w:lang w:val="en-AU"/>
        </w:rPr>
      </w:pPr>
      <w:r w:rsidRPr="005076E5">
        <w:rPr>
          <w:b/>
          <w:bCs/>
          <w:lang w:val="en-AU"/>
        </w:rPr>
        <w:t>Size threshold</w:t>
      </w:r>
      <w:r w:rsidRPr="005076E5">
        <w:rPr>
          <w:lang w:val="en-AU"/>
        </w:rPr>
        <w:t xml:space="preserve">: The $10 billion annual transaction threshold is reasonable for avoiding excessive compliance costs for small acquirers, but most hospitality businesses deal with larger acquirers who would fall within the requirement. The main </w:t>
      </w:r>
      <w:r w:rsidRPr="005076E5">
        <w:rPr>
          <w:lang w:val="en-AU"/>
        </w:rPr>
        <w:lastRenderedPageBreak/>
        <w:t>concern is ensuring that smaller PSPs who dominate specific niches (e.g. hospitality POS + payments bundles) are still included if they have significant market share in those sectors.</w:t>
      </w:r>
    </w:p>
    <w:p w14:paraId="0B8C3B7E" w14:textId="77777777" w:rsidR="005076E5" w:rsidRPr="005076E5" w:rsidRDefault="005076E5" w:rsidP="005076E5">
      <w:pPr>
        <w:pStyle w:val="BodyText"/>
        <w:numPr>
          <w:ilvl w:val="0"/>
          <w:numId w:val="5"/>
        </w:numPr>
        <w:spacing w:line="360" w:lineRule="auto"/>
        <w:rPr>
          <w:lang w:val="en-AU"/>
        </w:rPr>
      </w:pPr>
      <w:r w:rsidRPr="005076E5">
        <w:rPr>
          <w:b/>
          <w:bCs/>
          <w:lang w:val="en-AU"/>
        </w:rPr>
        <w:t>Category breakdowns</w:t>
      </w:r>
      <w:r w:rsidRPr="005076E5">
        <w:rPr>
          <w:lang w:val="en-AU"/>
        </w:rPr>
        <w:t xml:space="preserve">: The proposed breakdown by </w:t>
      </w:r>
      <w:r w:rsidRPr="005076E5">
        <w:rPr>
          <w:b/>
          <w:bCs/>
          <w:lang w:val="en-AU"/>
        </w:rPr>
        <w:t>merchant size</w:t>
      </w:r>
      <w:r w:rsidRPr="005076E5">
        <w:rPr>
          <w:lang w:val="en-AU"/>
        </w:rPr>
        <w:t xml:space="preserve"> and </w:t>
      </w:r>
      <w:r w:rsidRPr="005076E5">
        <w:rPr>
          <w:b/>
          <w:bCs/>
          <w:lang w:val="en-AU"/>
        </w:rPr>
        <w:t>card type</w:t>
      </w:r>
      <w:r w:rsidRPr="005076E5">
        <w:rPr>
          <w:lang w:val="en-AU"/>
        </w:rPr>
        <w:t xml:space="preserve"> is highly relevant. Hospitality businesses will benefit from being able to compare themselves with other small merchants processing similar card mixes. This will help identify whether they are being overcharged, without revealing commercially sensitive details.</w:t>
      </w:r>
    </w:p>
    <w:p w14:paraId="1DD315C9" w14:textId="77777777" w:rsidR="005076E5" w:rsidRPr="005076E5" w:rsidRDefault="005076E5" w:rsidP="005076E5">
      <w:pPr>
        <w:pStyle w:val="BodyText"/>
        <w:numPr>
          <w:ilvl w:val="0"/>
          <w:numId w:val="5"/>
        </w:numPr>
        <w:spacing w:line="360" w:lineRule="auto"/>
        <w:rPr>
          <w:lang w:val="en-AU"/>
        </w:rPr>
      </w:pPr>
      <w:r w:rsidRPr="005076E5">
        <w:rPr>
          <w:b/>
          <w:bCs/>
          <w:lang w:val="en-AU"/>
        </w:rPr>
        <w:t>Quarterly frequency</w:t>
      </w:r>
      <w:r w:rsidRPr="005076E5">
        <w:rPr>
          <w:lang w:val="en-AU"/>
        </w:rPr>
        <w:t>: Quarterly updates strike the right balance — frequent enough to capture market changes but not so frequent that compliance costs rise unnecessarily.</w:t>
      </w:r>
    </w:p>
    <w:p w14:paraId="45F77EA9" w14:textId="08E1CCFD" w:rsidR="005076E5" w:rsidRDefault="005076E5" w:rsidP="005076E5">
      <w:pPr>
        <w:pStyle w:val="BodyText"/>
        <w:numPr>
          <w:ilvl w:val="0"/>
          <w:numId w:val="5"/>
        </w:numPr>
        <w:spacing w:line="360" w:lineRule="auto"/>
        <w:rPr>
          <w:lang w:val="en-AU"/>
        </w:rPr>
      </w:pPr>
      <w:r w:rsidRPr="005076E5">
        <w:rPr>
          <w:b/>
          <w:bCs/>
          <w:lang w:val="en-AU"/>
        </w:rPr>
        <w:t>Implementation timeline</w:t>
      </w:r>
      <w:r w:rsidRPr="005076E5">
        <w:rPr>
          <w:lang w:val="en-AU"/>
        </w:rPr>
        <w:t xml:space="preserve">: Six months from the finalisation of the Standard </w:t>
      </w:r>
      <w:r w:rsidR="00ED1EA4">
        <w:rPr>
          <w:lang w:val="en-AU"/>
        </w:rPr>
        <w:t>is not</w:t>
      </w:r>
      <w:r w:rsidRPr="005076E5">
        <w:rPr>
          <w:lang w:val="en-AU"/>
        </w:rPr>
        <w:t xml:space="preserve"> a realistic timeframe </w:t>
      </w:r>
      <w:r w:rsidR="00ED1EA4">
        <w:rPr>
          <w:lang w:val="en-AU"/>
        </w:rPr>
        <w:t xml:space="preserve">for system and contract changes. </w:t>
      </w:r>
    </w:p>
    <w:p w14:paraId="4EBBBBBC" w14:textId="77777777" w:rsidR="00ED1EA4" w:rsidRPr="005076E5" w:rsidRDefault="00ED1EA4" w:rsidP="00ED1EA4">
      <w:pPr>
        <w:pStyle w:val="BodyText"/>
        <w:spacing w:line="360" w:lineRule="auto"/>
        <w:ind w:left="720"/>
        <w:rPr>
          <w:lang w:val="en-AU"/>
        </w:rPr>
      </w:pPr>
    </w:p>
    <w:p w14:paraId="42C2ED8A" w14:textId="77777777" w:rsidR="005076E5" w:rsidRPr="005076E5" w:rsidRDefault="005076E5" w:rsidP="005076E5">
      <w:pPr>
        <w:pStyle w:val="BodyText"/>
        <w:spacing w:line="360" w:lineRule="auto"/>
        <w:rPr>
          <w:lang w:val="en-AU"/>
        </w:rPr>
      </w:pPr>
      <w:r w:rsidRPr="005076E5">
        <w:rPr>
          <w:b/>
          <w:bCs/>
          <w:lang w:val="en-AU"/>
        </w:rPr>
        <w:t>From a restaurant and café perspective</w:t>
      </w:r>
      <w:r w:rsidRPr="005076E5">
        <w:rPr>
          <w:lang w:val="en-AU"/>
        </w:rPr>
        <w:t>, the key to making this work will be ensuring:</w:t>
      </w:r>
    </w:p>
    <w:p w14:paraId="4B1FA04C" w14:textId="77777777" w:rsidR="005076E5" w:rsidRPr="005076E5" w:rsidRDefault="005076E5" w:rsidP="005076E5">
      <w:pPr>
        <w:pStyle w:val="BodyText"/>
        <w:numPr>
          <w:ilvl w:val="0"/>
          <w:numId w:val="6"/>
        </w:numPr>
        <w:spacing w:line="360" w:lineRule="auto"/>
        <w:rPr>
          <w:lang w:val="en-AU"/>
        </w:rPr>
      </w:pPr>
      <w:r w:rsidRPr="005076E5">
        <w:rPr>
          <w:b/>
          <w:bCs/>
          <w:lang w:val="en-AU"/>
        </w:rPr>
        <w:t>Data is published in a standard, comparable format</w:t>
      </w:r>
      <w:r w:rsidRPr="005076E5">
        <w:rPr>
          <w:lang w:val="en-AU"/>
        </w:rPr>
        <w:t xml:space="preserve"> to allow industry groups and media to create “league tables” of merchant costs.</w:t>
      </w:r>
    </w:p>
    <w:p w14:paraId="41CF0C5D" w14:textId="77BF261F" w:rsidR="005076E5" w:rsidRDefault="005076E5" w:rsidP="005076E5">
      <w:pPr>
        <w:pStyle w:val="BodyText"/>
        <w:numPr>
          <w:ilvl w:val="0"/>
          <w:numId w:val="6"/>
        </w:numPr>
        <w:spacing w:line="360" w:lineRule="auto"/>
        <w:rPr>
          <w:lang w:val="en-AU"/>
        </w:rPr>
      </w:pPr>
      <w:r w:rsidRPr="005076E5">
        <w:rPr>
          <w:b/>
          <w:bCs/>
          <w:lang w:val="en-AU"/>
        </w:rPr>
        <w:t>Strong compliance monitoring</w:t>
      </w:r>
      <w:r w:rsidRPr="005076E5">
        <w:rPr>
          <w:lang w:val="en-AU"/>
        </w:rPr>
        <w:t xml:space="preserve"> so that data is accurate and consistently reported.</w:t>
      </w:r>
    </w:p>
    <w:p w14:paraId="0CA9F3AC" w14:textId="77777777" w:rsidR="005076E5" w:rsidRPr="005076E5" w:rsidRDefault="005076E5" w:rsidP="005076E5">
      <w:pPr>
        <w:pStyle w:val="BodyText"/>
        <w:spacing w:line="360" w:lineRule="auto"/>
        <w:ind w:left="720"/>
        <w:rPr>
          <w:lang w:val="en-AU"/>
        </w:rPr>
      </w:pPr>
    </w:p>
    <w:p w14:paraId="3F1A16A4" w14:textId="77777777" w:rsidR="005076E5" w:rsidRDefault="005076E5" w:rsidP="005076E5">
      <w:pPr>
        <w:pStyle w:val="BodyText"/>
        <w:spacing w:line="360" w:lineRule="auto"/>
        <w:rPr>
          <w:b/>
          <w:bCs/>
          <w:lang w:val="en-AU"/>
        </w:rPr>
      </w:pPr>
      <w:r w:rsidRPr="005076E5">
        <w:rPr>
          <w:b/>
          <w:bCs/>
          <w:lang w:val="en-AU"/>
        </w:rPr>
        <w:t>Q10: Does the proposal to amend the cost of acceptance reporting on merchant statements to include a breakdown for domestic and international cards promote competition by helping merchants receive more information about the fees they pay? Is there a public interest case to exempt taxi fares from this requirement?</w:t>
      </w:r>
    </w:p>
    <w:p w14:paraId="5F98294F" w14:textId="77777777" w:rsidR="00ED1EA4" w:rsidRPr="005076E5" w:rsidRDefault="00ED1EA4" w:rsidP="005076E5">
      <w:pPr>
        <w:pStyle w:val="BodyText"/>
        <w:spacing w:line="360" w:lineRule="auto"/>
        <w:rPr>
          <w:lang w:val="en-AU"/>
        </w:rPr>
      </w:pPr>
    </w:p>
    <w:p w14:paraId="66E356A9" w14:textId="77777777" w:rsidR="005076E5" w:rsidRPr="005076E5" w:rsidRDefault="005076E5" w:rsidP="005076E5">
      <w:pPr>
        <w:pStyle w:val="BodyText"/>
        <w:spacing w:line="360" w:lineRule="auto"/>
        <w:rPr>
          <w:lang w:val="en-AU"/>
        </w:rPr>
      </w:pPr>
      <w:r w:rsidRPr="005076E5">
        <w:rPr>
          <w:b/>
          <w:bCs/>
          <w:lang w:val="en-AU"/>
        </w:rPr>
        <w:t>Yes — this change would be valuable for hospitality businesses</w:t>
      </w:r>
      <w:r w:rsidRPr="005076E5">
        <w:rPr>
          <w:lang w:val="en-AU"/>
        </w:rPr>
        <w:t>, as international cards often carry significantly higher acceptance costs and are more common in tourist-heavy areas.</w:t>
      </w:r>
    </w:p>
    <w:p w14:paraId="3A807D5E" w14:textId="77777777" w:rsidR="005076E5" w:rsidRPr="005076E5" w:rsidRDefault="005076E5" w:rsidP="005076E5">
      <w:pPr>
        <w:pStyle w:val="BodyText"/>
        <w:numPr>
          <w:ilvl w:val="0"/>
          <w:numId w:val="7"/>
        </w:numPr>
        <w:spacing w:line="360" w:lineRule="auto"/>
        <w:rPr>
          <w:lang w:val="en-AU"/>
        </w:rPr>
      </w:pPr>
      <w:r w:rsidRPr="005076E5">
        <w:rPr>
          <w:b/>
          <w:bCs/>
          <w:lang w:val="en-AU"/>
        </w:rPr>
        <w:t>Competitive benefits</w:t>
      </w:r>
      <w:r w:rsidRPr="005076E5">
        <w:rPr>
          <w:lang w:val="en-AU"/>
        </w:rPr>
        <w:t xml:space="preserve">: By clearly separating </w:t>
      </w:r>
      <w:r w:rsidRPr="005076E5">
        <w:rPr>
          <w:b/>
          <w:bCs/>
          <w:lang w:val="en-AU"/>
        </w:rPr>
        <w:t>domestic vs. international</w:t>
      </w:r>
      <w:r w:rsidRPr="005076E5">
        <w:rPr>
          <w:lang w:val="en-AU"/>
        </w:rPr>
        <w:t xml:space="preserve"> card costs, restaurants and cafés will better understand the premium they pay on overseas cards and can make informed decisions about payment acceptance and pricing strategies. This information will also help them compare their own rates against the published market averages from Q9.</w:t>
      </w:r>
    </w:p>
    <w:p w14:paraId="6E564F2B" w14:textId="77777777" w:rsidR="005076E5" w:rsidRPr="005076E5" w:rsidRDefault="005076E5" w:rsidP="005076E5">
      <w:pPr>
        <w:pStyle w:val="BodyText"/>
        <w:numPr>
          <w:ilvl w:val="0"/>
          <w:numId w:val="7"/>
        </w:numPr>
        <w:spacing w:line="360" w:lineRule="auto"/>
        <w:rPr>
          <w:lang w:val="en-AU"/>
        </w:rPr>
      </w:pPr>
      <w:r w:rsidRPr="005076E5">
        <w:rPr>
          <w:b/>
          <w:bCs/>
          <w:lang w:val="en-AU"/>
        </w:rPr>
        <w:t>Low implementation burden</w:t>
      </w:r>
      <w:r w:rsidRPr="005076E5">
        <w:rPr>
          <w:lang w:val="en-AU"/>
        </w:rPr>
        <w:t>: Acquirers already record this information, so including it on statements should be relatively low cost.</w:t>
      </w:r>
    </w:p>
    <w:p w14:paraId="1F0E04EB" w14:textId="254015DD" w:rsidR="005076E5" w:rsidRDefault="005076E5" w:rsidP="005076E5">
      <w:pPr>
        <w:pStyle w:val="BodyText"/>
        <w:numPr>
          <w:ilvl w:val="0"/>
          <w:numId w:val="7"/>
        </w:numPr>
        <w:spacing w:line="360" w:lineRule="auto"/>
        <w:rPr>
          <w:lang w:val="en-AU"/>
        </w:rPr>
      </w:pPr>
      <w:r w:rsidRPr="005076E5">
        <w:rPr>
          <w:b/>
          <w:bCs/>
          <w:lang w:val="en-AU"/>
        </w:rPr>
        <w:t>No justification for exemption</w:t>
      </w:r>
      <w:r w:rsidR="00263594">
        <w:rPr>
          <w:b/>
          <w:bCs/>
          <w:lang w:val="en-AU"/>
        </w:rPr>
        <w:t>s</w:t>
      </w:r>
      <w:r w:rsidRPr="005076E5">
        <w:rPr>
          <w:lang w:val="en-AU"/>
        </w:rPr>
        <w:t xml:space="preserve">: There is no compelling public interest case to exempt </w:t>
      </w:r>
      <w:r w:rsidR="00263594">
        <w:rPr>
          <w:lang w:val="en-AU"/>
        </w:rPr>
        <w:t xml:space="preserve">any segment </w:t>
      </w:r>
      <w:r w:rsidRPr="005076E5">
        <w:rPr>
          <w:lang w:val="en-AU"/>
        </w:rPr>
        <w:t xml:space="preserve">while including all other sectors. If the policy is about </w:t>
      </w:r>
      <w:r w:rsidRPr="005076E5">
        <w:rPr>
          <w:lang w:val="en-AU"/>
        </w:rPr>
        <w:lastRenderedPageBreak/>
        <w:t xml:space="preserve">transparency and competitive pressure, it should be applied uniformly. </w:t>
      </w:r>
    </w:p>
    <w:p w14:paraId="7DBE92FB" w14:textId="77777777" w:rsidR="005076E5" w:rsidRPr="005076E5" w:rsidRDefault="005076E5" w:rsidP="005076E5">
      <w:pPr>
        <w:pStyle w:val="BodyText"/>
        <w:spacing w:line="360" w:lineRule="auto"/>
        <w:ind w:left="720"/>
        <w:rPr>
          <w:lang w:val="en-AU"/>
        </w:rPr>
      </w:pPr>
    </w:p>
    <w:p w14:paraId="77DF75D9" w14:textId="77777777" w:rsidR="005076E5" w:rsidRPr="005076E5" w:rsidRDefault="005076E5" w:rsidP="005076E5">
      <w:pPr>
        <w:pStyle w:val="BodyText"/>
        <w:spacing w:line="360" w:lineRule="auto"/>
        <w:rPr>
          <w:lang w:val="en-AU"/>
        </w:rPr>
      </w:pPr>
      <w:r w:rsidRPr="005076E5">
        <w:rPr>
          <w:b/>
          <w:bCs/>
          <w:lang w:val="en-AU"/>
        </w:rPr>
        <w:t>Summary position for hospitality:</w:t>
      </w:r>
    </w:p>
    <w:p w14:paraId="52B90330" w14:textId="77777777" w:rsidR="005076E5" w:rsidRPr="005076E5" w:rsidRDefault="005076E5" w:rsidP="005076E5">
      <w:pPr>
        <w:pStyle w:val="BodyText"/>
        <w:numPr>
          <w:ilvl w:val="0"/>
          <w:numId w:val="8"/>
        </w:numPr>
        <w:spacing w:line="360" w:lineRule="auto"/>
        <w:rPr>
          <w:lang w:val="en-AU"/>
        </w:rPr>
      </w:pPr>
      <w:r w:rsidRPr="005076E5">
        <w:rPr>
          <w:lang w:val="en-AU"/>
        </w:rPr>
        <w:t>Publishing average costs of acceptance by merchant size and card type will give cafés and restaurants a much-needed benchmark to negotiate better deals.</w:t>
      </w:r>
    </w:p>
    <w:p w14:paraId="1EBC1DEF" w14:textId="31560B18" w:rsidR="005076E5" w:rsidRPr="005076E5" w:rsidRDefault="005076E5" w:rsidP="005076E5">
      <w:pPr>
        <w:pStyle w:val="BodyText"/>
        <w:numPr>
          <w:ilvl w:val="0"/>
          <w:numId w:val="8"/>
        </w:numPr>
        <w:spacing w:line="360" w:lineRule="auto"/>
        <w:rPr>
          <w:lang w:val="en-AU"/>
        </w:rPr>
      </w:pPr>
      <w:r w:rsidRPr="005076E5">
        <w:rPr>
          <w:lang w:val="en-AU"/>
        </w:rPr>
        <w:t>Quarterly publication with a six-month lead time is</w:t>
      </w:r>
      <w:r w:rsidR="00C24698">
        <w:rPr>
          <w:lang w:val="en-AU"/>
        </w:rPr>
        <w:t xml:space="preserve"> likely not</w:t>
      </w:r>
      <w:r w:rsidRPr="005076E5">
        <w:rPr>
          <w:lang w:val="en-AU"/>
        </w:rPr>
        <w:t xml:space="preserve"> workable.</w:t>
      </w:r>
    </w:p>
    <w:p w14:paraId="31D516F8" w14:textId="77777777" w:rsidR="005076E5" w:rsidRPr="005076E5" w:rsidRDefault="005076E5" w:rsidP="005076E5">
      <w:pPr>
        <w:pStyle w:val="BodyText"/>
        <w:numPr>
          <w:ilvl w:val="0"/>
          <w:numId w:val="8"/>
        </w:numPr>
        <w:spacing w:line="360" w:lineRule="auto"/>
        <w:rPr>
          <w:lang w:val="en-AU"/>
        </w:rPr>
      </w:pPr>
      <w:r w:rsidRPr="005076E5">
        <w:rPr>
          <w:lang w:val="en-AU"/>
        </w:rPr>
        <w:t>Adding domestic vs. international breakdowns on merchant statements will allow hospitality operators to pinpoint high-cost transactions and put pressure on providers to pass through wholesale cost reductions.</w:t>
      </w:r>
    </w:p>
    <w:p w14:paraId="56DEE3F6" w14:textId="0908F927" w:rsidR="005076E5" w:rsidRPr="005076E5" w:rsidRDefault="00C24698" w:rsidP="005076E5">
      <w:pPr>
        <w:pStyle w:val="BodyText"/>
        <w:numPr>
          <w:ilvl w:val="0"/>
          <w:numId w:val="8"/>
        </w:numPr>
        <w:spacing w:line="360" w:lineRule="auto"/>
        <w:rPr>
          <w:lang w:val="en-AU"/>
        </w:rPr>
      </w:pPr>
      <w:r>
        <w:rPr>
          <w:lang w:val="en-AU"/>
        </w:rPr>
        <w:t xml:space="preserve">Specific segments </w:t>
      </w:r>
      <w:r w:rsidR="005076E5" w:rsidRPr="005076E5">
        <w:rPr>
          <w:lang w:val="en-AU"/>
        </w:rPr>
        <w:t xml:space="preserve">should </w:t>
      </w:r>
      <w:r w:rsidR="005076E5" w:rsidRPr="005076E5">
        <w:rPr>
          <w:b/>
          <w:bCs/>
          <w:lang w:val="en-AU"/>
        </w:rPr>
        <w:t>not</w:t>
      </w:r>
      <w:r w:rsidR="005076E5" w:rsidRPr="005076E5">
        <w:rPr>
          <w:lang w:val="en-AU"/>
        </w:rPr>
        <w:t xml:space="preserve"> be exempt from these requirements — all merchants should be treated equally in the name of transparency.</w:t>
      </w:r>
    </w:p>
    <w:p w14:paraId="4462BBC1" w14:textId="77777777" w:rsidR="00B24D7D" w:rsidRDefault="00B24D7D" w:rsidP="00E53D6F">
      <w:pPr>
        <w:pStyle w:val="BodyText"/>
        <w:spacing w:after="100" w:afterAutospacing="1" w:line="360" w:lineRule="auto"/>
        <w:rPr>
          <w:lang w:val="en-AU"/>
        </w:rPr>
      </w:pPr>
    </w:p>
    <w:p w14:paraId="327F9963" w14:textId="77777777" w:rsidR="00134D9A" w:rsidRPr="00134D9A" w:rsidRDefault="00134D9A" w:rsidP="00134D9A">
      <w:pPr>
        <w:pStyle w:val="BodyText"/>
        <w:spacing w:line="360" w:lineRule="auto"/>
        <w:rPr>
          <w:lang w:val="en-AU"/>
        </w:rPr>
      </w:pPr>
      <w:r w:rsidRPr="00134D9A">
        <w:rPr>
          <w:b/>
          <w:bCs/>
          <w:lang w:val="en-AU"/>
        </w:rPr>
        <w:t>Q11 Response – Least-Cost Routing (LCR) Implementation</w:t>
      </w:r>
      <w:r w:rsidRPr="00134D9A">
        <w:rPr>
          <w:lang w:val="en-AU"/>
        </w:rPr>
        <w:br/>
        <w:t>From the perspective of Australia’s restaurant and café sector, the current “expectations” approach to LCR has delivered some progress — with 76% of merchants now enabled — but it has not ensured that the full competitive and cost-saving benefits are consistently passed on to small businesses.</w:t>
      </w:r>
    </w:p>
    <w:p w14:paraId="642C2748" w14:textId="77777777" w:rsidR="00134D9A" w:rsidRPr="00134D9A" w:rsidRDefault="00134D9A" w:rsidP="00134D9A">
      <w:pPr>
        <w:pStyle w:val="BodyText"/>
        <w:spacing w:line="360" w:lineRule="auto"/>
        <w:rPr>
          <w:lang w:val="en-AU"/>
        </w:rPr>
      </w:pPr>
      <w:r w:rsidRPr="00134D9A">
        <w:rPr>
          <w:lang w:val="en-AU"/>
        </w:rPr>
        <w:t xml:space="preserve">For restaurants and cafés, which operate on </w:t>
      </w:r>
      <w:r w:rsidRPr="00134D9A">
        <w:rPr>
          <w:b/>
          <w:bCs/>
          <w:lang w:val="en-AU"/>
        </w:rPr>
        <w:t>tight single-digit margins</w:t>
      </w:r>
      <w:r w:rsidRPr="00134D9A">
        <w:rPr>
          <w:lang w:val="en-AU"/>
        </w:rPr>
        <w:t xml:space="preserve"> and process a high volume of low-value debit transactions, every cent in merchant fees matters. Many small hospitality businesses:</w:t>
      </w:r>
    </w:p>
    <w:p w14:paraId="0CEBD777" w14:textId="77777777" w:rsidR="00134D9A" w:rsidRPr="00134D9A" w:rsidRDefault="00134D9A" w:rsidP="00134D9A">
      <w:pPr>
        <w:pStyle w:val="BodyText"/>
        <w:numPr>
          <w:ilvl w:val="0"/>
          <w:numId w:val="9"/>
        </w:numPr>
        <w:spacing w:line="360" w:lineRule="auto"/>
        <w:rPr>
          <w:lang w:val="en-AU"/>
        </w:rPr>
      </w:pPr>
      <w:r w:rsidRPr="00134D9A">
        <w:rPr>
          <w:lang w:val="en-AU"/>
        </w:rPr>
        <w:t>Remain unaware of LCR or its potential savings.</w:t>
      </w:r>
    </w:p>
    <w:p w14:paraId="4EB5AFB2" w14:textId="77777777" w:rsidR="00134D9A" w:rsidRPr="00134D9A" w:rsidRDefault="00134D9A" w:rsidP="00134D9A">
      <w:pPr>
        <w:pStyle w:val="BodyText"/>
        <w:numPr>
          <w:ilvl w:val="0"/>
          <w:numId w:val="9"/>
        </w:numPr>
        <w:spacing w:line="360" w:lineRule="auto"/>
        <w:rPr>
          <w:lang w:val="en-AU"/>
        </w:rPr>
      </w:pPr>
      <w:r w:rsidRPr="00134D9A">
        <w:rPr>
          <w:lang w:val="en-AU"/>
        </w:rPr>
        <w:t>Are on “blended” or “</w:t>
      </w:r>
      <w:proofErr w:type="gramStart"/>
      <w:r w:rsidRPr="00134D9A">
        <w:rPr>
          <w:lang w:val="en-AU"/>
        </w:rPr>
        <w:t>single-rate</w:t>
      </w:r>
      <w:proofErr w:type="gramEnd"/>
      <w:r w:rsidRPr="00134D9A">
        <w:rPr>
          <w:lang w:val="en-AU"/>
        </w:rPr>
        <w:t>” plans where LCR savings are not passed through in full.</w:t>
      </w:r>
    </w:p>
    <w:p w14:paraId="2B2213BC" w14:textId="77777777" w:rsidR="00134D9A" w:rsidRPr="00134D9A" w:rsidRDefault="00134D9A" w:rsidP="00134D9A">
      <w:pPr>
        <w:pStyle w:val="BodyText"/>
        <w:numPr>
          <w:ilvl w:val="0"/>
          <w:numId w:val="9"/>
        </w:numPr>
        <w:spacing w:line="360" w:lineRule="auto"/>
        <w:rPr>
          <w:lang w:val="en-AU"/>
        </w:rPr>
      </w:pPr>
      <w:r w:rsidRPr="00134D9A">
        <w:rPr>
          <w:lang w:val="en-AU"/>
        </w:rPr>
        <w:t>Lack the time, technical knowledge, or leverage to negotiate better routing outcomes with acquirers.</w:t>
      </w:r>
    </w:p>
    <w:p w14:paraId="555BE57E" w14:textId="77777777" w:rsidR="00134D9A" w:rsidRPr="00134D9A" w:rsidRDefault="00134D9A" w:rsidP="00134D9A">
      <w:pPr>
        <w:pStyle w:val="BodyText"/>
        <w:spacing w:line="360" w:lineRule="auto"/>
        <w:rPr>
          <w:lang w:val="en-AU"/>
        </w:rPr>
      </w:pPr>
      <w:r w:rsidRPr="00134D9A">
        <w:rPr>
          <w:b/>
          <w:bCs/>
          <w:lang w:val="en-AU"/>
        </w:rPr>
        <w:t>Recommended changes to improve competition and efficiency:</w:t>
      </w:r>
    </w:p>
    <w:p w14:paraId="417FF694" w14:textId="5475CABE" w:rsidR="00134D9A" w:rsidRPr="00134D9A" w:rsidRDefault="00134D9A" w:rsidP="00134D9A">
      <w:pPr>
        <w:pStyle w:val="BodyText"/>
        <w:numPr>
          <w:ilvl w:val="0"/>
          <w:numId w:val="10"/>
        </w:numPr>
        <w:spacing w:line="360" w:lineRule="auto"/>
        <w:rPr>
          <w:lang w:val="en-AU"/>
        </w:rPr>
      </w:pPr>
      <w:r w:rsidRPr="00134D9A">
        <w:rPr>
          <w:b/>
          <w:bCs/>
          <w:lang w:val="en-AU"/>
        </w:rPr>
        <w:t>Mandate Acquirer Disclosure of</w:t>
      </w:r>
      <w:r w:rsidR="00E542CB">
        <w:rPr>
          <w:b/>
          <w:bCs/>
          <w:lang w:val="en-AU"/>
        </w:rPr>
        <w:t xml:space="preserve"> </w:t>
      </w:r>
      <w:r w:rsidRPr="00134D9A">
        <w:rPr>
          <w:b/>
          <w:bCs/>
          <w:lang w:val="en-AU"/>
        </w:rPr>
        <w:t>LCR Status &amp; Savings</w:t>
      </w:r>
    </w:p>
    <w:p w14:paraId="65236381" w14:textId="77777777" w:rsidR="00134D9A" w:rsidRPr="00134D9A" w:rsidRDefault="00134D9A" w:rsidP="00134D9A">
      <w:pPr>
        <w:pStyle w:val="BodyText"/>
        <w:numPr>
          <w:ilvl w:val="1"/>
          <w:numId w:val="10"/>
        </w:numPr>
        <w:spacing w:line="360" w:lineRule="auto"/>
        <w:rPr>
          <w:lang w:val="en-AU"/>
        </w:rPr>
      </w:pPr>
      <w:r w:rsidRPr="00134D9A">
        <w:rPr>
          <w:lang w:val="en-AU"/>
        </w:rPr>
        <w:t>Require acquirers to clearly state on merchant statements whether LCR is enabled and provide an estimate of the annual savings generated.</w:t>
      </w:r>
    </w:p>
    <w:p w14:paraId="19AD409B" w14:textId="77777777" w:rsidR="00134D9A" w:rsidRPr="00134D9A" w:rsidRDefault="00134D9A" w:rsidP="00134D9A">
      <w:pPr>
        <w:pStyle w:val="BodyText"/>
        <w:numPr>
          <w:ilvl w:val="1"/>
          <w:numId w:val="10"/>
        </w:numPr>
        <w:spacing w:line="360" w:lineRule="auto"/>
        <w:rPr>
          <w:lang w:val="en-AU"/>
        </w:rPr>
      </w:pPr>
      <w:r w:rsidRPr="00134D9A">
        <w:rPr>
          <w:lang w:val="en-AU"/>
        </w:rPr>
        <w:t>For merchants not enabled, include an estimate of potential savings if LCR were activated, based on actual transaction mix.</w:t>
      </w:r>
    </w:p>
    <w:p w14:paraId="26942DA3" w14:textId="77777777" w:rsidR="00134D9A" w:rsidRPr="00134D9A" w:rsidRDefault="00134D9A" w:rsidP="00134D9A">
      <w:pPr>
        <w:pStyle w:val="BodyText"/>
        <w:numPr>
          <w:ilvl w:val="1"/>
          <w:numId w:val="10"/>
        </w:numPr>
        <w:spacing w:line="360" w:lineRule="auto"/>
        <w:rPr>
          <w:lang w:val="en-AU"/>
        </w:rPr>
      </w:pPr>
      <w:r w:rsidRPr="00134D9A">
        <w:rPr>
          <w:lang w:val="en-AU"/>
        </w:rPr>
        <w:t>This would create awareness and incentivise adoption without mandating it for all.</w:t>
      </w:r>
    </w:p>
    <w:p w14:paraId="1DA789F4" w14:textId="0115CA47" w:rsidR="00134D9A" w:rsidRPr="00134D9A" w:rsidRDefault="00134D9A" w:rsidP="00134D9A">
      <w:pPr>
        <w:pStyle w:val="BodyText"/>
        <w:numPr>
          <w:ilvl w:val="0"/>
          <w:numId w:val="10"/>
        </w:numPr>
        <w:spacing w:line="360" w:lineRule="auto"/>
        <w:rPr>
          <w:lang w:val="en-AU"/>
        </w:rPr>
      </w:pPr>
      <w:r w:rsidRPr="00134D9A">
        <w:rPr>
          <w:b/>
          <w:bCs/>
          <w:lang w:val="en-AU"/>
        </w:rPr>
        <w:t xml:space="preserve">Default-On </w:t>
      </w:r>
      <w:r w:rsidR="00E542CB">
        <w:rPr>
          <w:b/>
          <w:bCs/>
          <w:lang w:val="en-AU"/>
        </w:rPr>
        <w:t xml:space="preserve">dynamic </w:t>
      </w:r>
      <w:r w:rsidRPr="00134D9A">
        <w:rPr>
          <w:b/>
          <w:bCs/>
          <w:lang w:val="en-AU"/>
        </w:rPr>
        <w:t>LCR for New Merchant Agreements</w:t>
      </w:r>
    </w:p>
    <w:p w14:paraId="3F6410E9" w14:textId="77777777" w:rsidR="00134D9A" w:rsidRPr="00134D9A" w:rsidRDefault="00134D9A" w:rsidP="00134D9A">
      <w:pPr>
        <w:pStyle w:val="BodyText"/>
        <w:numPr>
          <w:ilvl w:val="1"/>
          <w:numId w:val="10"/>
        </w:numPr>
        <w:spacing w:line="360" w:lineRule="auto"/>
        <w:rPr>
          <w:lang w:val="en-AU"/>
        </w:rPr>
      </w:pPr>
      <w:r w:rsidRPr="00134D9A">
        <w:rPr>
          <w:lang w:val="en-AU"/>
        </w:rPr>
        <w:t xml:space="preserve">For new merchant facility contracts in hospitality and other small business </w:t>
      </w:r>
      <w:r w:rsidRPr="00134D9A">
        <w:rPr>
          <w:lang w:val="en-AU"/>
        </w:rPr>
        <w:lastRenderedPageBreak/>
        <w:t>segments, LCR should be switched on by default, with the merchant given the ability to opt out.</w:t>
      </w:r>
    </w:p>
    <w:p w14:paraId="7CE9881E" w14:textId="77777777" w:rsidR="00134D9A" w:rsidRPr="00134D9A" w:rsidRDefault="00134D9A" w:rsidP="00134D9A">
      <w:pPr>
        <w:pStyle w:val="BodyText"/>
        <w:numPr>
          <w:ilvl w:val="1"/>
          <w:numId w:val="10"/>
        </w:numPr>
        <w:spacing w:line="360" w:lineRule="auto"/>
        <w:rPr>
          <w:lang w:val="en-AU"/>
        </w:rPr>
      </w:pPr>
      <w:r w:rsidRPr="00134D9A">
        <w:rPr>
          <w:lang w:val="en-AU"/>
        </w:rPr>
        <w:t xml:space="preserve">This approach maintains flexibility for unique cases where LCR is not </w:t>
      </w:r>
      <w:proofErr w:type="gramStart"/>
      <w:r w:rsidRPr="00134D9A">
        <w:rPr>
          <w:lang w:val="en-AU"/>
        </w:rPr>
        <w:t>suitable, but</w:t>
      </w:r>
      <w:proofErr w:type="gramEnd"/>
      <w:r w:rsidRPr="00134D9A">
        <w:rPr>
          <w:lang w:val="en-AU"/>
        </w:rPr>
        <w:t xml:space="preserve"> removes the inertia that prevents many small operators from accessing savings.</w:t>
      </w:r>
    </w:p>
    <w:p w14:paraId="2617E00F" w14:textId="77777777" w:rsidR="00134D9A" w:rsidRPr="00134D9A" w:rsidRDefault="00134D9A" w:rsidP="00134D9A">
      <w:pPr>
        <w:pStyle w:val="BodyText"/>
        <w:numPr>
          <w:ilvl w:val="0"/>
          <w:numId w:val="10"/>
        </w:numPr>
        <w:spacing w:line="360" w:lineRule="auto"/>
        <w:rPr>
          <w:lang w:val="en-AU"/>
        </w:rPr>
      </w:pPr>
      <w:r w:rsidRPr="00134D9A">
        <w:rPr>
          <w:b/>
          <w:bCs/>
          <w:lang w:val="en-AU"/>
        </w:rPr>
        <w:t>Pass-Through Requirements for Blended/Single-Rate Plans</w:t>
      </w:r>
    </w:p>
    <w:p w14:paraId="7CFB6E58" w14:textId="77777777" w:rsidR="00134D9A" w:rsidRPr="00134D9A" w:rsidRDefault="00134D9A" w:rsidP="00134D9A">
      <w:pPr>
        <w:pStyle w:val="BodyText"/>
        <w:numPr>
          <w:ilvl w:val="1"/>
          <w:numId w:val="10"/>
        </w:numPr>
        <w:spacing w:line="360" w:lineRule="auto"/>
        <w:rPr>
          <w:lang w:val="en-AU"/>
        </w:rPr>
      </w:pPr>
      <w:r w:rsidRPr="00134D9A">
        <w:rPr>
          <w:lang w:val="en-AU"/>
        </w:rPr>
        <w:t>Where merchants are on flat-rate pricing models, require acquirers to demonstrate that the benefit of cheaper routing is reflected in the rate offered.</w:t>
      </w:r>
    </w:p>
    <w:p w14:paraId="54C5306F" w14:textId="77777777" w:rsidR="00134D9A" w:rsidRPr="00134D9A" w:rsidRDefault="00134D9A" w:rsidP="00134D9A">
      <w:pPr>
        <w:pStyle w:val="BodyText"/>
        <w:numPr>
          <w:ilvl w:val="1"/>
          <w:numId w:val="10"/>
        </w:numPr>
        <w:spacing w:line="360" w:lineRule="auto"/>
        <w:rPr>
          <w:lang w:val="en-AU"/>
        </w:rPr>
      </w:pPr>
      <w:r w:rsidRPr="00134D9A">
        <w:rPr>
          <w:lang w:val="en-AU"/>
        </w:rPr>
        <w:t>This would ensure that savings from LCR do not simply increase acquirer margins.</w:t>
      </w:r>
    </w:p>
    <w:p w14:paraId="2BE005F1" w14:textId="77777777" w:rsidR="00134D9A" w:rsidRPr="00134D9A" w:rsidRDefault="00134D9A" w:rsidP="00134D9A">
      <w:pPr>
        <w:pStyle w:val="BodyText"/>
        <w:numPr>
          <w:ilvl w:val="0"/>
          <w:numId w:val="10"/>
        </w:numPr>
        <w:spacing w:line="360" w:lineRule="auto"/>
        <w:rPr>
          <w:lang w:val="en-AU"/>
        </w:rPr>
      </w:pPr>
      <w:r w:rsidRPr="00134D9A">
        <w:rPr>
          <w:b/>
          <w:bCs/>
          <w:lang w:val="en-AU"/>
        </w:rPr>
        <w:t>Annual Public LCR Progress Reporting by Sector</w:t>
      </w:r>
    </w:p>
    <w:p w14:paraId="4C50AC71" w14:textId="77777777" w:rsidR="00134D9A" w:rsidRPr="00134D9A" w:rsidRDefault="00134D9A" w:rsidP="00134D9A">
      <w:pPr>
        <w:pStyle w:val="BodyText"/>
        <w:numPr>
          <w:ilvl w:val="1"/>
          <w:numId w:val="10"/>
        </w:numPr>
        <w:spacing w:line="360" w:lineRule="auto"/>
        <w:rPr>
          <w:lang w:val="en-AU"/>
        </w:rPr>
      </w:pPr>
      <w:r w:rsidRPr="00134D9A">
        <w:rPr>
          <w:lang w:val="en-AU"/>
        </w:rPr>
        <w:t>Break down LCR adoption and savings data by key industry categories, including hospitality, so industry bodies like ARCA can monitor and advocate for improvement.</w:t>
      </w:r>
    </w:p>
    <w:p w14:paraId="4DF4463D" w14:textId="77777777" w:rsidR="00134D9A" w:rsidRDefault="00134D9A" w:rsidP="00134D9A">
      <w:pPr>
        <w:pStyle w:val="BodyText"/>
        <w:spacing w:line="360" w:lineRule="auto"/>
        <w:rPr>
          <w:lang w:val="en-AU"/>
        </w:rPr>
      </w:pPr>
      <w:r w:rsidRPr="00134D9A">
        <w:rPr>
          <w:b/>
          <w:bCs/>
          <w:lang w:val="en-AU"/>
        </w:rPr>
        <w:t>Rationale for Hospitality</w:t>
      </w:r>
      <w:r w:rsidRPr="00134D9A">
        <w:rPr>
          <w:lang w:val="en-AU"/>
        </w:rPr>
        <w:br/>
        <w:t xml:space="preserve">Restaurants and cafés handle a </w:t>
      </w:r>
      <w:r w:rsidRPr="00134D9A">
        <w:rPr>
          <w:b/>
          <w:bCs/>
          <w:lang w:val="en-AU"/>
        </w:rPr>
        <w:t>very high proportion of small-ticket debit card payments</w:t>
      </w:r>
      <w:r w:rsidRPr="00134D9A">
        <w:rPr>
          <w:lang w:val="en-AU"/>
        </w:rPr>
        <w:t>, especially for in-store transactions. Even modest per-transaction savings can equate to thousands of dollars annually, making LCR a simple but powerful lever to reduce operating costs without affecting consumer experience. Increased transparency and a “default-on” approach for eligible merchants would help overcome awareness and inertia barriers, increase competition in the acquiring market, and deliver measurable cost savings to small hospitality businesses.</w:t>
      </w:r>
    </w:p>
    <w:p w14:paraId="67FF5AA6" w14:textId="77777777" w:rsidR="00EA10A4" w:rsidRDefault="00EA10A4" w:rsidP="00134D9A">
      <w:pPr>
        <w:pStyle w:val="BodyText"/>
        <w:spacing w:line="360" w:lineRule="auto"/>
        <w:rPr>
          <w:lang w:val="en-AU"/>
        </w:rPr>
      </w:pPr>
    </w:p>
    <w:p w14:paraId="6716C35F" w14:textId="77777777" w:rsidR="00EA10A4" w:rsidRPr="00EA10A4" w:rsidRDefault="00EA10A4" w:rsidP="00EA10A4">
      <w:pPr>
        <w:pStyle w:val="BodyText"/>
        <w:spacing w:line="360" w:lineRule="auto"/>
        <w:rPr>
          <w:lang w:val="en-AU"/>
        </w:rPr>
      </w:pPr>
      <w:r w:rsidRPr="00EA10A4">
        <w:rPr>
          <w:b/>
          <w:bCs/>
          <w:lang w:val="en-AU"/>
        </w:rPr>
        <w:t>Q12 – Assessment of PSB’s Preferred Package</w:t>
      </w:r>
    </w:p>
    <w:p w14:paraId="6F51F3A4" w14:textId="77777777" w:rsidR="00EA10A4" w:rsidRPr="00EA10A4" w:rsidRDefault="00EA10A4" w:rsidP="00EA10A4">
      <w:pPr>
        <w:pStyle w:val="BodyText"/>
        <w:spacing w:line="360" w:lineRule="auto"/>
        <w:rPr>
          <w:lang w:val="en-AU"/>
        </w:rPr>
      </w:pPr>
      <w:r w:rsidRPr="00EA10A4">
        <w:rPr>
          <w:lang w:val="en-AU"/>
        </w:rPr>
        <w:t>From the perspective of the Australian restaurant and café industry, the PSB’s preferred package delivers some important improvements in transparency, competition, and wholesale cost reduction, but it also contains significant risks and gaps that could reduce net public benefits if implemented without variation.</w:t>
      </w:r>
    </w:p>
    <w:p w14:paraId="35FCDC81" w14:textId="77777777" w:rsidR="00EA10A4" w:rsidRPr="00EA10A4" w:rsidRDefault="00EA10A4" w:rsidP="00EA10A4">
      <w:pPr>
        <w:pStyle w:val="BodyText"/>
        <w:spacing w:line="360" w:lineRule="auto"/>
        <w:rPr>
          <w:lang w:val="en-AU"/>
        </w:rPr>
      </w:pPr>
      <w:r w:rsidRPr="00EA10A4">
        <w:rPr>
          <w:b/>
          <w:bCs/>
          <w:lang w:val="en-AU"/>
        </w:rPr>
        <w:t>Positive elements for hospitality businesses</w:t>
      </w:r>
    </w:p>
    <w:p w14:paraId="40A41981" w14:textId="77777777" w:rsidR="00EA10A4" w:rsidRPr="00EA10A4" w:rsidRDefault="00EA10A4" w:rsidP="00EA10A4">
      <w:pPr>
        <w:pStyle w:val="BodyText"/>
        <w:numPr>
          <w:ilvl w:val="0"/>
          <w:numId w:val="20"/>
        </w:numPr>
        <w:spacing w:line="360" w:lineRule="auto"/>
        <w:rPr>
          <w:lang w:val="en-AU"/>
        </w:rPr>
      </w:pPr>
      <w:r w:rsidRPr="00EA10A4">
        <w:rPr>
          <w:b/>
          <w:bCs/>
          <w:lang w:val="en-AU"/>
        </w:rPr>
        <w:t>Lower interchange caps</w:t>
      </w:r>
      <w:r w:rsidRPr="00EA10A4">
        <w:rPr>
          <w:lang w:val="en-AU"/>
        </w:rPr>
        <w:t xml:space="preserve"> (Policies 2–4) should deliver material savings for small merchants, who are more likely to be paying at or near the current caps. This directly benefits our members, who operate on very tight margins.</w:t>
      </w:r>
    </w:p>
    <w:p w14:paraId="72733F21" w14:textId="77777777" w:rsidR="00EA10A4" w:rsidRPr="00EA10A4" w:rsidRDefault="00EA10A4" w:rsidP="00EA10A4">
      <w:pPr>
        <w:pStyle w:val="BodyText"/>
        <w:numPr>
          <w:ilvl w:val="0"/>
          <w:numId w:val="20"/>
        </w:numPr>
        <w:spacing w:line="360" w:lineRule="auto"/>
        <w:rPr>
          <w:lang w:val="en-AU"/>
        </w:rPr>
      </w:pPr>
      <w:r w:rsidRPr="00EA10A4">
        <w:rPr>
          <w:b/>
          <w:bCs/>
          <w:lang w:val="en-AU"/>
        </w:rPr>
        <w:t>Increased transparency</w:t>
      </w:r>
      <w:r w:rsidRPr="00EA10A4">
        <w:rPr>
          <w:lang w:val="en-AU"/>
        </w:rPr>
        <w:t xml:space="preserve"> of scheme and interchange fees (Policies 6–11) could help level the playing field for small operators, provided that the published data is usable, comparable, and widely promoted.</w:t>
      </w:r>
    </w:p>
    <w:p w14:paraId="4A49C9F3" w14:textId="77777777" w:rsidR="00EA10A4" w:rsidRPr="00EA10A4" w:rsidRDefault="00EA10A4" w:rsidP="00EA10A4">
      <w:pPr>
        <w:pStyle w:val="BodyText"/>
        <w:numPr>
          <w:ilvl w:val="0"/>
          <w:numId w:val="20"/>
        </w:numPr>
        <w:spacing w:line="360" w:lineRule="auto"/>
        <w:rPr>
          <w:lang w:val="en-AU"/>
        </w:rPr>
      </w:pPr>
      <w:r w:rsidRPr="00EA10A4">
        <w:rPr>
          <w:b/>
          <w:bCs/>
          <w:lang w:val="en-AU"/>
        </w:rPr>
        <w:t>Quarterly publication</w:t>
      </w:r>
      <w:r w:rsidRPr="00EA10A4">
        <w:rPr>
          <w:lang w:val="en-AU"/>
        </w:rPr>
        <w:t xml:space="preserve"> of cost of acceptance data by large acquirers (Policy 10) could </w:t>
      </w:r>
      <w:r w:rsidRPr="00EA10A4">
        <w:rPr>
          <w:lang w:val="en-AU"/>
        </w:rPr>
        <w:lastRenderedPageBreak/>
        <w:t>support more competitive merchant service offerings.</w:t>
      </w:r>
    </w:p>
    <w:p w14:paraId="0BD55DF3" w14:textId="77777777" w:rsidR="00EA10A4" w:rsidRPr="00EA10A4" w:rsidRDefault="00EA10A4" w:rsidP="00EA10A4">
      <w:pPr>
        <w:pStyle w:val="BodyText"/>
        <w:spacing w:line="360" w:lineRule="auto"/>
        <w:rPr>
          <w:lang w:val="en-AU"/>
        </w:rPr>
      </w:pPr>
      <w:r w:rsidRPr="00EA10A4">
        <w:rPr>
          <w:b/>
          <w:bCs/>
          <w:lang w:val="en-AU"/>
        </w:rPr>
        <w:t>Key concerns and risks</w:t>
      </w:r>
    </w:p>
    <w:p w14:paraId="1381F19F" w14:textId="71858289" w:rsidR="00EA10A4" w:rsidRDefault="00EA10A4" w:rsidP="00EA10A4">
      <w:pPr>
        <w:pStyle w:val="BodyText"/>
        <w:numPr>
          <w:ilvl w:val="0"/>
          <w:numId w:val="21"/>
        </w:numPr>
        <w:spacing w:line="360" w:lineRule="auto"/>
        <w:rPr>
          <w:lang w:val="en-AU"/>
        </w:rPr>
      </w:pPr>
      <w:r w:rsidRPr="00EA10A4">
        <w:rPr>
          <w:b/>
          <w:bCs/>
          <w:lang w:val="en-AU"/>
        </w:rPr>
        <w:t>Policy 1 – Removal of surcharging</w:t>
      </w:r>
      <w:r w:rsidRPr="00EA10A4">
        <w:rPr>
          <w:lang w:val="en-AU"/>
        </w:rPr>
        <w:t>: This presents the largest risk to our sector. While the PSB assumes interchange savings will be fully passed on, the hospitality sector has seen repeated evidence that acquirers and PSPs do not always pass on wholesale reductions in full. If surcharging is removed without guaranteed, enforceable pass-through of savings,</w:t>
      </w:r>
      <w:r w:rsidR="00513B31">
        <w:rPr>
          <w:lang w:val="en-AU"/>
        </w:rPr>
        <w:t xml:space="preserve"> a recent ARCA Member survey suggests</w:t>
      </w:r>
      <w:r w:rsidRPr="00EA10A4">
        <w:rPr>
          <w:lang w:val="en-AU"/>
        </w:rPr>
        <w:t xml:space="preserve"> restaurants and cafés that currently surcharge to offset high card costs will be forced to absorb these fees in already compressed margins or increase menu prices — reducing competitiveness and potentially fuelling inflationary pressure in food service</w:t>
      </w:r>
      <w:r w:rsidR="00280407">
        <w:rPr>
          <w:lang w:val="en-AU"/>
        </w:rPr>
        <w:t xml:space="preserve"> and lead to other unintended consequences (reduction in staff</w:t>
      </w:r>
      <w:r w:rsidR="007B2664">
        <w:rPr>
          <w:lang w:val="en-AU"/>
        </w:rPr>
        <w:t xml:space="preserve"> hours</w:t>
      </w:r>
      <w:r w:rsidR="00280407">
        <w:rPr>
          <w:lang w:val="en-AU"/>
        </w:rPr>
        <w:t>,</w:t>
      </w:r>
      <w:r w:rsidR="007B2664">
        <w:rPr>
          <w:lang w:val="en-AU"/>
        </w:rPr>
        <w:t xml:space="preserve"> portions,</w:t>
      </w:r>
      <w:r w:rsidR="00280407">
        <w:rPr>
          <w:lang w:val="en-AU"/>
        </w:rPr>
        <w:t xml:space="preserve"> etc).</w:t>
      </w:r>
    </w:p>
    <w:p w14:paraId="4FD29047" w14:textId="412979B5" w:rsidR="00280407" w:rsidRDefault="00280407" w:rsidP="00280407">
      <w:pPr>
        <w:pStyle w:val="BodyText"/>
        <w:spacing w:line="360" w:lineRule="auto"/>
        <w:rPr>
          <w:lang w:val="en-AU"/>
        </w:rPr>
      </w:pPr>
      <w:r>
        <w:rPr>
          <w:rFonts w:ascii="Calibri"/>
          <w:noProof/>
          <w:sz w:val="20"/>
        </w:rPr>
        <w:drawing>
          <wp:anchor distT="0" distB="0" distL="0" distR="0" simplePos="0" relativeHeight="487618048" behindDoc="1" locked="0" layoutInCell="1" allowOverlap="1" wp14:anchorId="6F2EF961" wp14:editId="2A15BF8C">
            <wp:simplePos x="0" y="0"/>
            <wp:positionH relativeFrom="page">
              <wp:posOffset>899795</wp:posOffset>
            </wp:positionH>
            <wp:positionV relativeFrom="paragraph">
              <wp:posOffset>235585</wp:posOffset>
            </wp:positionV>
            <wp:extent cx="4635732" cy="2362200"/>
            <wp:effectExtent l="0" t="0" r="0" b="0"/>
            <wp:wrapTopAndBottom/>
            <wp:docPr id="1232949769" name="Image 63" descr="A screenshot of a menu&#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32949769" name="Image 63" descr="A screenshot of a menu&#10;&#10;AI-generated content may be incorrect."/>
                    <pic:cNvPicPr/>
                  </pic:nvPicPr>
                  <pic:blipFill>
                    <a:blip r:embed="rId18" cstate="print"/>
                    <a:stretch>
                      <a:fillRect/>
                    </a:stretch>
                  </pic:blipFill>
                  <pic:spPr>
                    <a:xfrm>
                      <a:off x="0" y="0"/>
                      <a:ext cx="4635732" cy="2362200"/>
                    </a:xfrm>
                    <a:prstGeom prst="rect">
                      <a:avLst/>
                    </a:prstGeom>
                  </pic:spPr>
                </pic:pic>
              </a:graphicData>
            </a:graphic>
          </wp:anchor>
        </w:drawing>
      </w:r>
    </w:p>
    <w:p w14:paraId="0EAB2CE0" w14:textId="77777777" w:rsidR="00280407" w:rsidRDefault="00280407" w:rsidP="00280407">
      <w:pPr>
        <w:pStyle w:val="BodyText"/>
        <w:spacing w:line="360" w:lineRule="auto"/>
        <w:rPr>
          <w:lang w:val="en-AU"/>
        </w:rPr>
      </w:pPr>
    </w:p>
    <w:p w14:paraId="4DAE2379" w14:textId="77777777" w:rsidR="003E4DD5" w:rsidRDefault="003E4DD5" w:rsidP="003E4DD5">
      <w:pPr>
        <w:pStyle w:val="BodyText"/>
        <w:spacing w:line="360" w:lineRule="auto"/>
        <w:rPr>
          <w:lang w:val="en-AU"/>
        </w:rPr>
      </w:pPr>
    </w:p>
    <w:p w14:paraId="3B1F182F" w14:textId="0F16BF82" w:rsidR="003E4DD5" w:rsidRDefault="00280407" w:rsidP="003E4DD5">
      <w:pPr>
        <w:pStyle w:val="BodyText"/>
        <w:spacing w:line="360" w:lineRule="auto"/>
        <w:rPr>
          <w:lang w:val="en-AU"/>
        </w:rPr>
      </w:pPr>
      <w:r>
        <w:rPr>
          <w:rFonts w:ascii="Calibri"/>
          <w:noProof/>
          <w:sz w:val="20"/>
        </w:rPr>
        <w:drawing>
          <wp:inline distT="0" distB="0" distL="0" distR="0" wp14:anchorId="76BD9C44" wp14:editId="2843E2CE">
            <wp:extent cx="4627189" cy="2155507"/>
            <wp:effectExtent l="0" t="0" r="0" b="0"/>
            <wp:docPr id="62" name="Image 62" descr="A screenshot of a computer&#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 name="Image 62" descr="A screenshot of a computer&#10;&#10;AI-generated content may be incorrect."/>
                    <pic:cNvPicPr/>
                  </pic:nvPicPr>
                  <pic:blipFill>
                    <a:blip r:embed="rId19" cstate="print"/>
                    <a:stretch>
                      <a:fillRect/>
                    </a:stretch>
                  </pic:blipFill>
                  <pic:spPr>
                    <a:xfrm>
                      <a:off x="0" y="0"/>
                      <a:ext cx="4627189" cy="2155507"/>
                    </a:xfrm>
                    <a:prstGeom prst="rect">
                      <a:avLst/>
                    </a:prstGeom>
                  </pic:spPr>
                </pic:pic>
              </a:graphicData>
            </a:graphic>
          </wp:inline>
        </w:drawing>
      </w:r>
    </w:p>
    <w:p w14:paraId="2DAB6B73" w14:textId="77777777" w:rsidR="003E4DD5" w:rsidRDefault="003E4DD5" w:rsidP="003E4DD5">
      <w:pPr>
        <w:pStyle w:val="BodyText"/>
        <w:spacing w:line="360" w:lineRule="auto"/>
        <w:rPr>
          <w:lang w:val="en-AU"/>
        </w:rPr>
      </w:pPr>
    </w:p>
    <w:p w14:paraId="2291E3B4" w14:textId="7A27EA28" w:rsidR="00280407" w:rsidRDefault="00280407" w:rsidP="003E4DD5">
      <w:pPr>
        <w:pStyle w:val="BodyText"/>
        <w:spacing w:line="360" w:lineRule="auto"/>
        <w:rPr>
          <w:lang w:val="en-AU"/>
        </w:rPr>
      </w:pPr>
      <w:r>
        <w:rPr>
          <w:noProof/>
          <w:sz w:val="20"/>
        </w:rPr>
        <w:lastRenderedPageBreak/>
        <w:drawing>
          <wp:inline distT="0" distB="0" distL="0" distR="0" wp14:anchorId="684F0800" wp14:editId="3AF2D16D">
            <wp:extent cx="4600944" cy="2539079"/>
            <wp:effectExtent l="0" t="0" r="0" b="0"/>
            <wp:docPr id="1294482286" name="Image 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 name="Image 68"/>
                    <pic:cNvPicPr/>
                  </pic:nvPicPr>
                  <pic:blipFill>
                    <a:blip r:embed="rId20" cstate="print"/>
                    <a:stretch>
                      <a:fillRect/>
                    </a:stretch>
                  </pic:blipFill>
                  <pic:spPr>
                    <a:xfrm>
                      <a:off x="0" y="0"/>
                      <a:ext cx="4600944" cy="2539079"/>
                    </a:xfrm>
                    <a:prstGeom prst="rect">
                      <a:avLst/>
                    </a:prstGeom>
                  </pic:spPr>
                </pic:pic>
              </a:graphicData>
            </a:graphic>
          </wp:inline>
        </w:drawing>
      </w:r>
    </w:p>
    <w:p w14:paraId="1C86070E" w14:textId="77777777" w:rsidR="00280407" w:rsidRPr="00EA10A4" w:rsidRDefault="00280407" w:rsidP="003E4DD5">
      <w:pPr>
        <w:pStyle w:val="BodyText"/>
        <w:spacing w:line="360" w:lineRule="auto"/>
        <w:rPr>
          <w:lang w:val="en-AU"/>
        </w:rPr>
      </w:pPr>
    </w:p>
    <w:p w14:paraId="7B1F1908" w14:textId="77777777" w:rsidR="00EA10A4" w:rsidRPr="00EA10A4" w:rsidRDefault="00EA10A4" w:rsidP="00EA10A4">
      <w:pPr>
        <w:pStyle w:val="BodyText"/>
        <w:numPr>
          <w:ilvl w:val="0"/>
          <w:numId w:val="21"/>
        </w:numPr>
        <w:spacing w:line="360" w:lineRule="auto"/>
        <w:rPr>
          <w:lang w:val="en-AU"/>
        </w:rPr>
      </w:pPr>
      <w:r w:rsidRPr="00EA10A4">
        <w:rPr>
          <w:b/>
          <w:bCs/>
          <w:lang w:val="en-AU"/>
        </w:rPr>
        <w:t>Reliance on “expectations” rather than enforceable obligations</w:t>
      </w:r>
      <w:r w:rsidRPr="00EA10A4">
        <w:rPr>
          <w:lang w:val="en-AU"/>
        </w:rPr>
        <w:t xml:space="preserve"> for cost pass-through, scheme fee justification, and acquirer transparency is insufficient. Without binding requirements and penalties for non-compliance, the intended competition benefits may not materialise.</w:t>
      </w:r>
    </w:p>
    <w:p w14:paraId="7310318D" w14:textId="77777777" w:rsidR="00EA10A4" w:rsidRPr="00EA10A4" w:rsidRDefault="00EA10A4" w:rsidP="00EA10A4">
      <w:pPr>
        <w:pStyle w:val="BodyText"/>
        <w:numPr>
          <w:ilvl w:val="0"/>
          <w:numId w:val="21"/>
        </w:numPr>
        <w:spacing w:line="360" w:lineRule="auto"/>
        <w:rPr>
          <w:lang w:val="en-AU"/>
        </w:rPr>
      </w:pPr>
      <w:r w:rsidRPr="00EA10A4">
        <w:rPr>
          <w:b/>
          <w:bCs/>
          <w:lang w:val="en-AU"/>
        </w:rPr>
        <w:t>Incomplete capture of mobile wallet and online transaction costs</w:t>
      </w:r>
      <w:r w:rsidRPr="00EA10A4">
        <w:rPr>
          <w:lang w:val="en-AU"/>
        </w:rPr>
        <w:t>: Given the rapid consumer shift to contactless and wallet-based payments, the regulatory framework must anticipate and address the higher scheme and interchange fees often associated with these channels.</w:t>
      </w:r>
    </w:p>
    <w:p w14:paraId="4F49F2EC" w14:textId="77777777" w:rsidR="00EA10A4" w:rsidRPr="00EA10A4" w:rsidRDefault="00EA10A4" w:rsidP="00EA10A4">
      <w:pPr>
        <w:pStyle w:val="BodyText"/>
        <w:spacing w:line="360" w:lineRule="auto"/>
        <w:rPr>
          <w:lang w:val="en-AU"/>
        </w:rPr>
      </w:pPr>
      <w:r w:rsidRPr="00EA10A4">
        <w:rPr>
          <w:b/>
          <w:bCs/>
          <w:lang w:val="en-AU"/>
        </w:rPr>
        <w:t>Variations to improve public benefit</w:t>
      </w:r>
    </w:p>
    <w:p w14:paraId="62F91595" w14:textId="77777777" w:rsidR="00EA10A4" w:rsidRPr="00EA10A4" w:rsidRDefault="00EA10A4" w:rsidP="00EA10A4">
      <w:pPr>
        <w:pStyle w:val="BodyText"/>
        <w:numPr>
          <w:ilvl w:val="0"/>
          <w:numId w:val="22"/>
        </w:numPr>
        <w:spacing w:line="360" w:lineRule="auto"/>
        <w:rPr>
          <w:lang w:val="en-AU"/>
        </w:rPr>
      </w:pPr>
      <w:r w:rsidRPr="00EA10A4">
        <w:rPr>
          <w:lang w:val="en-AU"/>
        </w:rPr>
        <w:t xml:space="preserve">Maintain the ability to surcharge at least </w:t>
      </w:r>
      <w:r w:rsidRPr="00EA10A4">
        <w:rPr>
          <w:b/>
          <w:bCs/>
          <w:lang w:val="en-AU"/>
        </w:rPr>
        <w:t>credit card and foreign card transactions</w:t>
      </w:r>
      <w:r w:rsidRPr="00EA10A4">
        <w:rPr>
          <w:lang w:val="en-AU"/>
        </w:rPr>
        <w:t xml:space="preserve"> until there is demonstrable evidence — through independent monitoring — that interchange savings </w:t>
      </w:r>
      <w:proofErr w:type="gramStart"/>
      <w:r w:rsidRPr="00EA10A4">
        <w:rPr>
          <w:lang w:val="en-AU"/>
        </w:rPr>
        <w:t>are</w:t>
      </w:r>
      <w:proofErr w:type="gramEnd"/>
      <w:r w:rsidRPr="00EA10A4">
        <w:rPr>
          <w:lang w:val="en-AU"/>
        </w:rPr>
        <w:t xml:space="preserve"> being passed through in full to merchants across all sectors.</w:t>
      </w:r>
    </w:p>
    <w:p w14:paraId="08BDEAC5" w14:textId="77777777" w:rsidR="00EA10A4" w:rsidRPr="00EA10A4" w:rsidRDefault="00EA10A4" w:rsidP="00EA10A4">
      <w:pPr>
        <w:pStyle w:val="BodyText"/>
        <w:numPr>
          <w:ilvl w:val="0"/>
          <w:numId w:val="22"/>
        </w:numPr>
        <w:spacing w:line="360" w:lineRule="auto"/>
        <w:rPr>
          <w:lang w:val="en-AU"/>
        </w:rPr>
      </w:pPr>
      <w:r w:rsidRPr="00EA10A4">
        <w:rPr>
          <w:lang w:val="en-AU"/>
        </w:rPr>
        <w:t xml:space="preserve">Introduce </w:t>
      </w:r>
      <w:r w:rsidRPr="00EA10A4">
        <w:rPr>
          <w:b/>
          <w:bCs/>
          <w:lang w:val="en-AU"/>
        </w:rPr>
        <w:t>mandatory pass-through provisions</w:t>
      </w:r>
      <w:r w:rsidRPr="00EA10A4">
        <w:rPr>
          <w:lang w:val="en-AU"/>
        </w:rPr>
        <w:t xml:space="preserve"> with annual ACCC audits to ensure acquirers are not retaining savings.</w:t>
      </w:r>
    </w:p>
    <w:p w14:paraId="78E441C8" w14:textId="77777777" w:rsidR="00EA10A4" w:rsidRPr="00EA10A4" w:rsidRDefault="00EA10A4" w:rsidP="00EA10A4">
      <w:pPr>
        <w:pStyle w:val="BodyText"/>
        <w:numPr>
          <w:ilvl w:val="0"/>
          <w:numId w:val="22"/>
        </w:numPr>
        <w:spacing w:line="360" w:lineRule="auto"/>
        <w:rPr>
          <w:lang w:val="en-AU"/>
        </w:rPr>
      </w:pPr>
      <w:r w:rsidRPr="00EA10A4">
        <w:rPr>
          <w:lang w:val="en-AU"/>
        </w:rPr>
        <w:t xml:space="preserve">Implement </w:t>
      </w:r>
      <w:r w:rsidRPr="00EA10A4">
        <w:rPr>
          <w:b/>
          <w:bCs/>
          <w:lang w:val="en-AU"/>
        </w:rPr>
        <w:t>a small business-specific transparency requirement</w:t>
      </w:r>
      <w:r w:rsidRPr="00EA10A4">
        <w:rPr>
          <w:lang w:val="en-AU"/>
        </w:rPr>
        <w:t>, with cost of acceptance data clearly broken down for businesses under $10m turnover and communicated in plain language.</w:t>
      </w:r>
    </w:p>
    <w:p w14:paraId="67BC9B07" w14:textId="77777777" w:rsidR="00EA10A4" w:rsidRPr="00EA10A4" w:rsidRDefault="00EA10A4" w:rsidP="00EA10A4">
      <w:pPr>
        <w:pStyle w:val="BodyText"/>
        <w:spacing w:line="360" w:lineRule="auto"/>
        <w:rPr>
          <w:lang w:val="en-AU"/>
        </w:rPr>
      </w:pPr>
      <w:r w:rsidRPr="00EA10A4">
        <w:rPr>
          <w:b/>
          <w:bCs/>
          <w:lang w:val="en-AU"/>
        </w:rPr>
        <w:t>Additional evidence the RBA should consider</w:t>
      </w:r>
    </w:p>
    <w:p w14:paraId="499441AC" w14:textId="77777777" w:rsidR="00EA10A4" w:rsidRPr="00EA10A4" w:rsidRDefault="00EA10A4" w:rsidP="00EA10A4">
      <w:pPr>
        <w:pStyle w:val="BodyText"/>
        <w:numPr>
          <w:ilvl w:val="0"/>
          <w:numId w:val="23"/>
        </w:numPr>
        <w:spacing w:line="360" w:lineRule="auto"/>
        <w:rPr>
          <w:lang w:val="en-AU"/>
        </w:rPr>
      </w:pPr>
      <w:r w:rsidRPr="00EA10A4">
        <w:rPr>
          <w:lang w:val="en-AU"/>
        </w:rPr>
        <w:t xml:space="preserve">Data on </w:t>
      </w:r>
      <w:r w:rsidRPr="00EA10A4">
        <w:rPr>
          <w:b/>
          <w:bCs/>
          <w:lang w:val="en-AU"/>
        </w:rPr>
        <w:t>actual pass-through rates</w:t>
      </w:r>
      <w:r w:rsidRPr="00EA10A4">
        <w:rPr>
          <w:lang w:val="en-AU"/>
        </w:rPr>
        <w:t xml:space="preserve"> from previous interchange cap reductions, disaggregated by merchant size and sector.</w:t>
      </w:r>
    </w:p>
    <w:p w14:paraId="57A82D10" w14:textId="77777777" w:rsidR="00EA10A4" w:rsidRPr="00EA10A4" w:rsidRDefault="00EA10A4" w:rsidP="00EA10A4">
      <w:pPr>
        <w:pStyle w:val="BodyText"/>
        <w:numPr>
          <w:ilvl w:val="0"/>
          <w:numId w:val="23"/>
        </w:numPr>
        <w:spacing w:line="360" w:lineRule="auto"/>
        <w:rPr>
          <w:lang w:val="en-AU"/>
        </w:rPr>
      </w:pPr>
      <w:r w:rsidRPr="00EA10A4">
        <w:rPr>
          <w:lang w:val="en-AU"/>
        </w:rPr>
        <w:t>Hospitality-specific transaction mix analysis, to model the real-world impact of removing surcharging when weighted against the sector’s average payment profile (high debit use, small-ticket size, high transaction volume).</w:t>
      </w:r>
    </w:p>
    <w:p w14:paraId="69D5A6E3" w14:textId="77777777" w:rsidR="00EA10A4" w:rsidRPr="00EA10A4" w:rsidRDefault="00177925" w:rsidP="00EA10A4">
      <w:pPr>
        <w:pStyle w:val="BodyText"/>
        <w:spacing w:line="360" w:lineRule="auto"/>
        <w:rPr>
          <w:lang w:val="en-AU"/>
        </w:rPr>
      </w:pPr>
      <w:r>
        <w:rPr>
          <w:lang w:val="en-AU"/>
        </w:rPr>
        <w:pict w14:anchorId="395FE769">
          <v:rect id="_x0000_i1042" style="width:0;height:1.5pt" o:hralign="center" o:hrstd="t" o:hr="t" fillcolor="#a0a0a0" stroked="f"/>
        </w:pict>
      </w:r>
    </w:p>
    <w:p w14:paraId="5C2E75A2" w14:textId="77777777" w:rsidR="00B5560E" w:rsidRPr="00B5560E" w:rsidRDefault="00B5560E" w:rsidP="00B5560E">
      <w:pPr>
        <w:pStyle w:val="BodyText"/>
        <w:spacing w:line="360" w:lineRule="auto"/>
        <w:rPr>
          <w:b/>
          <w:bCs/>
          <w:lang w:val="en-AU"/>
        </w:rPr>
      </w:pPr>
      <w:r w:rsidRPr="00B5560E">
        <w:rPr>
          <w:b/>
          <w:bCs/>
          <w:lang w:val="en-AU"/>
        </w:rPr>
        <w:lastRenderedPageBreak/>
        <w:t>We recommend a sequenced implementation:</w:t>
      </w:r>
    </w:p>
    <w:p w14:paraId="7D63BD69" w14:textId="77777777" w:rsidR="00B5560E" w:rsidRPr="00B5560E" w:rsidRDefault="00B5560E" w:rsidP="00B5560E">
      <w:pPr>
        <w:pStyle w:val="BodyText"/>
        <w:spacing w:line="360" w:lineRule="auto"/>
        <w:rPr>
          <w:lang w:val="en-AU"/>
        </w:rPr>
      </w:pPr>
      <w:r w:rsidRPr="00B5560E">
        <w:rPr>
          <w:b/>
          <w:bCs/>
          <w:lang w:val="en-AU"/>
        </w:rPr>
        <w:t>1.</w:t>
      </w:r>
      <w:r w:rsidRPr="00B5560E">
        <w:rPr>
          <w:b/>
          <w:bCs/>
          <w:lang w:val="en-AU"/>
        </w:rPr>
        <w:tab/>
      </w:r>
      <w:r w:rsidRPr="00B5560E">
        <w:rPr>
          <w:lang w:val="en-AU"/>
        </w:rPr>
        <w:t>Reduce interchange caps.</w:t>
      </w:r>
    </w:p>
    <w:p w14:paraId="7666651E" w14:textId="77777777" w:rsidR="00B5560E" w:rsidRPr="00B5560E" w:rsidRDefault="00B5560E" w:rsidP="00B5560E">
      <w:pPr>
        <w:pStyle w:val="BodyText"/>
        <w:spacing w:line="360" w:lineRule="auto"/>
        <w:rPr>
          <w:lang w:val="en-AU"/>
        </w:rPr>
      </w:pPr>
      <w:r w:rsidRPr="00B5560E">
        <w:rPr>
          <w:lang w:val="en-AU"/>
        </w:rPr>
        <w:t>2.</w:t>
      </w:r>
      <w:r w:rsidRPr="00B5560E">
        <w:rPr>
          <w:lang w:val="en-AU"/>
        </w:rPr>
        <w:tab/>
        <w:t>Turn on transparency, simplification, LCR default on, and enforceable scheme fee guardrails.</w:t>
      </w:r>
    </w:p>
    <w:p w14:paraId="51423964" w14:textId="77777777" w:rsidR="00B5560E" w:rsidRPr="00B5560E" w:rsidRDefault="00B5560E" w:rsidP="00B5560E">
      <w:pPr>
        <w:pStyle w:val="BodyText"/>
        <w:spacing w:line="360" w:lineRule="auto"/>
        <w:rPr>
          <w:lang w:val="en-AU"/>
        </w:rPr>
      </w:pPr>
      <w:r w:rsidRPr="00B5560E">
        <w:rPr>
          <w:lang w:val="en-AU"/>
        </w:rPr>
        <w:t>3.</w:t>
      </w:r>
      <w:r w:rsidRPr="00B5560E">
        <w:rPr>
          <w:lang w:val="en-AU"/>
        </w:rPr>
        <w:tab/>
        <w:t>Only then adjust surcharging settings (if at all).</w:t>
      </w:r>
    </w:p>
    <w:p w14:paraId="74A09727" w14:textId="77777777" w:rsidR="00B5560E" w:rsidRPr="00B5560E" w:rsidRDefault="00B5560E" w:rsidP="00B5560E">
      <w:pPr>
        <w:pStyle w:val="BodyText"/>
        <w:spacing w:line="360" w:lineRule="auto"/>
        <w:rPr>
          <w:lang w:val="en-AU"/>
        </w:rPr>
      </w:pPr>
      <w:r w:rsidRPr="00B5560E">
        <w:rPr>
          <w:lang w:val="en-AU"/>
        </w:rPr>
        <w:t>This order ensures wholesale savings are real and cannot be re inflated by scheme fees, thereby softening the blow to merchants and preserving price transparency.</w:t>
      </w:r>
    </w:p>
    <w:p w14:paraId="39994600" w14:textId="4FD3AD9A" w:rsidR="00B5560E" w:rsidRPr="00B5560E" w:rsidRDefault="00B5560E" w:rsidP="00B5560E">
      <w:pPr>
        <w:pStyle w:val="BodyText"/>
        <w:spacing w:line="360" w:lineRule="auto"/>
        <w:rPr>
          <w:lang w:val="en-AU"/>
        </w:rPr>
      </w:pPr>
      <w:r w:rsidRPr="00B5560E">
        <w:rPr>
          <w:lang w:val="en-AU"/>
        </w:rPr>
        <w:t xml:space="preserve">In short: sequence the package. Lower interchange first; lock in scheme fee transparency, simplification, LCR default on, and enforceable backstops second; then, after a </w:t>
      </w:r>
      <w:proofErr w:type="gramStart"/>
      <w:r w:rsidRPr="00B5560E">
        <w:rPr>
          <w:lang w:val="en-AU"/>
        </w:rPr>
        <w:t>12-18 month</w:t>
      </w:r>
      <w:proofErr w:type="gramEnd"/>
      <w:r w:rsidRPr="00B5560E">
        <w:rPr>
          <w:lang w:val="en-AU"/>
        </w:rPr>
        <w:t xml:space="preserve"> implementation window for contracts and systems, consider any surcharging changes, so savings reach merchants and cannot be undone by fee drift.</w:t>
      </w:r>
    </w:p>
    <w:p w14:paraId="1C790C3F" w14:textId="77777777" w:rsidR="00B5560E" w:rsidRDefault="00B5560E" w:rsidP="00B5560E">
      <w:pPr>
        <w:pStyle w:val="BodyText"/>
        <w:spacing w:line="360" w:lineRule="auto"/>
        <w:rPr>
          <w:b/>
          <w:bCs/>
          <w:lang w:val="en-AU"/>
        </w:rPr>
      </w:pPr>
    </w:p>
    <w:p w14:paraId="447037C5" w14:textId="1B30C8EF" w:rsidR="00EA10A4" w:rsidRPr="00EA10A4" w:rsidRDefault="00EA10A4" w:rsidP="00EA10A4">
      <w:pPr>
        <w:pStyle w:val="BodyText"/>
        <w:spacing w:line="360" w:lineRule="auto"/>
        <w:rPr>
          <w:lang w:val="en-AU"/>
        </w:rPr>
      </w:pPr>
      <w:r w:rsidRPr="00EA10A4">
        <w:rPr>
          <w:b/>
          <w:bCs/>
          <w:lang w:val="en-AU"/>
        </w:rPr>
        <w:t>Q13 – Feedback on Implementation Timeline</w:t>
      </w:r>
    </w:p>
    <w:p w14:paraId="20184A39" w14:textId="4040F50C" w:rsidR="00EA10A4" w:rsidRPr="00EA10A4" w:rsidRDefault="00EA10A4" w:rsidP="00EA10A4">
      <w:pPr>
        <w:pStyle w:val="BodyText"/>
        <w:spacing w:line="360" w:lineRule="auto"/>
        <w:rPr>
          <w:lang w:val="en-AU"/>
        </w:rPr>
      </w:pPr>
      <w:r w:rsidRPr="00EA10A4">
        <w:rPr>
          <w:lang w:val="en-AU"/>
        </w:rPr>
        <w:t xml:space="preserve">The proposed 1 July 2026 commencement for the major changes is </w:t>
      </w:r>
      <w:r w:rsidR="00A46CEF">
        <w:rPr>
          <w:b/>
          <w:bCs/>
          <w:lang w:val="en-AU"/>
        </w:rPr>
        <w:t xml:space="preserve">not achievable </w:t>
      </w:r>
      <w:r w:rsidRPr="00EA10A4">
        <w:rPr>
          <w:lang w:val="en-AU"/>
        </w:rPr>
        <w:t xml:space="preserve">for most restaurants and </w:t>
      </w:r>
      <w:proofErr w:type="gramStart"/>
      <w:r w:rsidRPr="00EA10A4">
        <w:rPr>
          <w:lang w:val="en-AU"/>
        </w:rPr>
        <w:t>cafés</w:t>
      </w:r>
      <w:proofErr w:type="gramEnd"/>
      <w:r w:rsidR="00A46CEF">
        <w:rPr>
          <w:lang w:val="en-AU"/>
        </w:rPr>
        <w:t xml:space="preserve"> and we support a 1 July 2027 implementation</w:t>
      </w:r>
      <w:r w:rsidRPr="00EA10A4">
        <w:rPr>
          <w:lang w:val="en-AU"/>
        </w:rPr>
        <w:t xml:space="preserve"> </w:t>
      </w:r>
      <w:r w:rsidRPr="00EA10A4">
        <w:rPr>
          <w:b/>
          <w:bCs/>
          <w:lang w:val="en-AU"/>
        </w:rPr>
        <w:t>if</w:t>
      </w:r>
      <w:r w:rsidRPr="00EA10A4">
        <w:rPr>
          <w:lang w:val="en-AU"/>
        </w:rPr>
        <w:t>:</w:t>
      </w:r>
    </w:p>
    <w:p w14:paraId="5EE43563" w14:textId="512267B9" w:rsidR="00EA10A4" w:rsidRPr="00EA10A4" w:rsidRDefault="00EA10A4" w:rsidP="00EA10A4">
      <w:pPr>
        <w:pStyle w:val="BodyText"/>
        <w:numPr>
          <w:ilvl w:val="0"/>
          <w:numId w:val="24"/>
        </w:numPr>
        <w:spacing w:line="360" w:lineRule="auto"/>
        <w:rPr>
          <w:lang w:val="en-AU"/>
        </w:rPr>
      </w:pPr>
      <w:r w:rsidRPr="00EA10A4">
        <w:rPr>
          <w:lang w:val="en-AU"/>
        </w:rPr>
        <w:t>Clear, finalised rules are published by end-202</w:t>
      </w:r>
      <w:r w:rsidR="00A46CEF">
        <w:rPr>
          <w:lang w:val="en-AU"/>
        </w:rPr>
        <w:t>6</w:t>
      </w:r>
      <w:r w:rsidRPr="00EA10A4">
        <w:rPr>
          <w:lang w:val="en-AU"/>
        </w:rPr>
        <w:t>, with no late-stage amendments.</w:t>
      </w:r>
    </w:p>
    <w:p w14:paraId="73E0F825" w14:textId="7E36EE50" w:rsidR="00EA10A4" w:rsidRPr="00EA10A4" w:rsidRDefault="00EA10A4" w:rsidP="00EA10A4">
      <w:pPr>
        <w:pStyle w:val="BodyText"/>
        <w:numPr>
          <w:ilvl w:val="0"/>
          <w:numId w:val="24"/>
        </w:numPr>
        <w:spacing w:line="360" w:lineRule="auto"/>
        <w:rPr>
          <w:lang w:val="en-AU"/>
        </w:rPr>
      </w:pPr>
      <w:r w:rsidRPr="00EA10A4">
        <w:rPr>
          <w:lang w:val="en-AU"/>
        </w:rPr>
        <w:t xml:space="preserve">Acquirers are required to notify merchants of the exact changes to their rates at least </w:t>
      </w:r>
      <w:r w:rsidR="001A15B9">
        <w:rPr>
          <w:lang w:val="en-AU"/>
        </w:rPr>
        <w:t>12</w:t>
      </w:r>
      <w:r w:rsidRPr="00EA10A4">
        <w:rPr>
          <w:lang w:val="en-AU"/>
        </w:rPr>
        <w:t xml:space="preserve"> months before implementation.</w:t>
      </w:r>
    </w:p>
    <w:p w14:paraId="189C93D6" w14:textId="77777777" w:rsidR="00EA10A4" w:rsidRPr="00EA10A4" w:rsidRDefault="00EA10A4" w:rsidP="00EA10A4">
      <w:pPr>
        <w:pStyle w:val="BodyText"/>
        <w:spacing w:line="360" w:lineRule="auto"/>
        <w:rPr>
          <w:lang w:val="en-AU"/>
        </w:rPr>
      </w:pPr>
      <w:r w:rsidRPr="00EA10A4">
        <w:rPr>
          <w:lang w:val="en-AU"/>
        </w:rPr>
        <w:t>However, there are two timing concerns:</w:t>
      </w:r>
    </w:p>
    <w:p w14:paraId="49E03DE7" w14:textId="409C11AC" w:rsidR="00EA10A4" w:rsidRPr="00EA10A4" w:rsidRDefault="00EA10A4" w:rsidP="00EA10A4">
      <w:pPr>
        <w:pStyle w:val="BodyText"/>
        <w:numPr>
          <w:ilvl w:val="0"/>
          <w:numId w:val="25"/>
        </w:numPr>
        <w:spacing w:line="360" w:lineRule="auto"/>
        <w:rPr>
          <w:lang w:val="en-AU"/>
        </w:rPr>
      </w:pPr>
      <w:r w:rsidRPr="00EA10A4">
        <w:rPr>
          <w:b/>
          <w:bCs/>
          <w:lang w:val="en-AU"/>
        </w:rPr>
        <w:t>Policy 1 (</w:t>
      </w:r>
      <w:r w:rsidR="00A46CEF">
        <w:rPr>
          <w:b/>
          <w:bCs/>
          <w:lang w:val="en-AU"/>
        </w:rPr>
        <w:t xml:space="preserve">Any </w:t>
      </w:r>
      <w:r w:rsidRPr="00EA10A4">
        <w:rPr>
          <w:b/>
          <w:bCs/>
          <w:lang w:val="en-AU"/>
        </w:rPr>
        <w:t>Removal of Surcharging</w:t>
      </w:r>
      <w:r w:rsidR="008104CF">
        <w:rPr>
          <w:b/>
          <w:bCs/>
          <w:lang w:val="en-AU"/>
        </w:rPr>
        <w:t>-which we do not support</w:t>
      </w:r>
      <w:r w:rsidRPr="00EA10A4">
        <w:rPr>
          <w:b/>
          <w:bCs/>
          <w:lang w:val="en-AU"/>
        </w:rPr>
        <w:t>)</w:t>
      </w:r>
      <w:r w:rsidRPr="00EA10A4">
        <w:rPr>
          <w:lang w:val="en-AU"/>
        </w:rPr>
        <w:t xml:space="preserve"> should not take effect until there is an </w:t>
      </w:r>
      <w:r w:rsidRPr="00EA10A4">
        <w:rPr>
          <w:b/>
          <w:bCs/>
          <w:lang w:val="en-AU"/>
        </w:rPr>
        <w:t>audited, public report confirming that interchange savings are being passed through</w:t>
      </w:r>
      <w:r w:rsidRPr="00EA10A4">
        <w:rPr>
          <w:lang w:val="en-AU"/>
        </w:rPr>
        <w:t>. Otherwise, businesses could face higher net costs immediately on implementation.</w:t>
      </w:r>
    </w:p>
    <w:p w14:paraId="3AB3937F" w14:textId="3F8F9E2C" w:rsidR="00EA10A4" w:rsidRDefault="00EA10A4" w:rsidP="00EA10A4">
      <w:pPr>
        <w:pStyle w:val="BodyText"/>
        <w:numPr>
          <w:ilvl w:val="0"/>
          <w:numId w:val="25"/>
        </w:numPr>
        <w:spacing w:line="360" w:lineRule="auto"/>
        <w:rPr>
          <w:lang w:val="en-AU"/>
        </w:rPr>
      </w:pPr>
      <w:r w:rsidRPr="00EA10A4">
        <w:rPr>
          <w:lang w:val="en-AU"/>
        </w:rPr>
        <w:t xml:space="preserve">Transparency measures (Policies 6–11) should </w:t>
      </w:r>
      <w:r w:rsidRPr="00EA10A4">
        <w:rPr>
          <w:b/>
          <w:bCs/>
          <w:lang w:val="en-AU"/>
        </w:rPr>
        <w:t>commence</w:t>
      </w:r>
      <w:r w:rsidRPr="00EA10A4">
        <w:rPr>
          <w:lang w:val="en-AU"/>
        </w:rPr>
        <w:t xml:space="preserve"> — ideally in 2026 — so merchants can use the data to renegotiate plans before surcharging is removed.</w:t>
      </w:r>
    </w:p>
    <w:p w14:paraId="4DB9C617" w14:textId="40423D34" w:rsidR="002A3759" w:rsidRPr="00EA10A4" w:rsidRDefault="002A3759" w:rsidP="002A3759">
      <w:pPr>
        <w:pStyle w:val="BodyText"/>
        <w:spacing w:line="360" w:lineRule="auto"/>
        <w:rPr>
          <w:lang w:val="en-AU"/>
        </w:rPr>
      </w:pPr>
      <w:r>
        <w:rPr>
          <w:lang w:val="en-AU"/>
        </w:rPr>
        <w:t>Noting-</w:t>
      </w:r>
      <w:r w:rsidRPr="002A3759">
        <w:rPr>
          <w:lang w:val="en-AU"/>
        </w:rPr>
        <w:t>ARCA supports a commencement no sooner than 12-18 months after final standards to allow repricing, software changes (POS/PSP), signage, staff training, and contract renegotiation.</w:t>
      </w:r>
    </w:p>
    <w:p w14:paraId="162E3B0B" w14:textId="77777777" w:rsidR="00EA10A4" w:rsidRPr="00EA10A4" w:rsidRDefault="00177925" w:rsidP="00EA10A4">
      <w:pPr>
        <w:pStyle w:val="BodyText"/>
        <w:spacing w:line="360" w:lineRule="auto"/>
        <w:rPr>
          <w:lang w:val="en-AU"/>
        </w:rPr>
      </w:pPr>
      <w:r>
        <w:rPr>
          <w:lang w:val="en-AU"/>
        </w:rPr>
        <w:pict w14:anchorId="2F3D8B53">
          <v:rect id="_x0000_i1043" style="width:0;height:1.5pt" o:hralign="center" o:hrstd="t" o:hr="t" fillcolor="#a0a0a0" stroked="f"/>
        </w:pict>
      </w:r>
    </w:p>
    <w:p w14:paraId="069BC88D" w14:textId="77777777" w:rsidR="00EA10A4" w:rsidRPr="00EA10A4" w:rsidRDefault="00EA10A4" w:rsidP="00EA10A4">
      <w:pPr>
        <w:pStyle w:val="BodyText"/>
        <w:spacing w:line="360" w:lineRule="auto"/>
        <w:rPr>
          <w:lang w:val="en-AU"/>
        </w:rPr>
      </w:pPr>
      <w:r w:rsidRPr="00EA10A4">
        <w:rPr>
          <w:b/>
          <w:bCs/>
          <w:lang w:val="en-AU"/>
        </w:rPr>
        <w:t>Q14 – Draft Standards in Appendix D</w:t>
      </w:r>
    </w:p>
    <w:p w14:paraId="21697B80" w14:textId="77777777" w:rsidR="00EA10A4" w:rsidRPr="00EA10A4" w:rsidRDefault="00EA10A4" w:rsidP="00EA10A4">
      <w:pPr>
        <w:pStyle w:val="BodyText"/>
        <w:spacing w:line="360" w:lineRule="auto"/>
        <w:rPr>
          <w:lang w:val="en-AU"/>
        </w:rPr>
      </w:pPr>
      <w:r w:rsidRPr="00EA10A4">
        <w:rPr>
          <w:lang w:val="en-AU"/>
        </w:rPr>
        <w:t>While the draft standards appear to align with the stated objectives, there are several areas where they do not fully address the needs of small hospitality businesses:</w:t>
      </w:r>
    </w:p>
    <w:p w14:paraId="66B3B2C4" w14:textId="77777777" w:rsidR="00EA10A4" w:rsidRPr="00EA10A4" w:rsidRDefault="00EA10A4" w:rsidP="00EA10A4">
      <w:pPr>
        <w:pStyle w:val="BodyText"/>
        <w:numPr>
          <w:ilvl w:val="0"/>
          <w:numId w:val="26"/>
        </w:numPr>
        <w:spacing w:line="360" w:lineRule="auto"/>
        <w:rPr>
          <w:lang w:val="en-AU"/>
        </w:rPr>
      </w:pPr>
      <w:r w:rsidRPr="00EA10A4">
        <w:rPr>
          <w:b/>
          <w:bCs/>
          <w:lang w:val="en-AU"/>
        </w:rPr>
        <w:t>Pass-through enforcement</w:t>
      </w:r>
      <w:r w:rsidRPr="00EA10A4">
        <w:rPr>
          <w:lang w:val="en-AU"/>
        </w:rPr>
        <w:t>: The draft standards set disclosure obligations but do not include a compliance mechanism to ensure that wholesale fee reductions flow through to merchant pricing.</w:t>
      </w:r>
    </w:p>
    <w:p w14:paraId="16DDFE2B" w14:textId="77777777" w:rsidR="00EA10A4" w:rsidRPr="00EA10A4" w:rsidRDefault="00EA10A4" w:rsidP="00EA10A4">
      <w:pPr>
        <w:pStyle w:val="BodyText"/>
        <w:numPr>
          <w:ilvl w:val="0"/>
          <w:numId w:val="26"/>
        </w:numPr>
        <w:spacing w:line="360" w:lineRule="auto"/>
        <w:rPr>
          <w:lang w:val="en-AU"/>
        </w:rPr>
      </w:pPr>
      <w:r w:rsidRPr="00EA10A4">
        <w:rPr>
          <w:b/>
          <w:bCs/>
          <w:lang w:val="en-AU"/>
        </w:rPr>
        <w:t>Sector-specific impacts</w:t>
      </w:r>
      <w:r w:rsidRPr="00EA10A4">
        <w:rPr>
          <w:lang w:val="en-AU"/>
        </w:rPr>
        <w:t xml:space="preserve">: The standards do not explicitly account for high-volume, </w:t>
      </w:r>
      <w:r w:rsidRPr="00EA10A4">
        <w:rPr>
          <w:lang w:val="en-AU"/>
        </w:rPr>
        <w:lastRenderedPageBreak/>
        <w:t>low-value transaction environments like cafés, where even small per-transaction increases materially affect profitability.</w:t>
      </w:r>
    </w:p>
    <w:p w14:paraId="5D6C7FDA" w14:textId="77777777" w:rsidR="00EA10A4" w:rsidRPr="00EA10A4" w:rsidRDefault="00EA10A4" w:rsidP="00EA10A4">
      <w:pPr>
        <w:pStyle w:val="BodyText"/>
        <w:numPr>
          <w:ilvl w:val="0"/>
          <w:numId w:val="26"/>
        </w:numPr>
        <w:spacing w:line="360" w:lineRule="auto"/>
        <w:rPr>
          <w:lang w:val="en-AU"/>
        </w:rPr>
      </w:pPr>
      <w:r w:rsidRPr="00EA10A4">
        <w:rPr>
          <w:b/>
          <w:bCs/>
          <w:lang w:val="en-AU"/>
        </w:rPr>
        <w:t>Simplicity and clarity</w:t>
      </w:r>
      <w:r w:rsidRPr="00EA10A4">
        <w:rPr>
          <w:lang w:val="en-AU"/>
        </w:rPr>
        <w:t>: Disclosures must be in plain language and provided in merchant statements in a way that allows an owner-operator — not just an accountant — to easily identify cost changes and competitive alternatives.</w:t>
      </w:r>
    </w:p>
    <w:p w14:paraId="2671ABEF" w14:textId="77777777" w:rsidR="00EA10A4" w:rsidRPr="00EA10A4" w:rsidRDefault="00EA10A4" w:rsidP="00EA10A4">
      <w:pPr>
        <w:pStyle w:val="BodyText"/>
        <w:numPr>
          <w:ilvl w:val="0"/>
          <w:numId w:val="26"/>
        </w:numPr>
        <w:spacing w:line="360" w:lineRule="auto"/>
        <w:rPr>
          <w:lang w:val="en-AU"/>
        </w:rPr>
      </w:pPr>
      <w:r w:rsidRPr="00EA10A4">
        <w:rPr>
          <w:b/>
          <w:bCs/>
          <w:lang w:val="en-AU"/>
        </w:rPr>
        <w:t>Inclusion of all payment channels</w:t>
      </w:r>
      <w:r w:rsidRPr="00EA10A4">
        <w:rPr>
          <w:lang w:val="en-AU"/>
        </w:rPr>
        <w:t>: The standards should ensure that fees and interchange rates for mobile wallet, tokenised, and online transactions are captured with the same transparency as card-present transactions.</w:t>
      </w:r>
    </w:p>
    <w:p w14:paraId="71DDAC37" w14:textId="77777777" w:rsidR="00EA10A4" w:rsidRPr="00EA10A4" w:rsidRDefault="00EA10A4" w:rsidP="00EA10A4">
      <w:pPr>
        <w:pStyle w:val="BodyText"/>
        <w:spacing w:line="360" w:lineRule="auto"/>
        <w:rPr>
          <w:lang w:val="en-AU"/>
        </w:rPr>
      </w:pPr>
      <w:r w:rsidRPr="00EA10A4">
        <w:rPr>
          <w:lang w:val="en-AU"/>
        </w:rPr>
        <w:t>Without these additions, there is a risk that the policy objectives will be met only partially, and small merchants in the hospitality sector — despite being the intended beneficiaries — could end up disadvantaged.</w:t>
      </w:r>
    </w:p>
    <w:p w14:paraId="7362E15F" w14:textId="77777777" w:rsidR="00D10310" w:rsidRDefault="00D10310">
      <w:pPr>
        <w:pStyle w:val="BodyText"/>
        <w:spacing w:before="180"/>
      </w:pPr>
    </w:p>
    <w:p w14:paraId="7362E160" w14:textId="77777777" w:rsidR="00D10310" w:rsidRDefault="001C4C1E">
      <w:pPr>
        <w:pStyle w:val="BodyText"/>
        <w:ind w:left="23"/>
      </w:pPr>
      <w:r>
        <w:t>Thank</w:t>
      </w:r>
      <w:r>
        <w:rPr>
          <w:spacing w:val="-7"/>
        </w:rPr>
        <w:t xml:space="preserve"> </w:t>
      </w:r>
      <w:r>
        <w:rPr>
          <w:spacing w:val="-4"/>
        </w:rPr>
        <w:t>you.</w:t>
      </w:r>
    </w:p>
    <w:p w14:paraId="7362E161" w14:textId="51A24EB4" w:rsidR="00D10310" w:rsidRDefault="001C4C1E">
      <w:pPr>
        <w:pStyle w:val="BodyText"/>
        <w:spacing w:before="179"/>
        <w:ind w:left="23"/>
      </w:pPr>
      <w:r>
        <w:t>Wes</w:t>
      </w:r>
      <w:r>
        <w:rPr>
          <w:spacing w:val="-12"/>
        </w:rPr>
        <w:t xml:space="preserve"> </w:t>
      </w:r>
      <w:r>
        <w:t>Lambert</w:t>
      </w:r>
      <w:r>
        <w:rPr>
          <w:spacing w:val="-11"/>
        </w:rPr>
        <w:t xml:space="preserve"> </w:t>
      </w:r>
      <w:r>
        <w:t>CPA,</w:t>
      </w:r>
      <w:r>
        <w:rPr>
          <w:spacing w:val="-11"/>
        </w:rPr>
        <w:t xml:space="preserve"> </w:t>
      </w:r>
      <w:r>
        <w:t>FGIA,</w:t>
      </w:r>
      <w:r>
        <w:rPr>
          <w:spacing w:val="-11"/>
        </w:rPr>
        <w:t xml:space="preserve"> </w:t>
      </w:r>
      <w:r>
        <w:t>CAE,</w:t>
      </w:r>
      <w:r w:rsidR="004D6407">
        <w:t xml:space="preserve"> </w:t>
      </w:r>
      <w:proofErr w:type="spellStart"/>
      <w:r w:rsidR="004D6407">
        <w:t>AAiP</w:t>
      </w:r>
      <w:proofErr w:type="spellEnd"/>
      <w:r w:rsidR="004D6407">
        <w:t>,</w:t>
      </w:r>
      <w:r>
        <w:rPr>
          <w:spacing w:val="-10"/>
        </w:rPr>
        <w:t xml:space="preserve"> </w:t>
      </w:r>
      <w:r>
        <w:rPr>
          <w:spacing w:val="-4"/>
        </w:rPr>
        <w:t>MAICD</w:t>
      </w:r>
    </w:p>
    <w:p w14:paraId="7362E162" w14:textId="77777777" w:rsidR="00D10310" w:rsidRDefault="001C4C1E">
      <w:pPr>
        <w:pStyle w:val="BodyText"/>
        <w:spacing w:before="127"/>
        <w:ind w:left="23"/>
      </w:pPr>
      <w:r>
        <w:t>Chief</w:t>
      </w:r>
      <w:r>
        <w:rPr>
          <w:spacing w:val="-9"/>
        </w:rPr>
        <w:t xml:space="preserve"> </w:t>
      </w:r>
      <w:r>
        <w:t>Executive</w:t>
      </w:r>
      <w:r>
        <w:rPr>
          <w:spacing w:val="-9"/>
        </w:rPr>
        <w:t xml:space="preserve"> </w:t>
      </w:r>
      <w:r>
        <w:rPr>
          <w:spacing w:val="-2"/>
        </w:rPr>
        <w:t>Officer</w:t>
      </w:r>
    </w:p>
    <w:p w14:paraId="7362E163" w14:textId="77777777" w:rsidR="00D10310" w:rsidRDefault="001C4C1E">
      <w:pPr>
        <w:pStyle w:val="BodyText"/>
        <w:spacing w:before="127" w:line="360" w:lineRule="auto"/>
        <w:ind w:left="23" w:right="4405"/>
      </w:pPr>
      <w:r>
        <w:t>Australian</w:t>
      </w:r>
      <w:r>
        <w:rPr>
          <w:spacing w:val="-7"/>
        </w:rPr>
        <w:t xml:space="preserve"> </w:t>
      </w:r>
      <w:r>
        <w:t>Restaurant</w:t>
      </w:r>
      <w:r>
        <w:rPr>
          <w:spacing w:val="-6"/>
        </w:rPr>
        <w:t xml:space="preserve"> </w:t>
      </w:r>
      <w:r>
        <w:t>&amp;</w:t>
      </w:r>
      <w:r>
        <w:rPr>
          <w:spacing w:val="-6"/>
        </w:rPr>
        <w:t xml:space="preserve"> </w:t>
      </w:r>
      <w:r>
        <w:t>Cafe</w:t>
      </w:r>
      <w:r>
        <w:rPr>
          <w:spacing w:val="-16"/>
        </w:rPr>
        <w:t xml:space="preserve"> </w:t>
      </w:r>
      <w:r>
        <w:t>Association</w:t>
      </w:r>
      <w:r>
        <w:rPr>
          <w:spacing w:val="-5"/>
        </w:rPr>
        <w:t xml:space="preserve"> </w:t>
      </w:r>
      <w:r>
        <w:t>Ltd. M: 0488579888</w:t>
      </w:r>
    </w:p>
    <w:p w14:paraId="7362E164" w14:textId="77777777" w:rsidR="00D10310" w:rsidRDefault="001C4C1E">
      <w:pPr>
        <w:pStyle w:val="BodyText"/>
        <w:spacing w:line="253" w:lineRule="exact"/>
        <w:ind w:left="23"/>
      </w:pPr>
      <w:r>
        <w:t>E:</w:t>
      </w:r>
      <w:r>
        <w:rPr>
          <w:spacing w:val="-4"/>
        </w:rPr>
        <w:t xml:space="preserve"> </w:t>
      </w:r>
      <w:hyperlink r:id="rId21">
        <w:r>
          <w:rPr>
            <w:spacing w:val="-2"/>
          </w:rPr>
          <w:t>wes@arca.org.au</w:t>
        </w:r>
      </w:hyperlink>
    </w:p>
    <w:sectPr w:rsidR="00D10310" w:rsidSect="00484FE8">
      <w:headerReference w:type="even" r:id="rId22"/>
      <w:headerReference w:type="default" r:id="rId23"/>
      <w:footerReference w:type="even" r:id="rId24"/>
      <w:footerReference w:type="default" r:id="rId25"/>
      <w:headerReference w:type="first" r:id="rId26"/>
      <w:footerReference w:type="first" r:id="rId27"/>
      <w:pgSz w:w="11910" w:h="16830"/>
      <w:pgMar w:top="1780" w:right="1417" w:bottom="1276" w:left="1417" w:header="153" w:footer="102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04C10C" w14:textId="77777777" w:rsidR="002F111B" w:rsidRDefault="002F111B">
      <w:r>
        <w:separator/>
      </w:r>
    </w:p>
  </w:endnote>
  <w:endnote w:type="continuationSeparator" w:id="0">
    <w:p w14:paraId="40631749" w14:textId="77777777" w:rsidR="002F111B" w:rsidRDefault="002F11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18838E" w14:textId="77777777" w:rsidR="00484FE8" w:rsidRDefault="00484FE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7BBDFA" w14:textId="77777777" w:rsidR="00484FE8" w:rsidRDefault="00484FE8">
    <w:pPr>
      <w:pStyle w:val="BodyText"/>
      <w:spacing w:line="14" w:lineRule="auto"/>
      <w:rPr>
        <w:sz w:val="20"/>
      </w:rPr>
    </w:pPr>
    <w:r>
      <w:rPr>
        <w:noProof/>
        <w:sz w:val="20"/>
      </w:rPr>
      <mc:AlternateContent>
        <mc:Choice Requires="wps">
          <w:drawing>
            <wp:anchor distT="0" distB="0" distL="0" distR="0" simplePos="0" relativeHeight="251662336" behindDoc="1" locked="0" layoutInCell="1" allowOverlap="1" wp14:anchorId="309080DC" wp14:editId="32AC47A6">
              <wp:simplePos x="0" y="0"/>
              <wp:positionH relativeFrom="page">
                <wp:posOffset>901700</wp:posOffset>
              </wp:positionH>
              <wp:positionV relativeFrom="page">
                <wp:posOffset>9838595</wp:posOffset>
              </wp:positionV>
              <wp:extent cx="4599940" cy="398145"/>
              <wp:effectExtent l="0" t="0" r="0" b="0"/>
              <wp:wrapNone/>
              <wp:docPr id="1301323890"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99940" cy="398145"/>
                      </a:xfrm>
                      <a:prstGeom prst="rect">
                        <a:avLst/>
                      </a:prstGeom>
                    </wps:spPr>
                    <wps:txbx>
                      <w:txbxContent>
                        <w:p w14:paraId="75F382CF" w14:textId="77777777" w:rsidR="00484FE8" w:rsidRDefault="00484FE8">
                          <w:pPr>
                            <w:spacing w:before="17"/>
                            <w:ind w:left="20"/>
                            <w:rPr>
                              <w:rFonts w:ascii="Calibri"/>
                              <w:b/>
                              <w:sz w:val="24"/>
                            </w:rPr>
                          </w:pPr>
                          <w:r>
                            <w:rPr>
                              <w:rFonts w:ascii="Calibri"/>
                              <w:b/>
                              <w:sz w:val="24"/>
                            </w:rPr>
                            <w:t>Australian</w:t>
                          </w:r>
                          <w:r>
                            <w:rPr>
                              <w:rFonts w:ascii="Calibri"/>
                              <w:b/>
                              <w:spacing w:val="44"/>
                              <w:sz w:val="24"/>
                            </w:rPr>
                            <w:t xml:space="preserve"> </w:t>
                          </w:r>
                          <w:r>
                            <w:rPr>
                              <w:rFonts w:ascii="Calibri"/>
                              <w:b/>
                              <w:sz w:val="24"/>
                            </w:rPr>
                            <w:t>Restaurant</w:t>
                          </w:r>
                          <w:r>
                            <w:rPr>
                              <w:rFonts w:ascii="Calibri"/>
                              <w:b/>
                              <w:spacing w:val="45"/>
                              <w:sz w:val="24"/>
                            </w:rPr>
                            <w:t xml:space="preserve"> </w:t>
                          </w:r>
                          <w:r>
                            <w:rPr>
                              <w:rFonts w:ascii="Calibri"/>
                              <w:b/>
                              <w:sz w:val="24"/>
                            </w:rPr>
                            <w:t>&amp;</w:t>
                          </w:r>
                          <w:r>
                            <w:rPr>
                              <w:rFonts w:ascii="Calibri"/>
                              <w:b/>
                              <w:spacing w:val="41"/>
                              <w:sz w:val="24"/>
                            </w:rPr>
                            <w:t xml:space="preserve"> </w:t>
                          </w:r>
                          <w:r>
                            <w:rPr>
                              <w:rFonts w:ascii="Calibri"/>
                              <w:b/>
                              <w:sz w:val="24"/>
                            </w:rPr>
                            <w:t>Cafe</w:t>
                          </w:r>
                          <w:r>
                            <w:rPr>
                              <w:rFonts w:ascii="Calibri"/>
                              <w:b/>
                              <w:spacing w:val="41"/>
                              <w:sz w:val="24"/>
                            </w:rPr>
                            <w:t xml:space="preserve"> </w:t>
                          </w:r>
                          <w:r>
                            <w:rPr>
                              <w:rFonts w:ascii="Calibri"/>
                              <w:b/>
                              <w:sz w:val="24"/>
                            </w:rPr>
                            <w:t>Association</w:t>
                          </w:r>
                          <w:r>
                            <w:rPr>
                              <w:rFonts w:ascii="Calibri"/>
                              <w:b/>
                              <w:spacing w:val="42"/>
                              <w:sz w:val="24"/>
                            </w:rPr>
                            <w:t xml:space="preserve"> </w:t>
                          </w:r>
                          <w:r>
                            <w:rPr>
                              <w:rFonts w:ascii="Calibri"/>
                              <w:b/>
                              <w:sz w:val="24"/>
                            </w:rPr>
                            <w:t>Ltd.</w:t>
                          </w:r>
                          <w:r>
                            <w:rPr>
                              <w:rFonts w:ascii="Calibri"/>
                              <w:b/>
                              <w:spacing w:val="41"/>
                              <w:sz w:val="24"/>
                            </w:rPr>
                            <w:t xml:space="preserve"> </w:t>
                          </w:r>
                          <w:r>
                            <w:rPr>
                              <w:rFonts w:ascii="Calibri"/>
                              <w:b/>
                              <w:sz w:val="24"/>
                            </w:rPr>
                            <w:t>(ABN</w:t>
                          </w:r>
                          <w:r>
                            <w:rPr>
                              <w:rFonts w:ascii="Calibri"/>
                              <w:b/>
                              <w:spacing w:val="41"/>
                              <w:sz w:val="24"/>
                            </w:rPr>
                            <w:t xml:space="preserve"> </w:t>
                          </w:r>
                          <w:r>
                            <w:rPr>
                              <w:rFonts w:ascii="Calibri"/>
                              <w:b/>
                              <w:sz w:val="24"/>
                            </w:rPr>
                            <w:t>46</w:t>
                          </w:r>
                          <w:r>
                            <w:rPr>
                              <w:rFonts w:ascii="Calibri"/>
                              <w:b/>
                              <w:spacing w:val="39"/>
                              <w:sz w:val="24"/>
                            </w:rPr>
                            <w:t xml:space="preserve"> </w:t>
                          </w:r>
                          <w:r>
                            <w:rPr>
                              <w:rFonts w:ascii="Calibri"/>
                              <w:b/>
                              <w:sz w:val="24"/>
                            </w:rPr>
                            <w:t>677</w:t>
                          </w:r>
                          <w:r>
                            <w:rPr>
                              <w:rFonts w:ascii="Calibri"/>
                              <w:b/>
                              <w:spacing w:val="42"/>
                              <w:sz w:val="24"/>
                            </w:rPr>
                            <w:t xml:space="preserve"> </w:t>
                          </w:r>
                          <w:r>
                            <w:rPr>
                              <w:rFonts w:ascii="Calibri"/>
                              <w:b/>
                              <w:sz w:val="24"/>
                            </w:rPr>
                            <w:t>038</w:t>
                          </w:r>
                          <w:r>
                            <w:rPr>
                              <w:rFonts w:ascii="Calibri"/>
                              <w:b/>
                              <w:spacing w:val="39"/>
                              <w:sz w:val="24"/>
                            </w:rPr>
                            <w:t xml:space="preserve"> </w:t>
                          </w:r>
                          <w:r>
                            <w:rPr>
                              <w:rFonts w:ascii="Calibri"/>
                              <w:b/>
                              <w:spacing w:val="-4"/>
                              <w:sz w:val="24"/>
                            </w:rPr>
                            <w:t>505)</w:t>
                          </w:r>
                        </w:p>
                        <w:p w14:paraId="19EE4433" w14:textId="77777777" w:rsidR="00484FE8" w:rsidRDefault="00484FE8">
                          <w:pPr>
                            <w:spacing w:before="1"/>
                            <w:ind w:left="20"/>
                            <w:rPr>
                              <w:rFonts w:ascii="Calibri"/>
                              <w:sz w:val="24"/>
                            </w:rPr>
                          </w:pPr>
                          <w:proofErr w:type="spellStart"/>
                          <w:r>
                            <w:rPr>
                              <w:rFonts w:ascii="Calibri"/>
                              <w:w w:val="105"/>
                              <w:sz w:val="24"/>
                            </w:rPr>
                            <w:t>Lvl</w:t>
                          </w:r>
                          <w:proofErr w:type="spellEnd"/>
                          <w:r>
                            <w:rPr>
                              <w:rFonts w:ascii="Calibri"/>
                              <w:spacing w:val="-13"/>
                              <w:w w:val="105"/>
                              <w:sz w:val="24"/>
                            </w:rPr>
                            <w:t xml:space="preserve"> </w:t>
                          </w:r>
                          <w:r>
                            <w:rPr>
                              <w:rFonts w:ascii="Calibri"/>
                              <w:w w:val="105"/>
                              <w:sz w:val="24"/>
                            </w:rPr>
                            <w:t>32,</w:t>
                          </w:r>
                          <w:r>
                            <w:rPr>
                              <w:rFonts w:ascii="Calibri"/>
                              <w:spacing w:val="-13"/>
                              <w:w w:val="105"/>
                              <w:sz w:val="24"/>
                            </w:rPr>
                            <w:t xml:space="preserve"> </w:t>
                          </w:r>
                          <w:r>
                            <w:rPr>
                              <w:rFonts w:ascii="Calibri"/>
                              <w:w w:val="105"/>
                              <w:sz w:val="24"/>
                            </w:rPr>
                            <w:t>101</w:t>
                          </w:r>
                          <w:r>
                            <w:rPr>
                              <w:rFonts w:ascii="Calibri"/>
                              <w:spacing w:val="-14"/>
                              <w:w w:val="105"/>
                              <w:sz w:val="24"/>
                            </w:rPr>
                            <w:t xml:space="preserve"> </w:t>
                          </w:r>
                          <w:r>
                            <w:rPr>
                              <w:rFonts w:ascii="Calibri"/>
                              <w:w w:val="105"/>
                              <w:sz w:val="24"/>
                            </w:rPr>
                            <w:t>Miller</w:t>
                          </w:r>
                          <w:r>
                            <w:rPr>
                              <w:rFonts w:ascii="Calibri"/>
                              <w:spacing w:val="-11"/>
                              <w:w w:val="105"/>
                              <w:sz w:val="24"/>
                            </w:rPr>
                            <w:t xml:space="preserve"> </w:t>
                          </w:r>
                          <w:r>
                            <w:rPr>
                              <w:rFonts w:ascii="Calibri"/>
                              <w:w w:val="105"/>
                              <w:sz w:val="24"/>
                            </w:rPr>
                            <w:t>Street</w:t>
                          </w:r>
                          <w:r>
                            <w:rPr>
                              <w:rFonts w:ascii="Calibri"/>
                              <w:spacing w:val="-12"/>
                              <w:w w:val="105"/>
                              <w:sz w:val="24"/>
                            </w:rPr>
                            <w:t xml:space="preserve"> </w:t>
                          </w:r>
                          <w:r>
                            <w:rPr>
                              <w:rFonts w:ascii="Calibri"/>
                              <w:w w:val="105"/>
                              <w:sz w:val="24"/>
                            </w:rPr>
                            <w:t>North</w:t>
                          </w:r>
                          <w:r>
                            <w:rPr>
                              <w:rFonts w:ascii="Calibri"/>
                              <w:spacing w:val="-13"/>
                              <w:w w:val="105"/>
                              <w:sz w:val="24"/>
                            </w:rPr>
                            <w:t xml:space="preserve"> </w:t>
                          </w:r>
                          <w:r>
                            <w:rPr>
                              <w:rFonts w:ascii="Calibri"/>
                              <w:w w:val="105"/>
                              <w:sz w:val="24"/>
                            </w:rPr>
                            <w:t>Sydney</w:t>
                          </w:r>
                          <w:r>
                            <w:rPr>
                              <w:rFonts w:ascii="Calibri"/>
                              <w:spacing w:val="-13"/>
                              <w:w w:val="105"/>
                              <w:sz w:val="24"/>
                            </w:rPr>
                            <w:t xml:space="preserve"> </w:t>
                          </w:r>
                          <w:r>
                            <w:rPr>
                              <w:rFonts w:ascii="Calibri"/>
                              <w:w w:val="105"/>
                              <w:sz w:val="24"/>
                            </w:rPr>
                            <w:t>NSW</w:t>
                          </w:r>
                          <w:r>
                            <w:rPr>
                              <w:rFonts w:ascii="Calibri"/>
                              <w:spacing w:val="-12"/>
                              <w:w w:val="105"/>
                              <w:sz w:val="24"/>
                            </w:rPr>
                            <w:t xml:space="preserve"> </w:t>
                          </w:r>
                          <w:r>
                            <w:rPr>
                              <w:rFonts w:ascii="Calibri"/>
                              <w:spacing w:val="-4"/>
                              <w:w w:val="105"/>
                              <w:sz w:val="24"/>
                            </w:rPr>
                            <w:t>2060</w:t>
                          </w:r>
                        </w:p>
                      </w:txbxContent>
                    </wps:txbx>
                    <wps:bodyPr wrap="square" lIns="0" tIns="0" rIns="0" bIns="0" rtlCol="0">
                      <a:noAutofit/>
                    </wps:bodyPr>
                  </wps:wsp>
                </a:graphicData>
              </a:graphic>
            </wp:anchor>
          </w:drawing>
        </mc:Choice>
        <mc:Fallback>
          <w:pict>
            <v:shapetype w14:anchorId="309080DC" id="_x0000_t202" coordsize="21600,21600" o:spt="202" path="m,l,21600r21600,l21600,xe">
              <v:stroke joinstyle="miter"/>
              <v:path gradientshapeok="t" o:connecttype="rect"/>
            </v:shapetype>
            <v:shape id="Textbox 2" o:spid="_x0000_s1026" type="#_x0000_t202" style="position:absolute;margin-left:71pt;margin-top:774.7pt;width:362.2pt;height:31.35pt;z-index:-2516541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" filled="f" stroked="f">
              <v:textbox inset="0,0,0,0">
                <w:txbxContent>
                  <w:p w14:paraId="75F382CF" w14:textId="77777777" w:rsidR="00484FE8" w:rsidRDefault="00484FE8">
                    <w:pPr>
                      <w:spacing w:before="17"/>
                      <w:ind w:left="20"/>
                      <w:rPr>
                        <w:rFonts w:ascii="Calibri"/>
                        <w:b/>
                        <w:sz w:val="24"/>
                      </w:rPr>
                    </w:pPr>
                    <w:r>
                      <w:rPr>
                        <w:rFonts w:ascii="Calibri"/>
                        <w:b/>
                        <w:sz w:val="24"/>
                      </w:rPr>
                      <w:t>Australian</w:t>
                    </w:r>
                    <w:r>
                      <w:rPr>
                        <w:rFonts w:ascii="Calibri"/>
                        <w:b/>
                        <w:spacing w:val="44"/>
                        <w:sz w:val="24"/>
                      </w:rPr>
                      <w:t xml:space="preserve"> </w:t>
                    </w:r>
                    <w:r>
                      <w:rPr>
                        <w:rFonts w:ascii="Calibri"/>
                        <w:b/>
                        <w:sz w:val="24"/>
                      </w:rPr>
                      <w:t>Restaurant</w:t>
                    </w:r>
                    <w:r>
                      <w:rPr>
                        <w:rFonts w:ascii="Calibri"/>
                        <w:b/>
                        <w:spacing w:val="45"/>
                        <w:sz w:val="24"/>
                      </w:rPr>
                      <w:t xml:space="preserve"> </w:t>
                    </w:r>
                    <w:r>
                      <w:rPr>
                        <w:rFonts w:ascii="Calibri"/>
                        <w:b/>
                        <w:sz w:val="24"/>
                      </w:rPr>
                      <w:t>&amp;</w:t>
                    </w:r>
                    <w:r>
                      <w:rPr>
                        <w:rFonts w:ascii="Calibri"/>
                        <w:b/>
                        <w:spacing w:val="41"/>
                        <w:sz w:val="24"/>
                      </w:rPr>
                      <w:t xml:space="preserve"> </w:t>
                    </w:r>
                    <w:r>
                      <w:rPr>
                        <w:rFonts w:ascii="Calibri"/>
                        <w:b/>
                        <w:sz w:val="24"/>
                      </w:rPr>
                      <w:t>Cafe</w:t>
                    </w:r>
                    <w:r>
                      <w:rPr>
                        <w:rFonts w:ascii="Calibri"/>
                        <w:b/>
                        <w:spacing w:val="41"/>
                        <w:sz w:val="24"/>
                      </w:rPr>
                      <w:t xml:space="preserve"> </w:t>
                    </w:r>
                    <w:r>
                      <w:rPr>
                        <w:rFonts w:ascii="Calibri"/>
                        <w:b/>
                        <w:sz w:val="24"/>
                      </w:rPr>
                      <w:t>Association</w:t>
                    </w:r>
                    <w:r>
                      <w:rPr>
                        <w:rFonts w:ascii="Calibri"/>
                        <w:b/>
                        <w:spacing w:val="42"/>
                        <w:sz w:val="24"/>
                      </w:rPr>
                      <w:t xml:space="preserve"> </w:t>
                    </w:r>
                    <w:r>
                      <w:rPr>
                        <w:rFonts w:ascii="Calibri"/>
                        <w:b/>
                        <w:sz w:val="24"/>
                      </w:rPr>
                      <w:t>Ltd.</w:t>
                    </w:r>
                    <w:r>
                      <w:rPr>
                        <w:rFonts w:ascii="Calibri"/>
                        <w:b/>
                        <w:spacing w:val="41"/>
                        <w:sz w:val="24"/>
                      </w:rPr>
                      <w:t xml:space="preserve"> </w:t>
                    </w:r>
                    <w:r>
                      <w:rPr>
                        <w:rFonts w:ascii="Calibri"/>
                        <w:b/>
                        <w:sz w:val="24"/>
                      </w:rPr>
                      <w:t>(ABN</w:t>
                    </w:r>
                    <w:r>
                      <w:rPr>
                        <w:rFonts w:ascii="Calibri"/>
                        <w:b/>
                        <w:spacing w:val="41"/>
                        <w:sz w:val="24"/>
                      </w:rPr>
                      <w:t xml:space="preserve"> </w:t>
                    </w:r>
                    <w:r>
                      <w:rPr>
                        <w:rFonts w:ascii="Calibri"/>
                        <w:b/>
                        <w:sz w:val="24"/>
                      </w:rPr>
                      <w:t>46</w:t>
                    </w:r>
                    <w:r>
                      <w:rPr>
                        <w:rFonts w:ascii="Calibri"/>
                        <w:b/>
                        <w:spacing w:val="39"/>
                        <w:sz w:val="24"/>
                      </w:rPr>
                      <w:t xml:space="preserve"> </w:t>
                    </w:r>
                    <w:r>
                      <w:rPr>
                        <w:rFonts w:ascii="Calibri"/>
                        <w:b/>
                        <w:sz w:val="24"/>
                      </w:rPr>
                      <w:t>677</w:t>
                    </w:r>
                    <w:r>
                      <w:rPr>
                        <w:rFonts w:ascii="Calibri"/>
                        <w:b/>
                        <w:spacing w:val="42"/>
                        <w:sz w:val="24"/>
                      </w:rPr>
                      <w:t xml:space="preserve"> </w:t>
                    </w:r>
                    <w:r>
                      <w:rPr>
                        <w:rFonts w:ascii="Calibri"/>
                        <w:b/>
                        <w:sz w:val="24"/>
                      </w:rPr>
                      <w:t>038</w:t>
                    </w:r>
                    <w:r>
                      <w:rPr>
                        <w:rFonts w:ascii="Calibri"/>
                        <w:b/>
                        <w:spacing w:val="39"/>
                        <w:sz w:val="24"/>
                      </w:rPr>
                      <w:t xml:space="preserve"> </w:t>
                    </w:r>
                    <w:r>
                      <w:rPr>
                        <w:rFonts w:ascii="Calibri"/>
                        <w:b/>
                        <w:spacing w:val="-4"/>
                        <w:sz w:val="24"/>
                      </w:rPr>
                      <w:t>505)</w:t>
                    </w:r>
                  </w:p>
                  <w:p w14:paraId="19EE4433" w14:textId="77777777" w:rsidR="00484FE8" w:rsidRDefault="00484FE8">
                    <w:pPr>
                      <w:spacing w:before="1"/>
                      <w:ind w:left="20"/>
                      <w:rPr>
                        <w:rFonts w:ascii="Calibri"/>
                        <w:sz w:val="24"/>
                      </w:rPr>
                    </w:pPr>
                    <w:proofErr w:type="spellStart"/>
                    <w:r>
                      <w:rPr>
                        <w:rFonts w:ascii="Calibri"/>
                        <w:w w:val="105"/>
                        <w:sz w:val="24"/>
                      </w:rPr>
                      <w:t>Lvl</w:t>
                    </w:r>
                    <w:proofErr w:type="spellEnd"/>
                    <w:r>
                      <w:rPr>
                        <w:rFonts w:ascii="Calibri"/>
                        <w:spacing w:val="-13"/>
                        <w:w w:val="105"/>
                        <w:sz w:val="24"/>
                      </w:rPr>
                      <w:t xml:space="preserve"> </w:t>
                    </w:r>
                    <w:r>
                      <w:rPr>
                        <w:rFonts w:ascii="Calibri"/>
                        <w:w w:val="105"/>
                        <w:sz w:val="24"/>
                      </w:rPr>
                      <w:t>32,</w:t>
                    </w:r>
                    <w:r>
                      <w:rPr>
                        <w:rFonts w:ascii="Calibri"/>
                        <w:spacing w:val="-13"/>
                        <w:w w:val="105"/>
                        <w:sz w:val="24"/>
                      </w:rPr>
                      <w:t xml:space="preserve"> </w:t>
                    </w:r>
                    <w:r>
                      <w:rPr>
                        <w:rFonts w:ascii="Calibri"/>
                        <w:w w:val="105"/>
                        <w:sz w:val="24"/>
                      </w:rPr>
                      <w:t>101</w:t>
                    </w:r>
                    <w:r>
                      <w:rPr>
                        <w:rFonts w:ascii="Calibri"/>
                        <w:spacing w:val="-14"/>
                        <w:w w:val="105"/>
                        <w:sz w:val="24"/>
                      </w:rPr>
                      <w:t xml:space="preserve"> </w:t>
                    </w:r>
                    <w:r>
                      <w:rPr>
                        <w:rFonts w:ascii="Calibri"/>
                        <w:w w:val="105"/>
                        <w:sz w:val="24"/>
                      </w:rPr>
                      <w:t>Miller</w:t>
                    </w:r>
                    <w:r>
                      <w:rPr>
                        <w:rFonts w:ascii="Calibri"/>
                        <w:spacing w:val="-11"/>
                        <w:w w:val="105"/>
                        <w:sz w:val="24"/>
                      </w:rPr>
                      <w:t xml:space="preserve"> </w:t>
                    </w:r>
                    <w:r>
                      <w:rPr>
                        <w:rFonts w:ascii="Calibri"/>
                        <w:w w:val="105"/>
                        <w:sz w:val="24"/>
                      </w:rPr>
                      <w:t>Street</w:t>
                    </w:r>
                    <w:r>
                      <w:rPr>
                        <w:rFonts w:ascii="Calibri"/>
                        <w:spacing w:val="-12"/>
                        <w:w w:val="105"/>
                        <w:sz w:val="24"/>
                      </w:rPr>
                      <w:t xml:space="preserve"> </w:t>
                    </w:r>
                    <w:r>
                      <w:rPr>
                        <w:rFonts w:ascii="Calibri"/>
                        <w:w w:val="105"/>
                        <w:sz w:val="24"/>
                      </w:rPr>
                      <w:t>North</w:t>
                    </w:r>
                    <w:r>
                      <w:rPr>
                        <w:rFonts w:ascii="Calibri"/>
                        <w:spacing w:val="-13"/>
                        <w:w w:val="105"/>
                        <w:sz w:val="24"/>
                      </w:rPr>
                      <w:t xml:space="preserve"> </w:t>
                    </w:r>
                    <w:r>
                      <w:rPr>
                        <w:rFonts w:ascii="Calibri"/>
                        <w:w w:val="105"/>
                        <w:sz w:val="24"/>
                      </w:rPr>
                      <w:t>Sydney</w:t>
                    </w:r>
                    <w:r>
                      <w:rPr>
                        <w:rFonts w:ascii="Calibri"/>
                        <w:spacing w:val="-13"/>
                        <w:w w:val="105"/>
                        <w:sz w:val="24"/>
                      </w:rPr>
                      <w:t xml:space="preserve"> </w:t>
                    </w:r>
                    <w:r>
                      <w:rPr>
                        <w:rFonts w:ascii="Calibri"/>
                        <w:w w:val="105"/>
                        <w:sz w:val="24"/>
                      </w:rPr>
                      <w:t>NSW</w:t>
                    </w:r>
                    <w:r>
                      <w:rPr>
                        <w:rFonts w:ascii="Calibri"/>
                        <w:spacing w:val="-12"/>
                        <w:w w:val="105"/>
                        <w:sz w:val="24"/>
                      </w:rPr>
                      <w:t xml:space="preserve"> </w:t>
                    </w:r>
                    <w:r>
                      <w:rPr>
                        <w:rFonts w:ascii="Calibri"/>
                        <w:spacing w:val="-4"/>
                        <w:w w:val="105"/>
                        <w:sz w:val="24"/>
                      </w:rPr>
                      <w:t>2060</w:t>
                    </w:r>
                  </w:p>
                </w:txbxContent>
              </v:textbox>
              <w10:wrap anchorx="page" anchory="page"/>
            </v:shape>
          </w:pict>
        </mc:Fallback>
      </mc:AlternateContent>
    </w:r>
    <w:r>
      <w:rPr>
        <w:noProof/>
        <w:sz w:val="20"/>
      </w:rPr>
      <mc:AlternateContent>
        <mc:Choice Requires="wps">
          <w:drawing>
            <wp:anchor distT="0" distB="0" distL="0" distR="0" simplePos="0" relativeHeight="251663360" behindDoc="1" locked="0" layoutInCell="1" allowOverlap="1" wp14:anchorId="164568F9" wp14:editId="7FD8DEBC">
              <wp:simplePos x="0" y="0"/>
              <wp:positionH relativeFrom="page">
                <wp:posOffset>6466585</wp:posOffset>
              </wp:positionH>
              <wp:positionV relativeFrom="page">
                <wp:posOffset>9839356</wp:posOffset>
              </wp:positionV>
              <wp:extent cx="226695" cy="211454"/>
              <wp:effectExtent l="0" t="0" r="0" b="0"/>
              <wp:wrapNone/>
              <wp:docPr id="1455842895"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6695" cy="211454"/>
                      </a:xfrm>
                      <a:prstGeom prst="rect">
                        <a:avLst/>
                      </a:prstGeom>
                    </wps:spPr>
                    <wps:txbx>
                      <w:txbxContent>
                        <w:p w14:paraId="7929B89D" w14:textId="77777777" w:rsidR="00484FE8" w:rsidRDefault="00484FE8">
                          <w:pPr>
                            <w:spacing w:before="17"/>
                            <w:ind w:left="20"/>
                            <w:rPr>
                              <w:rFonts w:ascii="Calibri"/>
                              <w:sz w:val="24"/>
                            </w:rPr>
                          </w:pPr>
                          <w:r>
                            <w:rPr>
                              <w:rFonts w:ascii="Calibri"/>
                              <w:spacing w:val="-5"/>
                              <w:w w:val="105"/>
                              <w:sz w:val="24"/>
                            </w:rPr>
                            <w:fldChar w:fldCharType="begin"/>
                          </w:r>
                          <w:r>
                            <w:rPr>
                              <w:rFonts w:ascii="Calibri"/>
                              <w:spacing w:val="-5"/>
                              <w:w w:val="105"/>
                              <w:sz w:val="24"/>
                            </w:rPr>
                            <w:instrText xml:space="preserve"> PAGE </w:instrText>
                          </w:r>
                          <w:r>
                            <w:rPr>
                              <w:rFonts w:ascii="Calibri"/>
                              <w:spacing w:val="-5"/>
                              <w:w w:val="105"/>
                              <w:sz w:val="24"/>
                            </w:rPr>
                            <w:fldChar w:fldCharType="separate"/>
                          </w:r>
                          <w:r>
                            <w:rPr>
                              <w:rFonts w:ascii="Calibri"/>
                              <w:spacing w:val="-5"/>
                              <w:w w:val="105"/>
                              <w:sz w:val="24"/>
                            </w:rPr>
                            <w:t>10</w:t>
                          </w:r>
                          <w:r>
                            <w:rPr>
                              <w:rFonts w:ascii="Calibri"/>
                              <w:spacing w:val="-5"/>
                              <w:w w:val="105"/>
                              <w:sz w:val="24"/>
                            </w:rPr>
                            <w:fldChar w:fldCharType="end"/>
                          </w:r>
                        </w:p>
                      </w:txbxContent>
                    </wps:txbx>
                    <wps:bodyPr wrap="square" lIns="0" tIns="0" rIns="0" bIns="0" rtlCol="0">
                      <a:noAutofit/>
                    </wps:bodyPr>
                  </wps:wsp>
                </a:graphicData>
              </a:graphic>
            </wp:anchor>
          </w:drawing>
        </mc:Choice>
        <mc:Fallback>
          <w:pict>
            <v:shape w14:anchorId="164568F9" id="Textbox 3" o:spid="_x0000_s1027" type="#_x0000_t202" style="position:absolute;margin-left:509.2pt;margin-top:774.75pt;width:17.85pt;height:16.65pt;z-index:-2516531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" filled="f" stroked="f">
              <v:textbox inset="0,0,0,0">
                <w:txbxContent>
                  <w:p w14:paraId="7929B89D" w14:textId="77777777" w:rsidR="00484FE8" w:rsidRDefault="00484FE8">
                    <w:pPr>
                      <w:spacing w:before="17"/>
                      <w:ind w:left="20"/>
                      <w:rPr>
                        <w:rFonts w:ascii="Calibri"/>
                        <w:sz w:val="24"/>
                      </w:rPr>
                    </w:pPr>
                    <w:r>
                      <w:rPr>
                        <w:rFonts w:ascii="Calibri"/>
                        <w:spacing w:val="-5"/>
                        <w:w w:val="105"/>
                        <w:sz w:val="24"/>
                      </w:rPr>
                      <w:fldChar w:fldCharType="begin"/>
                    </w:r>
                    <w:r>
                      <w:rPr>
                        <w:rFonts w:ascii="Calibri"/>
                        <w:spacing w:val="-5"/>
                        <w:w w:val="105"/>
                        <w:sz w:val="24"/>
                      </w:rPr>
                      <w:instrText xml:space="preserve"> PAGE </w:instrText>
                    </w:r>
                    <w:r>
                      <w:rPr>
                        <w:rFonts w:ascii="Calibri"/>
                        <w:spacing w:val="-5"/>
                        <w:w w:val="105"/>
                        <w:sz w:val="24"/>
                      </w:rPr>
                      <w:fldChar w:fldCharType="separate"/>
                    </w:r>
                    <w:r>
                      <w:rPr>
                        <w:rFonts w:ascii="Calibri"/>
                        <w:spacing w:val="-5"/>
                        <w:w w:val="105"/>
                        <w:sz w:val="24"/>
                      </w:rPr>
                      <w:t>10</w:t>
                    </w:r>
                    <w:r>
                      <w:rPr>
                        <w:rFonts w:ascii="Calibri"/>
                        <w:spacing w:val="-5"/>
                        <w:w w:val="105"/>
                        <w:sz w:val="24"/>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6A5AFB" w14:textId="77777777" w:rsidR="00484FE8" w:rsidRDefault="00484FE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CAC063" w14:textId="77777777" w:rsidR="003B68CC" w:rsidRDefault="003B68C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62E1CA" w14:textId="77777777" w:rsidR="00D10310" w:rsidRDefault="001C4C1E">
    <w:pPr>
      <w:pStyle w:val="BodyText"/>
      <w:spacing w:line="14" w:lineRule="auto"/>
      <w:rPr>
        <w:sz w:val="20"/>
      </w:rPr>
    </w:pPr>
    <w:r>
      <w:rPr>
        <w:noProof/>
        <w:sz w:val="20"/>
      </w:rPr>
      <mc:AlternateContent>
        <mc:Choice Requires="wps">
          <w:drawing>
            <wp:anchor distT="0" distB="0" distL="0" distR="0" simplePos="0" relativeHeight="251657216" behindDoc="1" locked="0" layoutInCell="1" allowOverlap="1" wp14:anchorId="7362E1CD" wp14:editId="7362E1CE">
              <wp:simplePos x="0" y="0"/>
              <wp:positionH relativeFrom="page">
                <wp:posOffset>901700</wp:posOffset>
              </wp:positionH>
              <wp:positionV relativeFrom="page">
                <wp:posOffset>9838595</wp:posOffset>
              </wp:positionV>
              <wp:extent cx="4599940" cy="39814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99940" cy="398145"/>
                      </a:xfrm>
                      <a:prstGeom prst="rect">
                        <a:avLst/>
                      </a:prstGeom>
                    </wps:spPr>
                    <wps:txbx>
                      <w:txbxContent>
                        <w:p w14:paraId="7362E201" w14:textId="77777777" w:rsidR="00D10310" w:rsidRDefault="001C4C1E">
                          <w:pPr>
                            <w:spacing w:before="17"/>
                            <w:ind w:left="20"/>
                            <w:rPr>
                              <w:rFonts w:ascii="Calibri"/>
                              <w:b/>
                              <w:sz w:val="24"/>
                            </w:rPr>
                          </w:pPr>
                          <w:r>
                            <w:rPr>
                              <w:rFonts w:ascii="Calibri"/>
                              <w:b/>
                              <w:sz w:val="24"/>
                            </w:rPr>
                            <w:t>Australian</w:t>
                          </w:r>
                          <w:r>
                            <w:rPr>
                              <w:rFonts w:ascii="Calibri"/>
                              <w:b/>
                              <w:spacing w:val="44"/>
                              <w:sz w:val="24"/>
                            </w:rPr>
                            <w:t xml:space="preserve"> </w:t>
                          </w:r>
                          <w:r>
                            <w:rPr>
                              <w:rFonts w:ascii="Calibri"/>
                              <w:b/>
                              <w:sz w:val="24"/>
                            </w:rPr>
                            <w:t>Restaurant</w:t>
                          </w:r>
                          <w:r>
                            <w:rPr>
                              <w:rFonts w:ascii="Calibri"/>
                              <w:b/>
                              <w:spacing w:val="45"/>
                              <w:sz w:val="24"/>
                            </w:rPr>
                            <w:t xml:space="preserve"> </w:t>
                          </w:r>
                          <w:r>
                            <w:rPr>
                              <w:rFonts w:ascii="Calibri"/>
                              <w:b/>
                              <w:sz w:val="24"/>
                            </w:rPr>
                            <w:t>&amp;</w:t>
                          </w:r>
                          <w:r>
                            <w:rPr>
                              <w:rFonts w:ascii="Calibri"/>
                              <w:b/>
                              <w:spacing w:val="41"/>
                              <w:sz w:val="24"/>
                            </w:rPr>
                            <w:t xml:space="preserve"> </w:t>
                          </w:r>
                          <w:r>
                            <w:rPr>
                              <w:rFonts w:ascii="Calibri"/>
                              <w:b/>
                              <w:sz w:val="24"/>
                            </w:rPr>
                            <w:t>Cafe</w:t>
                          </w:r>
                          <w:r>
                            <w:rPr>
                              <w:rFonts w:ascii="Calibri"/>
                              <w:b/>
                              <w:spacing w:val="41"/>
                              <w:sz w:val="24"/>
                            </w:rPr>
                            <w:t xml:space="preserve"> </w:t>
                          </w:r>
                          <w:r>
                            <w:rPr>
                              <w:rFonts w:ascii="Calibri"/>
                              <w:b/>
                              <w:sz w:val="24"/>
                            </w:rPr>
                            <w:t>Association</w:t>
                          </w:r>
                          <w:r>
                            <w:rPr>
                              <w:rFonts w:ascii="Calibri"/>
                              <w:b/>
                              <w:spacing w:val="42"/>
                              <w:sz w:val="24"/>
                            </w:rPr>
                            <w:t xml:space="preserve"> </w:t>
                          </w:r>
                          <w:r>
                            <w:rPr>
                              <w:rFonts w:ascii="Calibri"/>
                              <w:b/>
                              <w:sz w:val="24"/>
                            </w:rPr>
                            <w:t>Ltd.</w:t>
                          </w:r>
                          <w:r>
                            <w:rPr>
                              <w:rFonts w:ascii="Calibri"/>
                              <w:b/>
                              <w:spacing w:val="41"/>
                              <w:sz w:val="24"/>
                            </w:rPr>
                            <w:t xml:space="preserve"> </w:t>
                          </w:r>
                          <w:r>
                            <w:rPr>
                              <w:rFonts w:ascii="Calibri"/>
                              <w:b/>
                              <w:sz w:val="24"/>
                            </w:rPr>
                            <w:t>(ABN</w:t>
                          </w:r>
                          <w:r>
                            <w:rPr>
                              <w:rFonts w:ascii="Calibri"/>
                              <w:b/>
                              <w:spacing w:val="41"/>
                              <w:sz w:val="24"/>
                            </w:rPr>
                            <w:t xml:space="preserve"> </w:t>
                          </w:r>
                          <w:r>
                            <w:rPr>
                              <w:rFonts w:ascii="Calibri"/>
                              <w:b/>
                              <w:sz w:val="24"/>
                            </w:rPr>
                            <w:t>46</w:t>
                          </w:r>
                          <w:r>
                            <w:rPr>
                              <w:rFonts w:ascii="Calibri"/>
                              <w:b/>
                              <w:spacing w:val="39"/>
                              <w:sz w:val="24"/>
                            </w:rPr>
                            <w:t xml:space="preserve"> </w:t>
                          </w:r>
                          <w:r>
                            <w:rPr>
                              <w:rFonts w:ascii="Calibri"/>
                              <w:b/>
                              <w:sz w:val="24"/>
                            </w:rPr>
                            <w:t>677</w:t>
                          </w:r>
                          <w:r>
                            <w:rPr>
                              <w:rFonts w:ascii="Calibri"/>
                              <w:b/>
                              <w:spacing w:val="42"/>
                              <w:sz w:val="24"/>
                            </w:rPr>
                            <w:t xml:space="preserve"> </w:t>
                          </w:r>
                          <w:r>
                            <w:rPr>
                              <w:rFonts w:ascii="Calibri"/>
                              <w:b/>
                              <w:sz w:val="24"/>
                            </w:rPr>
                            <w:t>038</w:t>
                          </w:r>
                          <w:r>
                            <w:rPr>
                              <w:rFonts w:ascii="Calibri"/>
                              <w:b/>
                              <w:spacing w:val="39"/>
                              <w:sz w:val="24"/>
                            </w:rPr>
                            <w:t xml:space="preserve"> </w:t>
                          </w:r>
                          <w:r>
                            <w:rPr>
                              <w:rFonts w:ascii="Calibri"/>
                              <w:b/>
                              <w:spacing w:val="-4"/>
                              <w:sz w:val="24"/>
                            </w:rPr>
                            <w:t>505)</w:t>
                          </w:r>
                        </w:p>
                        <w:p w14:paraId="7362E202" w14:textId="77777777" w:rsidR="00D10310" w:rsidRDefault="001C4C1E">
                          <w:pPr>
                            <w:spacing w:before="1"/>
                            <w:ind w:left="20"/>
                            <w:rPr>
                              <w:rFonts w:ascii="Calibri"/>
                              <w:sz w:val="24"/>
                            </w:rPr>
                          </w:pPr>
                          <w:proofErr w:type="spellStart"/>
                          <w:r>
                            <w:rPr>
                              <w:rFonts w:ascii="Calibri"/>
                              <w:w w:val="105"/>
                              <w:sz w:val="24"/>
                            </w:rPr>
                            <w:t>Lvl</w:t>
                          </w:r>
                          <w:proofErr w:type="spellEnd"/>
                          <w:r>
                            <w:rPr>
                              <w:rFonts w:ascii="Calibri"/>
                              <w:spacing w:val="-13"/>
                              <w:w w:val="105"/>
                              <w:sz w:val="24"/>
                            </w:rPr>
                            <w:t xml:space="preserve"> </w:t>
                          </w:r>
                          <w:r>
                            <w:rPr>
                              <w:rFonts w:ascii="Calibri"/>
                              <w:w w:val="105"/>
                              <w:sz w:val="24"/>
                            </w:rPr>
                            <w:t>32,</w:t>
                          </w:r>
                          <w:r>
                            <w:rPr>
                              <w:rFonts w:ascii="Calibri"/>
                              <w:spacing w:val="-13"/>
                              <w:w w:val="105"/>
                              <w:sz w:val="24"/>
                            </w:rPr>
                            <w:t xml:space="preserve"> </w:t>
                          </w:r>
                          <w:r>
                            <w:rPr>
                              <w:rFonts w:ascii="Calibri"/>
                              <w:w w:val="105"/>
                              <w:sz w:val="24"/>
                            </w:rPr>
                            <w:t>101</w:t>
                          </w:r>
                          <w:r>
                            <w:rPr>
                              <w:rFonts w:ascii="Calibri"/>
                              <w:spacing w:val="-14"/>
                              <w:w w:val="105"/>
                              <w:sz w:val="24"/>
                            </w:rPr>
                            <w:t xml:space="preserve"> </w:t>
                          </w:r>
                          <w:r>
                            <w:rPr>
                              <w:rFonts w:ascii="Calibri"/>
                              <w:w w:val="105"/>
                              <w:sz w:val="24"/>
                            </w:rPr>
                            <w:t>Miller</w:t>
                          </w:r>
                          <w:r>
                            <w:rPr>
                              <w:rFonts w:ascii="Calibri"/>
                              <w:spacing w:val="-11"/>
                              <w:w w:val="105"/>
                              <w:sz w:val="24"/>
                            </w:rPr>
                            <w:t xml:space="preserve"> </w:t>
                          </w:r>
                          <w:r>
                            <w:rPr>
                              <w:rFonts w:ascii="Calibri"/>
                              <w:w w:val="105"/>
                              <w:sz w:val="24"/>
                            </w:rPr>
                            <w:t>Street</w:t>
                          </w:r>
                          <w:r>
                            <w:rPr>
                              <w:rFonts w:ascii="Calibri"/>
                              <w:spacing w:val="-12"/>
                              <w:w w:val="105"/>
                              <w:sz w:val="24"/>
                            </w:rPr>
                            <w:t xml:space="preserve"> </w:t>
                          </w:r>
                          <w:r>
                            <w:rPr>
                              <w:rFonts w:ascii="Calibri"/>
                              <w:w w:val="105"/>
                              <w:sz w:val="24"/>
                            </w:rPr>
                            <w:t>North</w:t>
                          </w:r>
                          <w:r>
                            <w:rPr>
                              <w:rFonts w:ascii="Calibri"/>
                              <w:spacing w:val="-13"/>
                              <w:w w:val="105"/>
                              <w:sz w:val="24"/>
                            </w:rPr>
                            <w:t xml:space="preserve"> </w:t>
                          </w:r>
                          <w:r>
                            <w:rPr>
                              <w:rFonts w:ascii="Calibri"/>
                              <w:w w:val="105"/>
                              <w:sz w:val="24"/>
                            </w:rPr>
                            <w:t>Sydney</w:t>
                          </w:r>
                          <w:r>
                            <w:rPr>
                              <w:rFonts w:ascii="Calibri"/>
                              <w:spacing w:val="-13"/>
                              <w:w w:val="105"/>
                              <w:sz w:val="24"/>
                            </w:rPr>
                            <w:t xml:space="preserve"> </w:t>
                          </w:r>
                          <w:r>
                            <w:rPr>
                              <w:rFonts w:ascii="Calibri"/>
                              <w:w w:val="105"/>
                              <w:sz w:val="24"/>
                            </w:rPr>
                            <w:t>NSW</w:t>
                          </w:r>
                          <w:r>
                            <w:rPr>
                              <w:rFonts w:ascii="Calibri"/>
                              <w:spacing w:val="-12"/>
                              <w:w w:val="105"/>
                              <w:sz w:val="24"/>
                            </w:rPr>
                            <w:t xml:space="preserve"> </w:t>
                          </w:r>
                          <w:r>
                            <w:rPr>
                              <w:rFonts w:ascii="Calibri"/>
                              <w:spacing w:val="-4"/>
                              <w:w w:val="105"/>
                              <w:sz w:val="24"/>
                            </w:rPr>
                            <w:t>2060</w:t>
                          </w:r>
                        </w:p>
                      </w:txbxContent>
                    </wps:txbx>
                    <wps:bodyPr wrap="square" lIns="0" tIns="0" rIns="0" bIns="0" rtlCol="0">
                      <a:noAutofit/>
                    </wps:bodyPr>
                  </wps:wsp>
                </a:graphicData>
              </a:graphic>
            </wp:anchor>
          </w:drawing>
        </mc:Choice>
        <mc:Fallback>
          <w:pict>
            <v:shapetype w14:anchorId="7362E1CD" id="_x0000_t202" coordsize="21600,21600" o:spt="202" path="m,l,21600r21600,l21600,xe">
              <v:stroke joinstyle="miter"/>
              <v:path gradientshapeok="t" o:connecttype="rect"/>
            </v:shapetype>
            <v:shape id="_x0000_s1028" type="#_x0000_t202" style="position:absolute;margin-left:71pt;margin-top:774.7pt;width:362.2pt;height:31.35pt;z-index:-251659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" filled="f" stroked="f">
              <v:textbox inset="0,0,0,0">
                <w:txbxContent>
                  <w:p w14:paraId="7362E201" w14:textId="77777777" w:rsidR="00D10310" w:rsidRDefault="001C4C1E">
                    <w:pPr>
                      <w:spacing w:before="17"/>
                      <w:ind w:left="20"/>
                      <w:rPr>
                        <w:rFonts w:ascii="Calibri"/>
                        <w:b/>
                        <w:sz w:val="24"/>
                      </w:rPr>
                    </w:pPr>
                    <w:r>
                      <w:rPr>
                        <w:rFonts w:ascii="Calibri"/>
                        <w:b/>
                        <w:sz w:val="24"/>
                      </w:rPr>
                      <w:t>Australian</w:t>
                    </w:r>
                    <w:r>
                      <w:rPr>
                        <w:rFonts w:ascii="Calibri"/>
                        <w:b/>
                        <w:spacing w:val="44"/>
                        <w:sz w:val="24"/>
                      </w:rPr>
                      <w:t xml:space="preserve"> </w:t>
                    </w:r>
                    <w:r>
                      <w:rPr>
                        <w:rFonts w:ascii="Calibri"/>
                        <w:b/>
                        <w:sz w:val="24"/>
                      </w:rPr>
                      <w:t>Restaurant</w:t>
                    </w:r>
                    <w:r>
                      <w:rPr>
                        <w:rFonts w:ascii="Calibri"/>
                        <w:b/>
                        <w:spacing w:val="45"/>
                        <w:sz w:val="24"/>
                      </w:rPr>
                      <w:t xml:space="preserve"> </w:t>
                    </w:r>
                    <w:r>
                      <w:rPr>
                        <w:rFonts w:ascii="Calibri"/>
                        <w:b/>
                        <w:sz w:val="24"/>
                      </w:rPr>
                      <w:t>&amp;</w:t>
                    </w:r>
                    <w:r>
                      <w:rPr>
                        <w:rFonts w:ascii="Calibri"/>
                        <w:b/>
                        <w:spacing w:val="41"/>
                        <w:sz w:val="24"/>
                      </w:rPr>
                      <w:t xml:space="preserve"> </w:t>
                    </w:r>
                    <w:r>
                      <w:rPr>
                        <w:rFonts w:ascii="Calibri"/>
                        <w:b/>
                        <w:sz w:val="24"/>
                      </w:rPr>
                      <w:t>Cafe</w:t>
                    </w:r>
                    <w:r>
                      <w:rPr>
                        <w:rFonts w:ascii="Calibri"/>
                        <w:b/>
                        <w:spacing w:val="41"/>
                        <w:sz w:val="24"/>
                      </w:rPr>
                      <w:t xml:space="preserve"> </w:t>
                    </w:r>
                    <w:r>
                      <w:rPr>
                        <w:rFonts w:ascii="Calibri"/>
                        <w:b/>
                        <w:sz w:val="24"/>
                      </w:rPr>
                      <w:t>Association</w:t>
                    </w:r>
                    <w:r>
                      <w:rPr>
                        <w:rFonts w:ascii="Calibri"/>
                        <w:b/>
                        <w:spacing w:val="42"/>
                        <w:sz w:val="24"/>
                      </w:rPr>
                      <w:t xml:space="preserve"> </w:t>
                    </w:r>
                    <w:r>
                      <w:rPr>
                        <w:rFonts w:ascii="Calibri"/>
                        <w:b/>
                        <w:sz w:val="24"/>
                      </w:rPr>
                      <w:t>Ltd.</w:t>
                    </w:r>
                    <w:r>
                      <w:rPr>
                        <w:rFonts w:ascii="Calibri"/>
                        <w:b/>
                        <w:spacing w:val="41"/>
                        <w:sz w:val="24"/>
                      </w:rPr>
                      <w:t xml:space="preserve"> </w:t>
                    </w:r>
                    <w:r>
                      <w:rPr>
                        <w:rFonts w:ascii="Calibri"/>
                        <w:b/>
                        <w:sz w:val="24"/>
                      </w:rPr>
                      <w:t>(ABN</w:t>
                    </w:r>
                    <w:r>
                      <w:rPr>
                        <w:rFonts w:ascii="Calibri"/>
                        <w:b/>
                        <w:spacing w:val="41"/>
                        <w:sz w:val="24"/>
                      </w:rPr>
                      <w:t xml:space="preserve"> </w:t>
                    </w:r>
                    <w:r>
                      <w:rPr>
                        <w:rFonts w:ascii="Calibri"/>
                        <w:b/>
                        <w:sz w:val="24"/>
                      </w:rPr>
                      <w:t>46</w:t>
                    </w:r>
                    <w:r>
                      <w:rPr>
                        <w:rFonts w:ascii="Calibri"/>
                        <w:b/>
                        <w:spacing w:val="39"/>
                        <w:sz w:val="24"/>
                      </w:rPr>
                      <w:t xml:space="preserve"> </w:t>
                    </w:r>
                    <w:r>
                      <w:rPr>
                        <w:rFonts w:ascii="Calibri"/>
                        <w:b/>
                        <w:sz w:val="24"/>
                      </w:rPr>
                      <w:t>677</w:t>
                    </w:r>
                    <w:r>
                      <w:rPr>
                        <w:rFonts w:ascii="Calibri"/>
                        <w:b/>
                        <w:spacing w:val="42"/>
                        <w:sz w:val="24"/>
                      </w:rPr>
                      <w:t xml:space="preserve"> </w:t>
                    </w:r>
                    <w:r>
                      <w:rPr>
                        <w:rFonts w:ascii="Calibri"/>
                        <w:b/>
                        <w:sz w:val="24"/>
                      </w:rPr>
                      <w:t>038</w:t>
                    </w:r>
                    <w:r>
                      <w:rPr>
                        <w:rFonts w:ascii="Calibri"/>
                        <w:b/>
                        <w:spacing w:val="39"/>
                        <w:sz w:val="24"/>
                      </w:rPr>
                      <w:t xml:space="preserve"> </w:t>
                    </w:r>
                    <w:r>
                      <w:rPr>
                        <w:rFonts w:ascii="Calibri"/>
                        <w:b/>
                        <w:spacing w:val="-4"/>
                        <w:sz w:val="24"/>
                      </w:rPr>
                      <w:t>505)</w:t>
                    </w:r>
                  </w:p>
                  <w:p w14:paraId="7362E202" w14:textId="77777777" w:rsidR="00D10310" w:rsidRDefault="001C4C1E">
                    <w:pPr>
                      <w:spacing w:before="1"/>
                      <w:ind w:left="20"/>
                      <w:rPr>
                        <w:rFonts w:ascii="Calibri"/>
                        <w:sz w:val="24"/>
                      </w:rPr>
                    </w:pPr>
                    <w:proofErr w:type="spellStart"/>
                    <w:r>
                      <w:rPr>
                        <w:rFonts w:ascii="Calibri"/>
                        <w:w w:val="105"/>
                        <w:sz w:val="24"/>
                      </w:rPr>
                      <w:t>Lvl</w:t>
                    </w:r>
                    <w:proofErr w:type="spellEnd"/>
                    <w:r>
                      <w:rPr>
                        <w:rFonts w:ascii="Calibri"/>
                        <w:spacing w:val="-13"/>
                        <w:w w:val="105"/>
                        <w:sz w:val="24"/>
                      </w:rPr>
                      <w:t xml:space="preserve"> </w:t>
                    </w:r>
                    <w:r>
                      <w:rPr>
                        <w:rFonts w:ascii="Calibri"/>
                        <w:w w:val="105"/>
                        <w:sz w:val="24"/>
                      </w:rPr>
                      <w:t>32,</w:t>
                    </w:r>
                    <w:r>
                      <w:rPr>
                        <w:rFonts w:ascii="Calibri"/>
                        <w:spacing w:val="-13"/>
                        <w:w w:val="105"/>
                        <w:sz w:val="24"/>
                      </w:rPr>
                      <w:t xml:space="preserve"> </w:t>
                    </w:r>
                    <w:r>
                      <w:rPr>
                        <w:rFonts w:ascii="Calibri"/>
                        <w:w w:val="105"/>
                        <w:sz w:val="24"/>
                      </w:rPr>
                      <w:t>101</w:t>
                    </w:r>
                    <w:r>
                      <w:rPr>
                        <w:rFonts w:ascii="Calibri"/>
                        <w:spacing w:val="-14"/>
                        <w:w w:val="105"/>
                        <w:sz w:val="24"/>
                      </w:rPr>
                      <w:t xml:space="preserve"> </w:t>
                    </w:r>
                    <w:r>
                      <w:rPr>
                        <w:rFonts w:ascii="Calibri"/>
                        <w:w w:val="105"/>
                        <w:sz w:val="24"/>
                      </w:rPr>
                      <w:t>Miller</w:t>
                    </w:r>
                    <w:r>
                      <w:rPr>
                        <w:rFonts w:ascii="Calibri"/>
                        <w:spacing w:val="-11"/>
                        <w:w w:val="105"/>
                        <w:sz w:val="24"/>
                      </w:rPr>
                      <w:t xml:space="preserve"> </w:t>
                    </w:r>
                    <w:r>
                      <w:rPr>
                        <w:rFonts w:ascii="Calibri"/>
                        <w:w w:val="105"/>
                        <w:sz w:val="24"/>
                      </w:rPr>
                      <w:t>Street</w:t>
                    </w:r>
                    <w:r>
                      <w:rPr>
                        <w:rFonts w:ascii="Calibri"/>
                        <w:spacing w:val="-12"/>
                        <w:w w:val="105"/>
                        <w:sz w:val="24"/>
                      </w:rPr>
                      <w:t xml:space="preserve"> </w:t>
                    </w:r>
                    <w:r>
                      <w:rPr>
                        <w:rFonts w:ascii="Calibri"/>
                        <w:w w:val="105"/>
                        <w:sz w:val="24"/>
                      </w:rPr>
                      <w:t>North</w:t>
                    </w:r>
                    <w:r>
                      <w:rPr>
                        <w:rFonts w:ascii="Calibri"/>
                        <w:spacing w:val="-13"/>
                        <w:w w:val="105"/>
                        <w:sz w:val="24"/>
                      </w:rPr>
                      <w:t xml:space="preserve"> </w:t>
                    </w:r>
                    <w:r>
                      <w:rPr>
                        <w:rFonts w:ascii="Calibri"/>
                        <w:w w:val="105"/>
                        <w:sz w:val="24"/>
                      </w:rPr>
                      <w:t>Sydney</w:t>
                    </w:r>
                    <w:r>
                      <w:rPr>
                        <w:rFonts w:ascii="Calibri"/>
                        <w:spacing w:val="-13"/>
                        <w:w w:val="105"/>
                        <w:sz w:val="24"/>
                      </w:rPr>
                      <w:t xml:space="preserve"> </w:t>
                    </w:r>
                    <w:r>
                      <w:rPr>
                        <w:rFonts w:ascii="Calibri"/>
                        <w:w w:val="105"/>
                        <w:sz w:val="24"/>
                      </w:rPr>
                      <w:t>NSW</w:t>
                    </w:r>
                    <w:r>
                      <w:rPr>
                        <w:rFonts w:ascii="Calibri"/>
                        <w:spacing w:val="-12"/>
                        <w:w w:val="105"/>
                        <w:sz w:val="24"/>
                      </w:rPr>
                      <w:t xml:space="preserve"> </w:t>
                    </w:r>
                    <w:r>
                      <w:rPr>
                        <w:rFonts w:ascii="Calibri"/>
                        <w:spacing w:val="-4"/>
                        <w:w w:val="105"/>
                        <w:sz w:val="24"/>
                      </w:rPr>
                      <w:t>2060</w:t>
                    </w:r>
                  </w:p>
                </w:txbxContent>
              </v:textbox>
              <w10:wrap anchorx="page" anchory="page"/>
            </v:shape>
          </w:pict>
        </mc:Fallback>
      </mc:AlternateContent>
    </w:r>
    <w:r>
      <w:rPr>
        <w:noProof/>
        <w:sz w:val="20"/>
      </w:rPr>
      <mc:AlternateContent>
        <mc:Choice Requires="wps">
          <w:drawing>
            <wp:anchor distT="0" distB="0" distL="0" distR="0" simplePos="0" relativeHeight="251658240" behindDoc="1" locked="0" layoutInCell="1" allowOverlap="1" wp14:anchorId="7362E1CF" wp14:editId="7362E1D0">
              <wp:simplePos x="0" y="0"/>
              <wp:positionH relativeFrom="page">
                <wp:posOffset>6466585</wp:posOffset>
              </wp:positionH>
              <wp:positionV relativeFrom="page">
                <wp:posOffset>9839356</wp:posOffset>
              </wp:positionV>
              <wp:extent cx="226695" cy="211454"/>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6695" cy="211454"/>
                      </a:xfrm>
                      <a:prstGeom prst="rect">
                        <a:avLst/>
                      </a:prstGeom>
                    </wps:spPr>
                    <wps:txbx>
                      <w:txbxContent>
                        <w:p w14:paraId="7362E203" w14:textId="77777777" w:rsidR="00D10310" w:rsidRDefault="001C4C1E">
                          <w:pPr>
                            <w:spacing w:before="17"/>
                            <w:ind w:left="20"/>
                            <w:rPr>
                              <w:rFonts w:ascii="Calibri"/>
                              <w:sz w:val="24"/>
                            </w:rPr>
                          </w:pPr>
                          <w:r>
                            <w:rPr>
                              <w:rFonts w:ascii="Calibri"/>
                              <w:spacing w:val="-5"/>
                              <w:w w:val="105"/>
                              <w:sz w:val="24"/>
                            </w:rPr>
                            <w:fldChar w:fldCharType="begin"/>
                          </w:r>
                          <w:r>
                            <w:rPr>
                              <w:rFonts w:ascii="Calibri"/>
                              <w:spacing w:val="-5"/>
                              <w:w w:val="105"/>
                              <w:sz w:val="24"/>
                            </w:rPr>
                            <w:instrText xml:space="preserve"> PAGE </w:instrText>
                          </w:r>
                          <w:r>
                            <w:rPr>
                              <w:rFonts w:ascii="Calibri"/>
                              <w:spacing w:val="-5"/>
                              <w:w w:val="105"/>
                              <w:sz w:val="24"/>
                            </w:rPr>
                            <w:fldChar w:fldCharType="separate"/>
                          </w:r>
                          <w:r>
                            <w:rPr>
                              <w:rFonts w:ascii="Calibri"/>
                              <w:spacing w:val="-5"/>
                              <w:w w:val="105"/>
                              <w:sz w:val="24"/>
                            </w:rPr>
                            <w:t>10</w:t>
                          </w:r>
                          <w:r>
                            <w:rPr>
                              <w:rFonts w:ascii="Calibri"/>
                              <w:spacing w:val="-5"/>
                              <w:w w:val="105"/>
                              <w:sz w:val="24"/>
                            </w:rPr>
                            <w:fldChar w:fldCharType="end"/>
                          </w:r>
                        </w:p>
                      </w:txbxContent>
                    </wps:txbx>
                    <wps:bodyPr wrap="square" lIns="0" tIns="0" rIns="0" bIns="0" rtlCol="0">
                      <a:noAutofit/>
                    </wps:bodyPr>
                  </wps:wsp>
                </a:graphicData>
              </a:graphic>
            </wp:anchor>
          </w:drawing>
        </mc:Choice>
        <mc:Fallback>
          <w:pict>
            <v:shape w14:anchorId="7362E1CF" id="_x0000_s1029" type="#_x0000_t202" style="position:absolute;margin-left:509.2pt;margin-top:774.75pt;width:17.85pt;height:16.65pt;z-index:-25165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" filled="f" stroked="f">
              <v:textbox inset="0,0,0,0">
                <w:txbxContent>
                  <w:p w14:paraId="7362E203" w14:textId="77777777" w:rsidR="00D10310" w:rsidRDefault="001C4C1E">
                    <w:pPr>
                      <w:spacing w:before="17"/>
                      <w:ind w:left="20"/>
                      <w:rPr>
                        <w:rFonts w:ascii="Calibri"/>
                        <w:sz w:val="24"/>
                      </w:rPr>
                    </w:pPr>
                    <w:r>
                      <w:rPr>
                        <w:rFonts w:ascii="Calibri"/>
                        <w:spacing w:val="-5"/>
                        <w:w w:val="105"/>
                        <w:sz w:val="24"/>
                      </w:rPr>
                      <w:fldChar w:fldCharType="begin"/>
                    </w:r>
                    <w:r>
                      <w:rPr>
                        <w:rFonts w:ascii="Calibri"/>
                        <w:spacing w:val="-5"/>
                        <w:w w:val="105"/>
                        <w:sz w:val="24"/>
                      </w:rPr>
                      <w:instrText xml:space="preserve"> PAGE </w:instrText>
                    </w:r>
                    <w:r>
                      <w:rPr>
                        <w:rFonts w:ascii="Calibri"/>
                        <w:spacing w:val="-5"/>
                        <w:w w:val="105"/>
                        <w:sz w:val="24"/>
                      </w:rPr>
                      <w:fldChar w:fldCharType="separate"/>
                    </w:r>
                    <w:r>
                      <w:rPr>
                        <w:rFonts w:ascii="Calibri"/>
                        <w:spacing w:val="-5"/>
                        <w:w w:val="105"/>
                        <w:sz w:val="24"/>
                      </w:rPr>
                      <w:t>10</w:t>
                    </w:r>
                    <w:r>
                      <w:rPr>
                        <w:rFonts w:ascii="Calibri"/>
                        <w:spacing w:val="-5"/>
                        <w:w w:val="105"/>
                        <w:sz w:val="24"/>
                      </w:rPr>
                      <w:fldChar w:fldCharType="end"/>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DA32F0" w14:textId="77777777" w:rsidR="003B68CC" w:rsidRDefault="003B68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FDCE2C" w14:textId="77777777" w:rsidR="002F111B" w:rsidRDefault="002F111B">
      <w:r>
        <w:separator/>
      </w:r>
    </w:p>
  </w:footnote>
  <w:footnote w:type="continuationSeparator" w:id="0">
    <w:p w14:paraId="574AC55C" w14:textId="77777777" w:rsidR="002F111B" w:rsidRDefault="002F111B">
      <w:r>
        <w:continuationSeparator/>
      </w:r>
    </w:p>
  </w:footnote>
  <w:footnote w:id="1">
    <w:p w14:paraId="0E63E61B" w14:textId="653CEDC6" w:rsidR="00E5205C" w:rsidRPr="00E5205C" w:rsidRDefault="00E5205C">
      <w:pPr>
        <w:pStyle w:val="FootnoteText"/>
        <w:rPr>
          <w:lang w:val="en-AU"/>
        </w:rPr>
      </w:pPr>
      <w:r>
        <w:rPr>
          <w:rStyle w:val="FootnoteReference"/>
        </w:rPr>
        <w:footnoteRef/>
      </w:r>
      <w:r>
        <w:t xml:space="preserve"> </w:t>
      </w:r>
      <w:r w:rsidRPr="00E5205C">
        <w:t>ABS Counts of Australian Businesses, including Entries and Exits, June 2019 to June 2024, August 2024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3AAAAF" w14:textId="77777777" w:rsidR="00484FE8" w:rsidRDefault="00484FE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A9FFD" w14:textId="364443A9" w:rsidR="00484FE8" w:rsidRDefault="00484FE8">
    <w:pPr>
      <w:pStyle w:val="BodyText"/>
      <w:spacing w:line="14" w:lineRule="auto"/>
      <w:rPr>
        <w:sz w:val="20"/>
      </w:rPr>
    </w:pPr>
    <w:r>
      <w:rPr>
        <w:noProof/>
        <w:sz w:val="20"/>
      </w:rPr>
      <w:drawing>
        <wp:anchor distT="0" distB="0" distL="0" distR="0" simplePos="0" relativeHeight="251661312" behindDoc="1" locked="0" layoutInCell="1" allowOverlap="1" wp14:anchorId="0FD5C0C3" wp14:editId="1650B084">
          <wp:simplePos x="0" y="0"/>
          <wp:positionH relativeFrom="page">
            <wp:posOffset>914400</wp:posOffset>
          </wp:positionH>
          <wp:positionV relativeFrom="page">
            <wp:posOffset>97155</wp:posOffset>
          </wp:positionV>
          <wp:extent cx="1036320" cy="1036320"/>
          <wp:effectExtent l="0" t="0" r="0" b="0"/>
          <wp:wrapNone/>
          <wp:docPr id="289126004"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036320" cy="1036320"/>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7F1FC3" w14:textId="77777777" w:rsidR="00484FE8" w:rsidRDefault="00484FE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616B71" w14:textId="77777777" w:rsidR="003B68CC" w:rsidRDefault="003B68C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62E1C9" w14:textId="1F18F2DE" w:rsidR="00D10310" w:rsidRDefault="001C4C1E">
    <w:pPr>
      <w:pStyle w:val="BodyText"/>
      <w:spacing w:line="14" w:lineRule="auto"/>
      <w:rPr>
        <w:sz w:val="20"/>
      </w:rPr>
    </w:pPr>
    <w:r>
      <w:rPr>
        <w:noProof/>
        <w:sz w:val="20"/>
      </w:rPr>
      <w:drawing>
        <wp:anchor distT="0" distB="0" distL="0" distR="0" simplePos="0" relativeHeight="251656192" behindDoc="1" locked="0" layoutInCell="1" allowOverlap="1" wp14:anchorId="7362E1CB" wp14:editId="7362E1CC">
          <wp:simplePos x="0" y="0"/>
          <wp:positionH relativeFrom="page">
            <wp:posOffset>914400</wp:posOffset>
          </wp:positionH>
          <wp:positionV relativeFrom="page">
            <wp:posOffset>97155</wp:posOffset>
          </wp:positionV>
          <wp:extent cx="1036320" cy="1036320"/>
          <wp:effectExtent l="0" t="0" r="0" b="0"/>
          <wp:wrapNone/>
          <wp:docPr id="1645031947"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036320" cy="1036320"/>
                  </a:xfrm>
                  <a:prstGeom prst="rect">
                    <a:avLst/>
                  </a:prstGeom>
                </pic:spPr>
              </pic:pic>
            </a:graphicData>
          </a:graphic>
        </wp:anchor>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9ADE35" w14:textId="77777777" w:rsidR="003B68CC" w:rsidRDefault="003B68C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B6AF0"/>
    <w:multiLevelType w:val="multilevel"/>
    <w:tmpl w:val="83AE5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D54FBA"/>
    <w:multiLevelType w:val="multilevel"/>
    <w:tmpl w:val="A01E3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C23330"/>
    <w:multiLevelType w:val="multilevel"/>
    <w:tmpl w:val="01E87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CF03F3"/>
    <w:multiLevelType w:val="multilevel"/>
    <w:tmpl w:val="560EE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2F4D11"/>
    <w:multiLevelType w:val="multilevel"/>
    <w:tmpl w:val="B54A7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BAC6D65"/>
    <w:multiLevelType w:val="multilevel"/>
    <w:tmpl w:val="31C24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D16410E"/>
    <w:multiLevelType w:val="multilevel"/>
    <w:tmpl w:val="FA86726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01D6099"/>
    <w:multiLevelType w:val="multilevel"/>
    <w:tmpl w:val="2A08D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49F5B72"/>
    <w:multiLevelType w:val="multilevel"/>
    <w:tmpl w:val="B6E64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BC225EF"/>
    <w:multiLevelType w:val="multilevel"/>
    <w:tmpl w:val="DDE05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FC211D1"/>
    <w:multiLevelType w:val="hybridMultilevel"/>
    <w:tmpl w:val="6DBE725E"/>
    <w:lvl w:ilvl="0" w:tplc="05DC163E">
      <w:start w:val="1"/>
      <w:numFmt w:val="decimal"/>
      <w:lvlText w:val="%1."/>
      <w:lvlJc w:val="left"/>
      <w:pPr>
        <w:ind w:left="259" w:hanging="237"/>
      </w:pPr>
      <w:rPr>
        <w:rFonts w:ascii="Arial" w:eastAsia="Arial" w:hAnsi="Arial" w:cs="Arial" w:hint="default"/>
        <w:b/>
        <w:bCs/>
        <w:i w:val="0"/>
        <w:iCs w:val="0"/>
        <w:spacing w:val="0"/>
        <w:w w:val="99"/>
        <w:sz w:val="22"/>
        <w:szCs w:val="22"/>
        <w:lang w:val="en-US" w:eastAsia="en-US" w:bidi="ar-SA"/>
      </w:rPr>
    </w:lvl>
    <w:lvl w:ilvl="1" w:tplc="AA982FC2">
      <w:numFmt w:val="bullet"/>
      <w:lvlText w:val=""/>
      <w:lvlJc w:val="left"/>
      <w:pPr>
        <w:ind w:left="743" w:hanging="360"/>
      </w:pPr>
      <w:rPr>
        <w:rFonts w:ascii="Symbol" w:eastAsia="Symbol" w:hAnsi="Symbol" w:cs="Symbol" w:hint="default"/>
        <w:b w:val="0"/>
        <w:bCs w:val="0"/>
        <w:i w:val="0"/>
        <w:iCs w:val="0"/>
        <w:spacing w:val="0"/>
        <w:w w:val="100"/>
        <w:sz w:val="20"/>
        <w:szCs w:val="20"/>
        <w:lang w:val="en-US" w:eastAsia="en-US" w:bidi="ar-SA"/>
      </w:rPr>
    </w:lvl>
    <w:lvl w:ilvl="2" w:tplc="7A021B58">
      <w:numFmt w:val="bullet"/>
      <w:lvlText w:val="•"/>
      <w:lvlJc w:val="left"/>
      <w:pPr>
        <w:ind w:left="1665" w:hanging="360"/>
      </w:pPr>
      <w:rPr>
        <w:rFonts w:hint="default"/>
        <w:lang w:val="en-US" w:eastAsia="en-US" w:bidi="ar-SA"/>
      </w:rPr>
    </w:lvl>
    <w:lvl w:ilvl="3" w:tplc="70828CD2">
      <w:numFmt w:val="bullet"/>
      <w:lvlText w:val="•"/>
      <w:lvlJc w:val="left"/>
      <w:pPr>
        <w:ind w:left="2590" w:hanging="360"/>
      </w:pPr>
      <w:rPr>
        <w:rFonts w:hint="default"/>
        <w:lang w:val="en-US" w:eastAsia="en-US" w:bidi="ar-SA"/>
      </w:rPr>
    </w:lvl>
    <w:lvl w:ilvl="4" w:tplc="FE628C90">
      <w:numFmt w:val="bullet"/>
      <w:lvlText w:val="•"/>
      <w:lvlJc w:val="left"/>
      <w:pPr>
        <w:ind w:left="3515" w:hanging="360"/>
      </w:pPr>
      <w:rPr>
        <w:rFonts w:hint="default"/>
        <w:lang w:val="en-US" w:eastAsia="en-US" w:bidi="ar-SA"/>
      </w:rPr>
    </w:lvl>
    <w:lvl w:ilvl="5" w:tplc="D304DDBE">
      <w:numFmt w:val="bullet"/>
      <w:lvlText w:val="•"/>
      <w:lvlJc w:val="left"/>
      <w:pPr>
        <w:ind w:left="4440" w:hanging="360"/>
      </w:pPr>
      <w:rPr>
        <w:rFonts w:hint="default"/>
        <w:lang w:val="en-US" w:eastAsia="en-US" w:bidi="ar-SA"/>
      </w:rPr>
    </w:lvl>
    <w:lvl w:ilvl="6" w:tplc="4B4E6C0E">
      <w:numFmt w:val="bullet"/>
      <w:lvlText w:val="•"/>
      <w:lvlJc w:val="left"/>
      <w:pPr>
        <w:ind w:left="5365" w:hanging="360"/>
      </w:pPr>
      <w:rPr>
        <w:rFonts w:hint="default"/>
        <w:lang w:val="en-US" w:eastAsia="en-US" w:bidi="ar-SA"/>
      </w:rPr>
    </w:lvl>
    <w:lvl w:ilvl="7" w:tplc="B96604D4">
      <w:numFmt w:val="bullet"/>
      <w:lvlText w:val="•"/>
      <w:lvlJc w:val="left"/>
      <w:pPr>
        <w:ind w:left="6290" w:hanging="360"/>
      </w:pPr>
      <w:rPr>
        <w:rFonts w:hint="default"/>
        <w:lang w:val="en-US" w:eastAsia="en-US" w:bidi="ar-SA"/>
      </w:rPr>
    </w:lvl>
    <w:lvl w:ilvl="8" w:tplc="B4FCA3B8">
      <w:numFmt w:val="bullet"/>
      <w:lvlText w:val="•"/>
      <w:lvlJc w:val="left"/>
      <w:pPr>
        <w:ind w:left="7216" w:hanging="360"/>
      </w:pPr>
      <w:rPr>
        <w:rFonts w:hint="default"/>
        <w:lang w:val="en-US" w:eastAsia="en-US" w:bidi="ar-SA"/>
      </w:rPr>
    </w:lvl>
  </w:abstractNum>
  <w:abstractNum w:abstractNumId="11" w15:restartNumberingAfterBreak="0">
    <w:nsid w:val="27D663F7"/>
    <w:multiLevelType w:val="multilevel"/>
    <w:tmpl w:val="8390B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7FF2850"/>
    <w:multiLevelType w:val="multilevel"/>
    <w:tmpl w:val="6632F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D1830D7"/>
    <w:multiLevelType w:val="multilevel"/>
    <w:tmpl w:val="ED5C7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33C4535"/>
    <w:multiLevelType w:val="hybridMultilevel"/>
    <w:tmpl w:val="7806DF66"/>
    <w:lvl w:ilvl="0" w:tplc="CC768152">
      <w:start w:val="1"/>
      <w:numFmt w:val="decimal"/>
      <w:lvlText w:val="%1."/>
      <w:lvlJc w:val="left"/>
      <w:pPr>
        <w:ind w:left="267" w:hanging="245"/>
      </w:pPr>
      <w:rPr>
        <w:rFonts w:ascii="Arial" w:eastAsia="Arial" w:hAnsi="Arial" w:cs="Arial" w:hint="default"/>
        <w:b/>
        <w:bCs/>
        <w:i w:val="0"/>
        <w:iCs w:val="0"/>
        <w:spacing w:val="0"/>
        <w:w w:val="99"/>
        <w:sz w:val="22"/>
        <w:szCs w:val="22"/>
        <w:lang w:val="en-US" w:eastAsia="en-US" w:bidi="ar-SA"/>
      </w:rPr>
    </w:lvl>
    <w:lvl w:ilvl="1" w:tplc="A2AC09AE">
      <w:numFmt w:val="bullet"/>
      <w:lvlText w:val=""/>
      <w:lvlJc w:val="left"/>
      <w:pPr>
        <w:ind w:left="743" w:hanging="360"/>
      </w:pPr>
      <w:rPr>
        <w:rFonts w:ascii="Symbol" w:eastAsia="Symbol" w:hAnsi="Symbol" w:cs="Symbol" w:hint="default"/>
        <w:b w:val="0"/>
        <w:bCs w:val="0"/>
        <w:i w:val="0"/>
        <w:iCs w:val="0"/>
        <w:spacing w:val="0"/>
        <w:w w:val="100"/>
        <w:sz w:val="20"/>
        <w:szCs w:val="20"/>
        <w:lang w:val="en-US" w:eastAsia="en-US" w:bidi="ar-SA"/>
      </w:rPr>
    </w:lvl>
    <w:lvl w:ilvl="2" w:tplc="B4886E18">
      <w:numFmt w:val="bullet"/>
      <w:lvlText w:val="o"/>
      <w:lvlJc w:val="left"/>
      <w:pPr>
        <w:ind w:left="1463" w:hanging="360"/>
      </w:pPr>
      <w:rPr>
        <w:rFonts w:ascii="Courier New" w:eastAsia="Courier New" w:hAnsi="Courier New" w:cs="Courier New" w:hint="default"/>
        <w:b w:val="0"/>
        <w:bCs w:val="0"/>
        <w:i w:val="0"/>
        <w:iCs w:val="0"/>
        <w:spacing w:val="0"/>
        <w:w w:val="100"/>
        <w:sz w:val="20"/>
        <w:szCs w:val="20"/>
        <w:lang w:val="en-US" w:eastAsia="en-US" w:bidi="ar-SA"/>
      </w:rPr>
    </w:lvl>
    <w:lvl w:ilvl="3" w:tplc="05585C82">
      <w:numFmt w:val="bullet"/>
      <w:lvlText w:val="•"/>
      <w:lvlJc w:val="left"/>
      <w:pPr>
        <w:ind w:left="2410" w:hanging="360"/>
      </w:pPr>
      <w:rPr>
        <w:rFonts w:hint="default"/>
        <w:lang w:val="en-US" w:eastAsia="en-US" w:bidi="ar-SA"/>
      </w:rPr>
    </w:lvl>
    <w:lvl w:ilvl="4" w:tplc="62643334">
      <w:numFmt w:val="bullet"/>
      <w:lvlText w:val="•"/>
      <w:lvlJc w:val="left"/>
      <w:pPr>
        <w:ind w:left="3361" w:hanging="360"/>
      </w:pPr>
      <w:rPr>
        <w:rFonts w:hint="default"/>
        <w:lang w:val="en-US" w:eastAsia="en-US" w:bidi="ar-SA"/>
      </w:rPr>
    </w:lvl>
    <w:lvl w:ilvl="5" w:tplc="ABD46404">
      <w:numFmt w:val="bullet"/>
      <w:lvlText w:val="•"/>
      <w:lvlJc w:val="left"/>
      <w:pPr>
        <w:ind w:left="4312" w:hanging="360"/>
      </w:pPr>
      <w:rPr>
        <w:rFonts w:hint="default"/>
        <w:lang w:val="en-US" w:eastAsia="en-US" w:bidi="ar-SA"/>
      </w:rPr>
    </w:lvl>
    <w:lvl w:ilvl="6" w:tplc="4E824724">
      <w:numFmt w:val="bullet"/>
      <w:lvlText w:val="•"/>
      <w:lvlJc w:val="left"/>
      <w:pPr>
        <w:ind w:left="5263" w:hanging="360"/>
      </w:pPr>
      <w:rPr>
        <w:rFonts w:hint="default"/>
        <w:lang w:val="en-US" w:eastAsia="en-US" w:bidi="ar-SA"/>
      </w:rPr>
    </w:lvl>
    <w:lvl w:ilvl="7" w:tplc="BECABFFC">
      <w:numFmt w:val="bullet"/>
      <w:lvlText w:val="•"/>
      <w:lvlJc w:val="left"/>
      <w:pPr>
        <w:ind w:left="6214" w:hanging="360"/>
      </w:pPr>
      <w:rPr>
        <w:rFonts w:hint="default"/>
        <w:lang w:val="en-US" w:eastAsia="en-US" w:bidi="ar-SA"/>
      </w:rPr>
    </w:lvl>
    <w:lvl w:ilvl="8" w:tplc="BA143492">
      <w:numFmt w:val="bullet"/>
      <w:lvlText w:val="•"/>
      <w:lvlJc w:val="left"/>
      <w:pPr>
        <w:ind w:left="7164" w:hanging="360"/>
      </w:pPr>
      <w:rPr>
        <w:rFonts w:hint="default"/>
        <w:lang w:val="en-US" w:eastAsia="en-US" w:bidi="ar-SA"/>
      </w:rPr>
    </w:lvl>
  </w:abstractNum>
  <w:abstractNum w:abstractNumId="15" w15:restartNumberingAfterBreak="0">
    <w:nsid w:val="33AF7FFB"/>
    <w:multiLevelType w:val="multilevel"/>
    <w:tmpl w:val="3BB4E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4096E30"/>
    <w:multiLevelType w:val="multilevel"/>
    <w:tmpl w:val="D7AC8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6273345"/>
    <w:multiLevelType w:val="multilevel"/>
    <w:tmpl w:val="4EE04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7EF7C9A"/>
    <w:multiLevelType w:val="multilevel"/>
    <w:tmpl w:val="E41A4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9DD1EC2"/>
    <w:multiLevelType w:val="multilevel"/>
    <w:tmpl w:val="55C61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AEE7ADA"/>
    <w:multiLevelType w:val="multilevel"/>
    <w:tmpl w:val="8B5A8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D6461FF"/>
    <w:multiLevelType w:val="multilevel"/>
    <w:tmpl w:val="78303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D6A5C0E"/>
    <w:multiLevelType w:val="multilevel"/>
    <w:tmpl w:val="AF7823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DC57130"/>
    <w:multiLevelType w:val="multilevel"/>
    <w:tmpl w:val="3C40F4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E197EE0"/>
    <w:multiLevelType w:val="multilevel"/>
    <w:tmpl w:val="721E7D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57279B6"/>
    <w:multiLevelType w:val="multilevel"/>
    <w:tmpl w:val="03B8F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5742305"/>
    <w:multiLevelType w:val="multilevel"/>
    <w:tmpl w:val="57DE3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8CE5342"/>
    <w:multiLevelType w:val="multilevel"/>
    <w:tmpl w:val="BA54C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C896A14"/>
    <w:multiLevelType w:val="multilevel"/>
    <w:tmpl w:val="9D265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10A2FD5"/>
    <w:multiLevelType w:val="multilevel"/>
    <w:tmpl w:val="9190A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4923501"/>
    <w:multiLevelType w:val="hybridMultilevel"/>
    <w:tmpl w:val="6D8C074C"/>
    <w:lvl w:ilvl="0" w:tplc="70CCB0BE">
      <w:start w:val="1"/>
      <w:numFmt w:val="decimal"/>
      <w:lvlText w:val="%1."/>
      <w:lvlJc w:val="left"/>
      <w:pPr>
        <w:ind w:left="268" w:hanging="245"/>
      </w:pPr>
      <w:rPr>
        <w:rFonts w:ascii="Arial" w:eastAsia="Arial" w:hAnsi="Arial" w:cs="Arial" w:hint="default"/>
        <w:b/>
        <w:bCs/>
        <w:i w:val="0"/>
        <w:iCs w:val="0"/>
        <w:spacing w:val="0"/>
        <w:w w:val="99"/>
        <w:sz w:val="22"/>
        <w:szCs w:val="22"/>
        <w:lang w:val="en-US" w:eastAsia="en-US" w:bidi="ar-SA"/>
      </w:rPr>
    </w:lvl>
    <w:lvl w:ilvl="1" w:tplc="1B9CA9B0">
      <w:numFmt w:val="bullet"/>
      <w:lvlText w:val="•"/>
      <w:lvlJc w:val="left"/>
      <w:pPr>
        <w:ind w:left="1140" w:hanging="245"/>
      </w:pPr>
      <w:rPr>
        <w:rFonts w:hint="default"/>
        <w:lang w:val="en-US" w:eastAsia="en-US" w:bidi="ar-SA"/>
      </w:rPr>
    </w:lvl>
    <w:lvl w:ilvl="2" w:tplc="73EA5654">
      <w:numFmt w:val="bullet"/>
      <w:lvlText w:val="•"/>
      <w:lvlJc w:val="left"/>
      <w:pPr>
        <w:ind w:left="2021" w:hanging="245"/>
      </w:pPr>
      <w:rPr>
        <w:rFonts w:hint="default"/>
        <w:lang w:val="en-US" w:eastAsia="en-US" w:bidi="ar-SA"/>
      </w:rPr>
    </w:lvl>
    <w:lvl w:ilvl="3" w:tplc="3B9E685A">
      <w:numFmt w:val="bullet"/>
      <w:lvlText w:val="•"/>
      <w:lvlJc w:val="left"/>
      <w:pPr>
        <w:ind w:left="2901" w:hanging="245"/>
      </w:pPr>
      <w:rPr>
        <w:rFonts w:hint="default"/>
        <w:lang w:val="en-US" w:eastAsia="en-US" w:bidi="ar-SA"/>
      </w:rPr>
    </w:lvl>
    <w:lvl w:ilvl="4" w:tplc="AEDA8724">
      <w:numFmt w:val="bullet"/>
      <w:lvlText w:val="•"/>
      <w:lvlJc w:val="left"/>
      <w:pPr>
        <w:ind w:left="3782" w:hanging="245"/>
      </w:pPr>
      <w:rPr>
        <w:rFonts w:hint="default"/>
        <w:lang w:val="en-US" w:eastAsia="en-US" w:bidi="ar-SA"/>
      </w:rPr>
    </w:lvl>
    <w:lvl w:ilvl="5" w:tplc="CF9A0000">
      <w:numFmt w:val="bullet"/>
      <w:lvlText w:val="•"/>
      <w:lvlJc w:val="left"/>
      <w:pPr>
        <w:ind w:left="4663" w:hanging="245"/>
      </w:pPr>
      <w:rPr>
        <w:rFonts w:hint="default"/>
        <w:lang w:val="en-US" w:eastAsia="en-US" w:bidi="ar-SA"/>
      </w:rPr>
    </w:lvl>
    <w:lvl w:ilvl="6" w:tplc="7E32C5A2">
      <w:numFmt w:val="bullet"/>
      <w:lvlText w:val="•"/>
      <w:lvlJc w:val="left"/>
      <w:pPr>
        <w:ind w:left="5543" w:hanging="245"/>
      </w:pPr>
      <w:rPr>
        <w:rFonts w:hint="default"/>
        <w:lang w:val="en-US" w:eastAsia="en-US" w:bidi="ar-SA"/>
      </w:rPr>
    </w:lvl>
    <w:lvl w:ilvl="7" w:tplc="8F08A5BE">
      <w:numFmt w:val="bullet"/>
      <w:lvlText w:val="•"/>
      <w:lvlJc w:val="left"/>
      <w:pPr>
        <w:ind w:left="6424" w:hanging="245"/>
      </w:pPr>
      <w:rPr>
        <w:rFonts w:hint="default"/>
        <w:lang w:val="en-US" w:eastAsia="en-US" w:bidi="ar-SA"/>
      </w:rPr>
    </w:lvl>
    <w:lvl w:ilvl="8" w:tplc="F1667C98">
      <w:numFmt w:val="bullet"/>
      <w:lvlText w:val="•"/>
      <w:lvlJc w:val="left"/>
      <w:pPr>
        <w:ind w:left="7305" w:hanging="245"/>
      </w:pPr>
      <w:rPr>
        <w:rFonts w:hint="default"/>
        <w:lang w:val="en-US" w:eastAsia="en-US" w:bidi="ar-SA"/>
      </w:rPr>
    </w:lvl>
  </w:abstractNum>
  <w:abstractNum w:abstractNumId="31" w15:restartNumberingAfterBreak="0">
    <w:nsid w:val="56E14C59"/>
    <w:multiLevelType w:val="multilevel"/>
    <w:tmpl w:val="5C185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915411C"/>
    <w:multiLevelType w:val="multilevel"/>
    <w:tmpl w:val="0C4032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A3C7AAE"/>
    <w:multiLevelType w:val="multilevel"/>
    <w:tmpl w:val="632E5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1873A17"/>
    <w:multiLevelType w:val="multilevel"/>
    <w:tmpl w:val="8A3460C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8500DF6"/>
    <w:multiLevelType w:val="multilevel"/>
    <w:tmpl w:val="ABC09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E476434"/>
    <w:multiLevelType w:val="multilevel"/>
    <w:tmpl w:val="F31E4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1FF0673"/>
    <w:multiLevelType w:val="multilevel"/>
    <w:tmpl w:val="2AF8EB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751332AF"/>
    <w:multiLevelType w:val="multilevel"/>
    <w:tmpl w:val="302440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7577174E"/>
    <w:multiLevelType w:val="multilevel"/>
    <w:tmpl w:val="9FBEB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CCA217F"/>
    <w:multiLevelType w:val="multilevel"/>
    <w:tmpl w:val="8D84A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D951D9E"/>
    <w:multiLevelType w:val="multilevel"/>
    <w:tmpl w:val="FA66C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DFF6BCA"/>
    <w:multiLevelType w:val="multilevel"/>
    <w:tmpl w:val="FE6AF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50377349">
    <w:abstractNumId w:val="14"/>
  </w:num>
  <w:num w:numId="2" w16cid:durableId="1856336964">
    <w:abstractNumId w:val="10"/>
  </w:num>
  <w:num w:numId="3" w16cid:durableId="860050324">
    <w:abstractNumId w:val="30"/>
  </w:num>
  <w:num w:numId="4" w16cid:durableId="856698847">
    <w:abstractNumId w:val="18"/>
  </w:num>
  <w:num w:numId="5" w16cid:durableId="1879393170">
    <w:abstractNumId w:val="15"/>
  </w:num>
  <w:num w:numId="6" w16cid:durableId="1436171772">
    <w:abstractNumId w:val="4"/>
  </w:num>
  <w:num w:numId="7" w16cid:durableId="357312163">
    <w:abstractNumId w:val="12"/>
  </w:num>
  <w:num w:numId="8" w16cid:durableId="886720379">
    <w:abstractNumId w:val="0"/>
  </w:num>
  <w:num w:numId="9" w16cid:durableId="1107965094">
    <w:abstractNumId w:val="35"/>
  </w:num>
  <w:num w:numId="10" w16cid:durableId="994840368">
    <w:abstractNumId w:val="6"/>
  </w:num>
  <w:num w:numId="11" w16cid:durableId="1120149614">
    <w:abstractNumId w:val="27"/>
  </w:num>
  <w:num w:numId="12" w16cid:durableId="2087729289">
    <w:abstractNumId w:val="33"/>
  </w:num>
  <w:num w:numId="13" w16cid:durableId="733431136">
    <w:abstractNumId w:val="7"/>
  </w:num>
  <w:num w:numId="14" w16cid:durableId="295916708">
    <w:abstractNumId w:val="19"/>
  </w:num>
  <w:num w:numId="15" w16cid:durableId="326398624">
    <w:abstractNumId w:val="36"/>
  </w:num>
  <w:num w:numId="16" w16cid:durableId="487134322">
    <w:abstractNumId w:val="21"/>
  </w:num>
  <w:num w:numId="17" w16cid:durableId="1189172979">
    <w:abstractNumId w:val="41"/>
  </w:num>
  <w:num w:numId="18" w16cid:durableId="311445190">
    <w:abstractNumId w:val="2"/>
  </w:num>
  <w:num w:numId="19" w16cid:durableId="1728071134">
    <w:abstractNumId w:val="34"/>
  </w:num>
  <w:num w:numId="20" w16cid:durableId="1524318844">
    <w:abstractNumId w:val="16"/>
  </w:num>
  <w:num w:numId="21" w16cid:durableId="1415325021">
    <w:abstractNumId w:val="25"/>
  </w:num>
  <w:num w:numId="22" w16cid:durableId="1372612814">
    <w:abstractNumId w:val="5"/>
  </w:num>
  <w:num w:numId="23" w16cid:durableId="385834030">
    <w:abstractNumId w:val="42"/>
  </w:num>
  <w:num w:numId="24" w16cid:durableId="1135559485">
    <w:abstractNumId w:val="13"/>
  </w:num>
  <w:num w:numId="25" w16cid:durableId="604728340">
    <w:abstractNumId w:val="24"/>
  </w:num>
  <w:num w:numId="26" w16cid:durableId="1582181543">
    <w:abstractNumId w:val="1"/>
  </w:num>
  <w:num w:numId="27" w16cid:durableId="1364668140">
    <w:abstractNumId w:val="3"/>
  </w:num>
  <w:num w:numId="28" w16cid:durableId="509102558">
    <w:abstractNumId w:val="23"/>
  </w:num>
  <w:num w:numId="29" w16cid:durableId="2078286362">
    <w:abstractNumId w:val="9"/>
  </w:num>
  <w:num w:numId="30" w16cid:durableId="1814251411">
    <w:abstractNumId w:val="38"/>
  </w:num>
  <w:num w:numId="31" w16cid:durableId="635259033">
    <w:abstractNumId w:val="8"/>
  </w:num>
  <w:num w:numId="32" w16cid:durableId="1723480248">
    <w:abstractNumId w:val="32"/>
  </w:num>
  <w:num w:numId="33" w16cid:durableId="168182489">
    <w:abstractNumId w:val="20"/>
  </w:num>
  <w:num w:numId="34" w16cid:durableId="1069615553">
    <w:abstractNumId w:val="28"/>
  </w:num>
  <w:num w:numId="35" w16cid:durableId="866723140">
    <w:abstractNumId w:val="37"/>
  </w:num>
  <w:num w:numId="36" w16cid:durableId="1141342010">
    <w:abstractNumId w:val="31"/>
  </w:num>
  <w:num w:numId="37" w16cid:durableId="289632519">
    <w:abstractNumId w:val="17"/>
  </w:num>
  <w:num w:numId="38" w16cid:durableId="1439332611">
    <w:abstractNumId w:val="40"/>
  </w:num>
  <w:num w:numId="39" w16cid:durableId="579368587">
    <w:abstractNumId w:val="26"/>
  </w:num>
  <w:num w:numId="40" w16cid:durableId="1513177657">
    <w:abstractNumId w:val="39"/>
  </w:num>
  <w:num w:numId="41" w16cid:durableId="1861242238">
    <w:abstractNumId w:val="22"/>
  </w:num>
  <w:num w:numId="42" w16cid:durableId="1579755630">
    <w:abstractNumId w:val="11"/>
  </w:num>
  <w:num w:numId="43" w16cid:durableId="707997777">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6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0310"/>
    <w:rsid w:val="000150F7"/>
    <w:rsid w:val="0002027A"/>
    <w:rsid w:val="00024241"/>
    <w:rsid w:val="00072517"/>
    <w:rsid w:val="00073094"/>
    <w:rsid w:val="00077AF7"/>
    <w:rsid w:val="000B6072"/>
    <w:rsid w:val="00134D9A"/>
    <w:rsid w:val="00136B92"/>
    <w:rsid w:val="00177925"/>
    <w:rsid w:val="00185D12"/>
    <w:rsid w:val="001A15B9"/>
    <w:rsid w:val="001B42E1"/>
    <w:rsid w:val="001C4C1E"/>
    <w:rsid w:val="001E63BD"/>
    <w:rsid w:val="001E7AC8"/>
    <w:rsid w:val="001F4F5D"/>
    <w:rsid w:val="00205894"/>
    <w:rsid w:val="00263594"/>
    <w:rsid w:val="0026439C"/>
    <w:rsid w:val="00276C97"/>
    <w:rsid w:val="00280407"/>
    <w:rsid w:val="00283D07"/>
    <w:rsid w:val="002A3759"/>
    <w:rsid w:val="002D073B"/>
    <w:rsid w:val="002F111B"/>
    <w:rsid w:val="003B68CC"/>
    <w:rsid w:val="003C135F"/>
    <w:rsid w:val="003C2973"/>
    <w:rsid w:val="003E4DD5"/>
    <w:rsid w:val="003F1644"/>
    <w:rsid w:val="00411727"/>
    <w:rsid w:val="00411D6C"/>
    <w:rsid w:val="00426C8A"/>
    <w:rsid w:val="00433EC6"/>
    <w:rsid w:val="00436036"/>
    <w:rsid w:val="00445308"/>
    <w:rsid w:val="00451256"/>
    <w:rsid w:val="00455C88"/>
    <w:rsid w:val="00455F72"/>
    <w:rsid w:val="00461827"/>
    <w:rsid w:val="0046390D"/>
    <w:rsid w:val="00472EC5"/>
    <w:rsid w:val="00483511"/>
    <w:rsid w:val="00484FE8"/>
    <w:rsid w:val="004B37BA"/>
    <w:rsid w:val="004C6BD5"/>
    <w:rsid w:val="004D6407"/>
    <w:rsid w:val="004E51B8"/>
    <w:rsid w:val="004F778C"/>
    <w:rsid w:val="005076E5"/>
    <w:rsid w:val="00513B31"/>
    <w:rsid w:val="00517CCC"/>
    <w:rsid w:val="00535120"/>
    <w:rsid w:val="005E7F45"/>
    <w:rsid w:val="005F6461"/>
    <w:rsid w:val="00675BBF"/>
    <w:rsid w:val="006A0403"/>
    <w:rsid w:val="006C45E3"/>
    <w:rsid w:val="006E6B70"/>
    <w:rsid w:val="006F776C"/>
    <w:rsid w:val="007172C0"/>
    <w:rsid w:val="007410D8"/>
    <w:rsid w:val="007467CD"/>
    <w:rsid w:val="007617A6"/>
    <w:rsid w:val="0076615F"/>
    <w:rsid w:val="007904B6"/>
    <w:rsid w:val="00793AD2"/>
    <w:rsid w:val="00793E24"/>
    <w:rsid w:val="00796223"/>
    <w:rsid w:val="0079684E"/>
    <w:rsid w:val="007B2664"/>
    <w:rsid w:val="007D0E38"/>
    <w:rsid w:val="007D77D0"/>
    <w:rsid w:val="007F5C3B"/>
    <w:rsid w:val="00803096"/>
    <w:rsid w:val="008104CF"/>
    <w:rsid w:val="00816022"/>
    <w:rsid w:val="008C774D"/>
    <w:rsid w:val="008D3588"/>
    <w:rsid w:val="00944C60"/>
    <w:rsid w:val="00952377"/>
    <w:rsid w:val="00962059"/>
    <w:rsid w:val="00997F7C"/>
    <w:rsid w:val="009B67F0"/>
    <w:rsid w:val="009F0A0E"/>
    <w:rsid w:val="009F5674"/>
    <w:rsid w:val="00A01311"/>
    <w:rsid w:val="00A44DDF"/>
    <w:rsid w:val="00A46CEF"/>
    <w:rsid w:val="00A6233F"/>
    <w:rsid w:val="00A667C9"/>
    <w:rsid w:val="00A7058C"/>
    <w:rsid w:val="00A75A29"/>
    <w:rsid w:val="00AE64BC"/>
    <w:rsid w:val="00AF29E7"/>
    <w:rsid w:val="00B24D7D"/>
    <w:rsid w:val="00B5560E"/>
    <w:rsid w:val="00BD19C4"/>
    <w:rsid w:val="00BD5651"/>
    <w:rsid w:val="00C15B63"/>
    <w:rsid w:val="00C24698"/>
    <w:rsid w:val="00C26514"/>
    <w:rsid w:val="00C329D0"/>
    <w:rsid w:val="00C42999"/>
    <w:rsid w:val="00C46D97"/>
    <w:rsid w:val="00C51288"/>
    <w:rsid w:val="00C55587"/>
    <w:rsid w:val="00CC30F8"/>
    <w:rsid w:val="00CC4E75"/>
    <w:rsid w:val="00CD1CEC"/>
    <w:rsid w:val="00D10310"/>
    <w:rsid w:val="00D6245E"/>
    <w:rsid w:val="00D903F6"/>
    <w:rsid w:val="00DA72AB"/>
    <w:rsid w:val="00DB69A7"/>
    <w:rsid w:val="00DC1F5B"/>
    <w:rsid w:val="00DD5B75"/>
    <w:rsid w:val="00DE1807"/>
    <w:rsid w:val="00E00070"/>
    <w:rsid w:val="00E171BA"/>
    <w:rsid w:val="00E2201D"/>
    <w:rsid w:val="00E432B8"/>
    <w:rsid w:val="00E5205C"/>
    <w:rsid w:val="00E53D6F"/>
    <w:rsid w:val="00E542CB"/>
    <w:rsid w:val="00E60A57"/>
    <w:rsid w:val="00E72DE5"/>
    <w:rsid w:val="00E93D1B"/>
    <w:rsid w:val="00EA10A4"/>
    <w:rsid w:val="00EB4A73"/>
    <w:rsid w:val="00EB7397"/>
    <w:rsid w:val="00EC7956"/>
    <w:rsid w:val="00ED1EA4"/>
    <w:rsid w:val="00EE7ACB"/>
    <w:rsid w:val="00EE7C93"/>
    <w:rsid w:val="00EF10CB"/>
    <w:rsid w:val="00EF6C5F"/>
    <w:rsid w:val="00F16534"/>
    <w:rsid w:val="00FA6A79"/>
    <w:rsid w:val="00FD4E6D"/>
    <w:rsid w:val="00FF000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69"/>
    <o:shapelayout v:ext="edit">
      <o:idmap v:ext="edit" data="2"/>
    </o:shapelayout>
  </w:shapeDefaults>
  <w:decimalSymbol w:val="."/>
  <w:listSeparator w:val=","/>
  <w14:docId w14:val="7362E01F"/>
  <w15:docId w15:val="{2581B6C4-1DA4-46E3-B8E5-168C8FB002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23"/>
      <w:outlineLvl w:val="0"/>
    </w:pPr>
    <w:rPr>
      <w:b/>
      <w:bCs/>
    </w:rPr>
  </w:style>
  <w:style w:type="paragraph" w:styleId="Heading2">
    <w:name w:val="heading 2"/>
    <w:basedOn w:val="Normal"/>
    <w:next w:val="Normal"/>
    <w:link w:val="Heading2Char"/>
    <w:uiPriority w:val="9"/>
    <w:semiHidden/>
    <w:unhideWhenUsed/>
    <w:qFormat/>
    <w:rsid w:val="009F5674"/>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6F776C"/>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0"/>
    <w:qFormat/>
    <w:pPr>
      <w:spacing w:before="17"/>
      <w:ind w:left="20"/>
    </w:pPr>
    <w:rPr>
      <w:rFonts w:ascii="Calibri" w:eastAsia="Calibri" w:hAnsi="Calibri" w:cs="Calibri"/>
      <w:b/>
      <w:bCs/>
      <w:sz w:val="24"/>
      <w:szCs w:val="24"/>
    </w:rPr>
  </w:style>
  <w:style w:type="paragraph" w:styleId="ListParagraph">
    <w:name w:val="List Paragraph"/>
    <w:basedOn w:val="Normal"/>
    <w:uiPriority w:val="1"/>
    <w:qFormat/>
    <w:pPr>
      <w:ind w:left="1463" w:hanging="360"/>
    </w:pPr>
  </w:style>
  <w:style w:type="paragraph" w:customStyle="1" w:styleId="TableParagraph">
    <w:name w:val="Table Paragraph"/>
    <w:basedOn w:val="Normal"/>
    <w:uiPriority w:val="1"/>
    <w:qFormat/>
  </w:style>
  <w:style w:type="character" w:customStyle="1" w:styleId="Heading3Char">
    <w:name w:val="Heading 3 Char"/>
    <w:basedOn w:val="DefaultParagraphFont"/>
    <w:link w:val="Heading3"/>
    <w:uiPriority w:val="9"/>
    <w:semiHidden/>
    <w:rsid w:val="006F776C"/>
    <w:rPr>
      <w:rFonts w:asciiTheme="majorHAnsi" w:eastAsiaTheme="majorEastAsia" w:hAnsiTheme="majorHAnsi" w:cstheme="majorBidi"/>
      <w:color w:val="243F60" w:themeColor="accent1" w:themeShade="7F"/>
      <w:sz w:val="24"/>
      <w:szCs w:val="24"/>
    </w:rPr>
  </w:style>
  <w:style w:type="character" w:customStyle="1" w:styleId="Heading2Char">
    <w:name w:val="Heading 2 Char"/>
    <w:basedOn w:val="DefaultParagraphFont"/>
    <w:link w:val="Heading2"/>
    <w:uiPriority w:val="9"/>
    <w:semiHidden/>
    <w:rsid w:val="009F5674"/>
    <w:rPr>
      <w:rFonts w:asciiTheme="majorHAnsi" w:eastAsiaTheme="majorEastAsia" w:hAnsiTheme="majorHAnsi" w:cstheme="majorBidi"/>
      <w:color w:val="365F91" w:themeColor="accent1" w:themeShade="BF"/>
      <w:sz w:val="26"/>
      <w:szCs w:val="26"/>
    </w:rPr>
  </w:style>
  <w:style w:type="paragraph" w:styleId="Header">
    <w:name w:val="header"/>
    <w:basedOn w:val="Normal"/>
    <w:link w:val="HeaderChar"/>
    <w:uiPriority w:val="99"/>
    <w:unhideWhenUsed/>
    <w:rsid w:val="003B68CC"/>
    <w:pPr>
      <w:tabs>
        <w:tab w:val="center" w:pos="4513"/>
        <w:tab w:val="right" w:pos="9026"/>
      </w:tabs>
    </w:pPr>
  </w:style>
  <w:style w:type="character" w:customStyle="1" w:styleId="HeaderChar">
    <w:name w:val="Header Char"/>
    <w:basedOn w:val="DefaultParagraphFont"/>
    <w:link w:val="Header"/>
    <w:uiPriority w:val="99"/>
    <w:rsid w:val="003B68CC"/>
    <w:rPr>
      <w:rFonts w:ascii="Arial" w:eastAsia="Arial" w:hAnsi="Arial" w:cs="Arial"/>
    </w:rPr>
  </w:style>
  <w:style w:type="paragraph" w:styleId="Footer">
    <w:name w:val="footer"/>
    <w:basedOn w:val="Normal"/>
    <w:link w:val="FooterChar"/>
    <w:uiPriority w:val="99"/>
    <w:unhideWhenUsed/>
    <w:rsid w:val="003B68CC"/>
    <w:pPr>
      <w:tabs>
        <w:tab w:val="center" w:pos="4513"/>
        <w:tab w:val="right" w:pos="9026"/>
      </w:tabs>
    </w:pPr>
  </w:style>
  <w:style w:type="character" w:customStyle="1" w:styleId="FooterChar">
    <w:name w:val="Footer Char"/>
    <w:basedOn w:val="DefaultParagraphFont"/>
    <w:link w:val="Footer"/>
    <w:uiPriority w:val="99"/>
    <w:rsid w:val="003B68CC"/>
    <w:rPr>
      <w:rFonts w:ascii="Arial" w:eastAsia="Arial" w:hAnsi="Arial" w:cs="Arial"/>
    </w:rPr>
  </w:style>
  <w:style w:type="paragraph" w:styleId="FootnoteText">
    <w:name w:val="footnote text"/>
    <w:basedOn w:val="Normal"/>
    <w:link w:val="FootnoteTextChar"/>
    <w:uiPriority w:val="99"/>
    <w:semiHidden/>
    <w:unhideWhenUsed/>
    <w:rsid w:val="00E5205C"/>
    <w:rPr>
      <w:sz w:val="20"/>
      <w:szCs w:val="20"/>
    </w:rPr>
  </w:style>
  <w:style w:type="character" w:customStyle="1" w:styleId="FootnoteTextChar">
    <w:name w:val="Footnote Text Char"/>
    <w:basedOn w:val="DefaultParagraphFont"/>
    <w:link w:val="FootnoteText"/>
    <w:uiPriority w:val="99"/>
    <w:semiHidden/>
    <w:rsid w:val="00E5205C"/>
    <w:rPr>
      <w:rFonts w:ascii="Arial" w:eastAsia="Arial" w:hAnsi="Arial" w:cs="Arial"/>
      <w:sz w:val="20"/>
      <w:szCs w:val="20"/>
    </w:rPr>
  </w:style>
  <w:style w:type="character" w:styleId="FootnoteReference">
    <w:name w:val="footnote reference"/>
    <w:basedOn w:val="DefaultParagraphFont"/>
    <w:uiPriority w:val="99"/>
    <w:semiHidden/>
    <w:unhideWhenUsed/>
    <w:rsid w:val="00E5205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997709">
      <w:bodyDiv w:val="1"/>
      <w:marLeft w:val="0"/>
      <w:marRight w:val="0"/>
      <w:marTop w:val="0"/>
      <w:marBottom w:val="0"/>
      <w:divBdr>
        <w:top w:val="none" w:sz="0" w:space="0" w:color="auto"/>
        <w:left w:val="none" w:sz="0" w:space="0" w:color="auto"/>
        <w:bottom w:val="none" w:sz="0" w:space="0" w:color="auto"/>
        <w:right w:val="none" w:sz="0" w:space="0" w:color="auto"/>
      </w:divBdr>
    </w:div>
    <w:div w:id="368188643">
      <w:bodyDiv w:val="1"/>
      <w:marLeft w:val="0"/>
      <w:marRight w:val="0"/>
      <w:marTop w:val="0"/>
      <w:marBottom w:val="0"/>
      <w:divBdr>
        <w:top w:val="none" w:sz="0" w:space="0" w:color="auto"/>
        <w:left w:val="none" w:sz="0" w:space="0" w:color="auto"/>
        <w:bottom w:val="none" w:sz="0" w:space="0" w:color="auto"/>
        <w:right w:val="none" w:sz="0" w:space="0" w:color="auto"/>
      </w:divBdr>
    </w:div>
    <w:div w:id="878474655">
      <w:bodyDiv w:val="1"/>
      <w:marLeft w:val="0"/>
      <w:marRight w:val="0"/>
      <w:marTop w:val="0"/>
      <w:marBottom w:val="0"/>
      <w:divBdr>
        <w:top w:val="none" w:sz="0" w:space="0" w:color="auto"/>
        <w:left w:val="none" w:sz="0" w:space="0" w:color="auto"/>
        <w:bottom w:val="none" w:sz="0" w:space="0" w:color="auto"/>
        <w:right w:val="none" w:sz="0" w:space="0" w:color="auto"/>
      </w:divBdr>
    </w:div>
    <w:div w:id="10294523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6.jpeg"/><Relationship Id="rId26" Type="http://schemas.openxmlformats.org/officeDocument/2006/relationships/header" Target="header6.xml"/><Relationship Id="rId3" Type="http://schemas.openxmlformats.org/officeDocument/2006/relationships/styles" Target="styles.xml"/><Relationship Id="rId21" Type="http://schemas.openxmlformats.org/officeDocument/2006/relationships/hyperlink" Target="mailto:wes@arca.org.au"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5.jpeg"/><Relationship Id="rId25"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image" Target="media/image8.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image" Target="media/image3.jpeg"/><Relationship Id="rId23" Type="http://schemas.openxmlformats.org/officeDocument/2006/relationships/header" Target="header5.xml"/><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image" Target="media/image7.jpe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2.jpeg"/><Relationship Id="rId22" Type="http://schemas.openxmlformats.org/officeDocument/2006/relationships/header" Target="header4.xml"/><Relationship Id="rId27" Type="http://schemas.openxmlformats.org/officeDocument/2006/relationships/footer" Target="footer6.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A2C5A7-924D-4AB1-80BC-AFA79DFA6E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2582</TotalTime>
  <Pages>22</Pages>
  <Words>6278</Words>
  <Characters>35787</Characters>
  <Application>Microsoft Office Word</Application>
  <DocSecurity>0</DocSecurity>
  <Lines>298</Lines>
  <Paragraphs>83</Paragraphs>
  <ScaleCrop>false</ScaleCrop>
  <Company/>
  <LinksUpToDate>false</LinksUpToDate>
  <CharactersWithSpaces>41982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Spring</dc:creator>
  <dc:description/>
  <cp:lastModifiedBy>Wes Lambert</cp:lastModifiedBy>
  <cp:revision>117</cp:revision>
  <dcterms:created xsi:type="dcterms:W3CDTF">2025-08-10T03:28:00Z</dcterms:created>
  <dcterms:modified xsi:type="dcterms:W3CDTF">2025-09-05T01:53:00Z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2024-11-29T00:00:00Z</vt:filetime>
  </property>
  <property fmtid="{D5CDD505-2E9C-101B-9397-08002B2CF9AE}" pid="3" name="Creator">
    <vt:lpwstr>Acrobat PDFMaker 24 for Word</vt:lpwstr>
  </property>
  <property fmtid="{D5CDD505-2E9C-101B-9397-08002B2CF9AE}" pid="4" name="LastSaved">
    <vt:filetime>2025-08-06T00:00:00Z</vt:filetime>
  </property>
  <property fmtid="{D5CDD505-2E9C-101B-9397-08002B2CF9AE}" pid="5" name="Producer">
    <vt:lpwstr>Adobe PDF Library 24.4.48</vt:lpwstr>
  </property>
  <property fmtid="{D5CDD505-2E9C-101B-9397-08002B2CF9AE}" pid="6" name="SourceModified">
    <vt:lpwstr/>
  </property>
</Properties>
</file>