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F2FC2D" w14:textId="0AD41B35" w:rsidR="006249A8" w:rsidRDefault="00FC22B8" w:rsidP="006248CF">
      <w:pPr>
        <w:spacing w:after="0" w:line="240" w:lineRule="auto"/>
        <w:jc w:val="right"/>
      </w:pPr>
      <w:r>
        <w:rPr>
          <w:rFonts w:ascii="Aptos" w:eastAsia="Aptos" w:hAnsi="Aptos" w:cs="Aptos"/>
          <w:b/>
          <w:bCs/>
        </w:rPr>
        <w:t>Aaron Blackwell</w:t>
      </w:r>
    </w:p>
    <w:p w14:paraId="543B1CFA" w14:textId="1EC4A24F" w:rsidR="006249A8" w:rsidRDefault="00AA2253" w:rsidP="006248CF">
      <w:pPr>
        <w:spacing w:after="0" w:line="240" w:lineRule="auto"/>
        <w:jc w:val="right"/>
        <w:rPr>
          <w:rFonts w:ascii="Aptos" w:eastAsia="Aptos" w:hAnsi="Aptos" w:cs="Aptos"/>
          <w:b/>
          <w:bCs/>
        </w:rPr>
      </w:pPr>
      <w:r w:rsidRPr="00AA2253">
        <w:rPr>
          <w:rFonts w:ascii="Aptos" w:eastAsia="Aptos" w:hAnsi="Aptos" w:cs="Aptos"/>
          <w:b/>
          <w:bCs/>
        </w:rPr>
        <w:t>Executive Head of, Cashless</w:t>
      </w:r>
      <w:r w:rsidR="006248CF">
        <w:rPr>
          <w:rFonts w:ascii="Aptos" w:eastAsia="Aptos" w:hAnsi="Aptos" w:cs="Aptos"/>
          <w:b/>
          <w:bCs/>
        </w:rPr>
        <w:t xml:space="preserve"> Gaming</w:t>
      </w:r>
      <w:r w:rsidRPr="00AA2253">
        <w:rPr>
          <w:rFonts w:ascii="Aptos" w:eastAsia="Aptos" w:hAnsi="Aptos" w:cs="Aptos"/>
          <w:b/>
          <w:bCs/>
        </w:rPr>
        <w:t>, Acquiring &amp; Corporate Partnerships</w:t>
      </w:r>
    </w:p>
    <w:p w14:paraId="520EC8D6" w14:textId="743053D1" w:rsidR="007C6BB5" w:rsidRDefault="007C6BB5" w:rsidP="006248CF">
      <w:pPr>
        <w:spacing w:after="0" w:line="240" w:lineRule="auto"/>
        <w:jc w:val="right"/>
      </w:pPr>
      <w:r>
        <w:rPr>
          <w:rFonts w:ascii="Aptos" w:eastAsia="Aptos" w:hAnsi="Aptos" w:cs="Aptos"/>
          <w:b/>
          <w:bCs/>
        </w:rPr>
        <w:t>Next Payments</w:t>
      </w:r>
    </w:p>
    <w:p w14:paraId="44B46EB3" w14:textId="7DD45092" w:rsidR="006249A8" w:rsidRDefault="00AA2253" w:rsidP="006248CF">
      <w:pPr>
        <w:spacing w:after="0" w:line="240" w:lineRule="auto"/>
        <w:jc w:val="right"/>
        <w:rPr>
          <w:rFonts w:ascii="Aptos" w:eastAsia="Aptos" w:hAnsi="Aptos" w:cs="Aptos"/>
          <w:b/>
          <w:bCs/>
        </w:rPr>
      </w:pPr>
      <w:hyperlink r:id="rId7" w:history="1">
        <w:r w:rsidRPr="00FB6F63">
          <w:rPr>
            <w:rStyle w:val="Hyperlink"/>
            <w:rFonts w:ascii="Aptos" w:eastAsia="Aptos" w:hAnsi="Aptos" w:cs="Aptos"/>
            <w:b/>
            <w:bCs/>
          </w:rPr>
          <w:t>ablackwell@nextpayments.com.au</w:t>
        </w:r>
      </w:hyperlink>
    </w:p>
    <w:p w14:paraId="277BC792" w14:textId="0096F3BD" w:rsidR="00AA2253" w:rsidRDefault="00AA2253" w:rsidP="006248CF">
      <w:pPr>
        <w:spacing w:after="0" w:line="240" w:lineRule="auto"/>
        <w:jc w:val="right"/>
      </w:pPr>
      <w:r>
        <w:rPr>
          <w:rFonts w:ascii="Aptos" w:eastAsia="Aptos" w:hAnsi="Aptos" w:cs="Aptos"/>
          <w:b/>
          <w:bCs/>
        </w:rPr>
        <w:t>0405 420 350</w:t>
      </w:r>
    </w:p>
    <w:p w14:paraId="4B1F3A9B" w14:textId="77777777" w:rsidR="007C6BB5" w:rsidRDefault="007C6BB5" w:rsidP="006248CF">
      <w:pPr>
        <w:spacing w:after="0" w:line="240" w:lineRule="auto"/>
        <w:rPr>
          <w:rFonts w:ascii="Aptos" w:eastAsia="Aptos" w:hAnsi="Aptos" w:cs="Aptos"/>
          <w:b/>
          <w:bCs/>
        </w:rPr>
      </w:pPr>
    </w:p>
    <w:p w14:paraId="65B4DFE7" w14:textId="406DB0AA" w:rsidR="006249A8" w:rsidRDefault="109727E4" w:rsidP="006248CF">
      <w:pPr>
        <w:spacing w:after="0" w:line="240" w:lineRule="auto"/>
        <w:rPr>
          <w:rFonts w:ascii="Aptos" w:eastAsia="Aptos" w:hAnsi="Aptos" w:cs="Aptos"/>
          <w:b/>
          <w:bCs/>
        </w:rPr>
      </w:pPr>
      <w:r w:rsidRPr="133C52B3">
        <w:rPr>
          <w:rFonts w:ascii="Aptos" w:eastAsia="Aptos" w:hAnsi="Aptos" w:cs="Aptos"/>
          <w:b/>
          <w:bCs/>
        </w:rPr>
        <w:t xml:space="preserve">Date: </w:t>
      </w:r>
      <w:r w:rsidR="274F24FA" w:rsidRPr="133C52B3">
        <w:rPr>
          <w:rFonts w:ascii="Aptos" w:eastAsia="Aptos" w:hAnsi="Aptos" w:cs="Aptos"/>
          <w:b/>
          <w:bCs/>
        </w:rPr>
        <w:t>3</w:t>
      </w:r>
      <w:r w:rsidR="274F24FA" w:rsidRPr="133C52B3">
        <w:rPr>
          <w:rFonts w:ascii="Aptos" w:eastAsia="Aptos" w:hAnsi="Aptos" w:cs="Aptos"/>
          <w:b/>
          <w:bCs/>
          <w:vertAlign w:val="superscript"/>
        </w:rPr>
        <w:t>rd</w:t>
      </w:r>
      <w:r w:rsidR="274F24FA" w:rsidRPr="133C52B3">
        <w:rPr>
          <w:rFonts w:ascii="Aptos" w:eastAsia="Aptos" w:hAnsi="Aptos" w:cs="Aptos"/>
          <w:b/>
          <w:bCs/>
        </w:rPr>
        <w:t xml:space="preserve"> December 2024</w:t>
      </w:r>
    </w:p>
    <w:p w14:paraId="05481955" w14:textId="77777777" w:rsidR="007C6BB5" w:rsidRDefault="007C6BB5" w:rsidP="006248CF">
      <w:pPr>
        <w:spacing w:after="0" w:line="240" w:lineRule="auto"/>
        <w:rPr>
          <w:rFonts w:ascii="Aptos" w:eastAsia="Aptos" w:hAnsi="Aptos" w:cs="Aptos"/>
          <w:b/>
          <w:bCs/>
        </w:rPr>
      </w:pPr>
    </w:p>
    <w:p w14:paraId="185E7BE2" w14:textId="11EE7D42" w:rsidR="006249A8" w:rsidRDefault="109727E4" w:rsidP="006248CF">
      <w:pPr>
        <w:spacing w:after="0" w:line="240" w:lineRule="auto"/>
      </w:pPr>
      <w:r w:rsidRPr="440ADC66">
        <w:rPr>
          <w:rFonts w:ascii="Aptos" w:eastAsia="Aptos" w:hAnsi="Aptos" w:cs="Aptos"/>
          <w:b/>
          <w:bCs/>
        </w:rPr>
        <w:t>To:</w:t>
      </w:r>
    </w:p>
    <w:p w14:paraId="57F7FF5C" w14:textId="0AA5F282" w:rsidR="006249A8" w:rsidRDefault="109727E4" w:rsidP="006248CF">
      <w:pPr>
        <w:spacing w:after="0" w:line="240" w:lineRule="auto"/>
      </w:pPr>
      <w:r w:rsidRPr="440ADC66">
        <w:rPr>
          <w:rFonts w:ascii="Aptos" w:eastAsia="Aptos" w:hAnsi="Aptos" w:cs="Aptos"/>
        </w:rPr>
        <w:t>Head of Payments Policy Department</w:t>
      </w:r>
    </w:p>
    <w:p w14:paraId="73F64512" w14:textId="1FE84C21" w:rsidR="006249A8" w:rsidRDefault="109727E4" w:rsidP="006248CF">
      <w:pPr>
        <w:spacing w:after="0" w:line="240" w:lineRule="auto"/>
      </w:pPr>
      <w:r w:rsidRPr="440ADC66">
        <w:rPr>
          <w:rFonts w:ascii="Aptos" w:eastAsia="Aptos" w:hAnsi="Aptos" w:cs="Aptos"/>
        </w:rPr>
        <w:t>Reserve Bank of Australia</w:t>
      </w:r>
    </w:p>
    <w:p w14:paraId="0EB8CCD4" w14:textId="747221D6" w:rsidR="006249A8" w:rsidRDefault="109727E4" w:rsidP="006248CF">
      <w:pPr>
        <w:spacing w:after="0" w:line="240" w:lineRule="auto"/>
      </w:pPr>
      <w:r w:rsidRPr="440ADC66">
        <w:rPr>
          <w:rFonts w:ascii="Aptos" w:eastAsia="Aptos" w:hAnsi="Aptos" w:cs="Aptos"/>
        </w:rPr>
        <w:t>GPO Box 3947</w:t>
      </w:r>
    </w:p>
    <w:p w14:paraId="2353310F" w14:textId="3FC3EB92" w:rsidR="006249A8" w:rsidRDefault="109727E4" w:rsidP="006248CF">
      <w:pPr>
        <w:spacing w:after="0" w:line="240" w:lineRule="auto"/>
        <w:rPr>
          <w:rFonts w:ascii="Aptos" w:eastAsia="Aptos" w:hAnsi="Aptos" w:cs="Aptos"/>
        </w:rPr>
      </w:pPr>
      <w:r w:rsidRPr="440ADC66">
        <w:rPr>
          <w:rFonts w:ascii="Aptos" w:eastAsia="Aptos" w:hAnsi="Aptos" w:cs="Aptos"/>
        </w:rPr>
        <w:t>Sydney NSW 2001</w:t>
      </w:r>
    </w:p>
    <w:p w14:paraId="4EC467A8" w14:textId="77777777" w:rsidR="006248CF" w:rsidRDefault="006248CF" w:rsidP="006248CF">
      <w:pPr>
        <w:spacing w:after="0" w:line="240" w:lineRule="auto"/>
      </w:pPr>
    </w:p>
    <w:p w14:paraId="2DF3769F" w14:textId="5929FFE8" w:rsidR="006249A8" w:rsidRDefault="109727E4" w:rsidP="006248CF">
      <w:pPr>
        <w:spacing w:after="0" w:line="240" w:lineRule="auto"/>
      </w:pPr>
      <w:r w:rsidRPr="440ADC66">
        <w:rPr>
          <w:rFonts w:ascii="Aptos" w:eastAsia="Aptos" w:hAnsi="Aptos" w:cs="Aptos"/>
          <w:b/>
          <w:bCs/>
        </w:rPr>
        <w:t>Re: Submission in Response to the RBA’s Merchant Card Payment Costs and Surcharging Issues Paper – October 2024</w:t>
      </w:r>
    </w:p>
    <w:p w14:paraId="4C31000E" w14:textId="77777777" w:rsidR="006248CF" w:rsidRDefault="006248CF" w:rsidP="006248CF">
      <w:pPr>
        <w:spacing w:after="0" w:line="240" w:lineRule="auto"/>
        <w:rPr>
          <w:rFonts w:ascii="Aptos" w:eastAsia="Aptos" w:hAnsi="Aptos" w:cs="Aptos"/>
        </w:rPr>
      </w:pPr>
    </w:p>
    <w:p w14:paraId="253C528D" w14:textId="5FC964E8" w:rsidR="006249A8" w:rsidRDefault="109727E4" w:rsidP="006248CF">
      <w:pPr>
        <w:spacing w:after="0" w:line="240" w:lineRule="auto"/>
      </w:pPr>
      <w:r w:rsidRPr="10C6961F">
        <w:rPr>
          <w:rFonts w:ascii="Aptos" w:eastAsia="Aptos" w:hAnsi="Aptos" w:cs="Aptos"/>
        </w:rPr>
        <w:t>Dear Sir,</w:t>
      </w:r>
    </w:p>
    <w:p w14:paraId="2A4D79E1" w14:textId="77777777" w:rsidR="006248CF" w:rsidRDefault="006248CF" w:rsidP="006248CF">
      <w:pPr>
        <w:spacing w:after="0" w:line="240" w:lineRule="auto"/>
        <w:rPr>
          <w:rFonts w:ascii="Aptos" w:eastAsia="Aptos" w:hAnsi="Aptos" w:cs="Aptos"/>
        </w:rPr>
      </w:pPr>
    </w:p>
    <w:p w14:paraId="7AD00B5E" w14:textId="0EDC08E2" w:rsidR="006249A8" w:rsidRDefault="109727E4" w:rsidP="006248CF">
      <w:pPr>
        <w:spacing w:after="0" w:line="240" w:lineRule="auto"/>
        <w:rPr>
          <w:rFonts w:ascii="Aptos" w:eastAsia="Aptos" w:hAnsi="Aptos" w:cs="Aptos"/>
        </w:rPr>
      </w:pPr>
      <w:r w:rsidRPr="10C6961F">
        <w:rPr>
          <w:rFonts w:ascii="Aptos" w:eastAsia="Aptos" w:hAnsi="Aptos" w:cs="Aptos"/>
        </w:rPr>
        <w:t>Thank you for the opportunity to provide feedback on the Reserve Bank of Australia’s issues paper regarding merchant card payment costs and surcharging. We appreciate the RBA’s continued focus on maintaining a competitive, efficient, and transparent payments system. As a provider of payment solutions to a wide range of hospi</w:t>
      </w:r>
      <w:r w:rsidR="6B508838" w:rsidRPr="10C6961F">
        <w:rPr>
          <w:rFonts w:ascii="Aptos" w:eastAsia="Aptos" w:hAnsi="Aptos" w:cs="Aptos"/>
        </w:rPr>
        <w:t>tality and gaming venues</w:t>
      </w:r>
      <w:r w:rsidRPr="10C6961F">
        <w:rPr>
          <w:rFonts w:ascii="Aptos" w:eastAsia="Aptos" w:hAnsi="Aptos" w:cs="Aptos"/>
        </w:rPr>
        <w:t>, we offer a unique perspective on the impacts of payment costs and surcharging in high-risk industries. Below, we have addressed the key consultation questions raised by the RBA.</w:t>
      </w:r>
    </w:p>
    <w:p w14:paraId="542BD0BE" w14:textId="25680FF1" w:rsidR="006249A8" w:rsidRDefault="006249A8" w:rsidP="006248CF">
      <w:pPr>
        <w:spacing w:after="0" w:line="240" w:lineRule="auto"/>
      </w:pPr>
    </w:p>
    <w:p w14:paraId="4A0299EC" w14:textId="673190B9" w:rsidR="006249A8" w:rsidRDefault="109727E4" w:rsidP="006248CF">
      <w:pPr>
        <w:pStyle w:val="Heading3"/>
        <w:spacing w:before="0" w:after="0" w:line="240" w:lineRule="auto"/>
      </w:pPr>
      <w:r w:rsidRPr="440ADC66">
        <w:rPr>
          <w:rFonts w:ascii="Aptos" w:eastAsia="Aptos" w:hAnsi="Aptos" w:cs="Aptos"/>
          <w:b/>
          <w:bCs/>
        </w:rPr>
        <w:t>Q1: Is there a case for lowering the level of interchange benchmarks or caps? Should the difference between the interchange fees paid by big and small businesses be limited in some way?</w:t>
      </w:r>
    </w:p>
    <w:p w14:paraId="11F0EDA5" w14:textId="77777777" w:rsidR="006248CF" w:rsidRDefault="006248CF" w:rsidP="006248CF">
      <w:pPr>
        <w:spacing w:after="0" w:line="240" w:lineRule="auto"/>
        <w:rPr>
          <w:rFonts w:ascii="Aptos" w:eastAsia="Aptos" w:hAnsi="Aptos" w:cs="Aptos"/>
        </w:rPr>
      </w:pPr>
    </w:p>
    <w:p w14:paraId="36CD79A5" w14:textId="794973EB" w:rsidR="006249A8" w:rsidRDefault="109727E4" w:rsidP="006248CF">
      <w:pPr>
        <w:spacing w:after="0" w:line="240" w:lineRule="auto"/>
      </w:pPr>
      <w:r w:rsidRPr="5680C6D5">
        <w:rPr>
          <w:rFonts w:ascii="Aptos" w:eastAsia="Aptos" w:hAnsi="Aptos" w:cs="Aptos"/>
        </w:rPr>
        <w:t>We believe there is a strong case for rationalising and lowering interchange benchmarks and caps. While interchange fees have been declining for the past decade, innovation and increased card usage have continued to grow, indicating that interchange fees are no longer the primary driver of payment technology innovation</w:t>
      </w:r>
      <w:r w:rsidR="26D2EBE0" w:rsidRPr="5680C6D5">
        <w:rPr>
          <w:rFonts w:ascii="Aptos" w:eastAsia="Aptos" w:hAnsi="Aptos" w:cs="Aptos"/>
        </w:rPr>
        <w:t xml:space="preserve"> or card usage</w:t>
      </w:r>
      <w:r w:rsidRPr="5680C6D5">
        <w:rPr>
          <w:rFonts w:ascii="Aptos" w:eastAsia="Aptos" w:hAnsi="Aptos" w:cs="Aptos"/>
        </w:rPr>
        <w:t>. Therefore, the interchange fee structure could be simplified and aligned with international benchmarks.</w:t>
      </w:r>
    </w:p>
    <w:p w14:paraId="084B56B0" w14:textId="313CD3F4" w:rsidR="1D843391" w:rsidRDefault="1D843391" w:rsidP="006248CF">
      <w:pPr>
        <w:spacing w:after="0" w:line="240" w:lineRule="auto"/>
        <w:rPr>
          <w:rFonts w:ascii="Aptos" w:eastAsia="Aptos" w:hAnsi="Aptos" w:cs="Aptos"/>
        </w:rPr>
      </w:pPr>
      <w:r w:rsidRPr="5680C6D5">
        <w:rPr>
          <w:rFonts w:ascii="Aptos" w:eastAsia="Aptos" w:hAnsi="Aptos" w:cs="Aptos"/>
        </w:rPr>
        <w:t xml:space="preserve">In the early 2000’s Australia led the way in regulating interchange fees but in recent years other jurisdictions have leapfrogged our rate benchmarks. We believe that the </w:t>
      </w:r>
      <w:r w:rsidR="6035C994" w:rsidRPr="5680C6D5">
        <w:rPr>
          <w:rFonts w:ascii="Aptos" w:eastAsia="Aptos" w:hAnsi="Aptos" w:cs="Aptos"/>
        </w:rPr>
        <w:t xml:space="preserve">opportunity </w:t>
      </w:r>
      <w:r w:rsidR="55D70F09" w:rsidRPr="5680C6D5">
        <w:rPr>
          <w:rFonts w:ascii="Aptos" w:eastAsia="Aptos" w:hAnsi="Aptos" w:cs="Aptos"/>
        </w:rPr>
        <w:t>exists for Australia to now at least catch up with the international interchange benchmarks</w:t>
      </w:r>
      <w:r w:rsidR="1211AD80" w:rsidRPr="5680C6D5">
        <w:rPr>
          <w:rFonts w:ascii="Aptos" w:eastAsia="Aptos" w:hAnsi="Aptos" w:cs="Aptos"/>
        </w:rPr>
        <w:t xml:space="preserve"> currently in existence.</w:t>
      </w:r>
    </w:p>
    <w:p w14:paraId="6B444EDF" w14:textId="0A65E9EA" w:rsidR="006249A8" w:rsidRDefault="109727E4" w:rsidP="006248CF">
      <w:pPr>
        <w:spacing w:after="0" w:line="240" w:lineRule="auto"/>
      </w:pPr>
      <w:r w:rsidRPr="5680C6D5">
        <w:rPr>
          <w:rFonts w:ascii="Aptos" w:eastAsia="Aptos" w:hAnsi="Aptos" w:cs="Aptos"/>
        </w:rPr>
        <w:t xml:space="preserve">The difference between fees paid by small and large merchants is particularly problematic. Large merchants often have the negotiating power to secure favourable rates, whereas smaller businesses—like the gaming </w:t>
      </w:r>
      <w:r w:rsidR="3777F089" w:rsidRPr="5680C6D5">
        <w:rPr>
          <w:rFonts w:ascii="Aptos" w:eastAsia="Aptos" w:hAnsi="Aptos" w:cs="Aptos"/>
        </w:rPr>
        <w:t xml:space="preserve">and hospitality </w:t>
      </w:r>
      <w:r w:rsidRPr="5680C6D5">
        <w:rPr>
          <w:rFonts w:ascii="Aptos" w:eastAsia="Aptos" w:hAnsi="Aptos" w:cs="Aptos"/>
        </w:rPr>
        <w:t>venues we serve—are left with higher costs, which are ultimately passed on to consumers. By reducing these discrepancies, the RBA can promote fairness and competition within the market.</w:t>
      </w:r>
    </w:p>
    <w:p w14:paraId="25092213" w14:textId="128BF223" w:rsidR="006249A8" w:rsidRDefault="006249A8" w:rsidP="006248CF">
      <w:pPr>
        <w:spacing w:after="0" w:line="240" w:lineRule="auto"/>
      </w:pPr>
    </w:p>
    <w:p w14:paraId="75EB16C8" w14:textId="3176E0F0" w:rsidR="006249A8" w:rsidRDefault="109727E4" w:rsidP="006248CF">
      <w:pPr>
        <w:pStyle w:val="Heading3"/>
        <w:spacing w:before="0" w:after="0" w:line="240" w:lineRule="auto"/>
      </w:pPr>
      <w:r w:rsidRPr="440ADC66">
        <w:rPr>
          <w:rFonts w:ascii="Aptos" w:eastAsia="Aptos" w:hAnsi="Aptos" w:cs="Aptos"/>
          <w:b/>
          <w:bCs/>
        </w:rPr>
        <w:lastRenderedPageBreak/>
        <w:t>Q2: Should interchange regulation be extended to foreign card transactions in Australia?</w:t>
      </w:r>
    </w:p>
    <w:p w14:paraId="4C8559DF" w14:textId="77777777" w:rsidR="006248CF" w:rsidRDefault="006248CF" w:rsidP="006248CF">
      <w:pPr>
        <w:spacing w:after="0" w:line="240" w:lineRule="auto"/>
        <w:rPr>
          <w:rFonts w:ascii="Aptos" w:eastAsia="Aptos" w:hAnsi="Aptos" w:cs="Aptos"/>
        </w:rPr>
      </w:pPr>
    </w:p>
    <w:p w14:paraId="7F9F05D5" w14:textId="62D97C60" w:rsidR="006249A8" w:rsidRDefault="109727E4" w:rsidP="006248CF">
      <w:pPr>
        <w:spacing w:after="0" w:line="240" w:lineRule="auto"/>
      </w:pPr>
      <w:r w:rsidRPr="440ADC66">
        <w:rPr>
          <w:rFonts w:ascii="Aptos" w:eastAsia="Aptos" w:hAnsi="Aptos" w:cs="Aptos"/>
        </w:rPr>
        <w:t>Yes, we support the extension of interchange regulation to foreign card transactions. The cost of accepting foreign-issued cards is disproportionately high for Australian merchants compared to domestic cards. Reducing these fees will not only benefit merchants but also enhance Australia’s competitiveness in industries that regularly process international transactions, such as tourism and hospitality.</w:t>
      </w:r>
    </w:p>
    <w:p w14:paraId="0E1A0D87" w14:textId="1D247A2E" w:rsidR="006249A8" w:rsidRDefault="006249A8" w:rsidP="006248CF">
      <w:pPr>
        <w:spacing w:after="0" w:line="240" w:lineRule="auto"/>
      </w:pPr>
    </w:p>
    <w:p w14:paraId="5CED6834" w14:textId="6812C2E0" w:rsidR="006249A8" w:rsidRDefault="109727E4" w:rsidP="006248CF">
      <w:pPr>
        <w:pStyle w:val="Heading3"/>
        <w:spacing w:before="0" w:after="0" w:line="240" w:lineRule="auto"/>
      </w:pPr>
      <w:r w:rsidRPr="440ADC66">
        <w:rPr>
          <w:rFonts w:ascii="Aptos" w:eastAsia="Aptos" w:hAnsi="Aptos" w:cs="Aptos"/>
          <w:b/>
          <w:bCs/>
        </w:rPr>
        <w:t>Q3: Is there a case for reducing the complexity, and/or enhancing the transparency, of interchange fees? If so, how?</w:t>
      </w:r>
    </w:p>
    <w:p w14:paraId="49AF7885" w14:textId="77777777" w:rsidR="006248CF" w:rsidRDefault="006248CF" w:rsidP="006248CF">
      <w:pPr>
        <w:spacing w:after="0" w:line="240" w:lineRule="auto"/>
        <w:rPr>
          <w:rFonts w:ascii="Aptos" w:eastAsia="Aptos" w:hAnsi="Aptos" w:cs="Aptos"/>
        </w:rPr>
      </w:pPr>
    </w:p>
    <w:p w14:paraId="7EDC606A" w14:textId="32D5A88A" w:rsidR="006249A8" w:rsidRDefault="109727E4" w:rsidP="006248CF">
      <w:pPr>
        <w:spacing w:after="0" w:line="240" w:lineRule="auto"/>
      </w:pPr>
      <w:r w:rsidRPr="440ADC66">
        <w:rPr>
          <w:rFonts w:ascii="Aptos" w:eastAsia="Aptos" w:hAnsi="Aptos" w:cs="Aptos"/>
        </w:rPr>
        <w:t>We believe there is an overwhelming case for reducing the complexity of interchange fees. The current structure is opaque, with numerous fee categories that make it difficult for merchants to understand the costs they face. The fees should be rationalised, with a reduction in the number of categories and a shift towards simpler, more transparent pricing structures.</w:t>
      </w:r>
    </w:p>
    <w:p w14:paraId="41A6F49A" w14:textId="77777777" w:rsidR="006248CF" w:rsidRDefault="006248CF" w:rsidP="006248CF">
      <w:pPr>
        <w:spacing w:after="0" w:line="240" w:lineRule="auto"/>
        <w:rPr>
          <w:rFonts w:ascii="Aptos" w:eastAsia="Aptos" w:hAnsi="Aptos" w:cs="Aptos"/>
        </w:rPr>
      </w:pPr>
    </w:p>
    <w:p w14:paraId="5418EA1D" w14:textId="6BAF5D9B" w:rsidR="006249A8" w:rsidRDefault="109727E4" w:rsidP="006248CF">
      <w:pPr>
        <w:spacing w:after="0" w:line="240" w:lineRule="auto"/>
      </w:pPr>
      <w:proofErr w:type="gramStart"/>
      <w:r w:rsidRPr="5680C6D5">
        <w:rPr>
          <w:rFonts w:ascii="Aptos" w:eastAsia="Aptos" w:hAnsi="Aptos" w:cs="Aptos"/>
        </w:rPr>
        <w:t>In particular, we</w:t>
      </w:r>
      <w:proofErr w:type="gramEnd"/>
      <w:r w:rsidRPr="5680C6D5">
        <w:rPr>
          <w:rFonts w:ascii="Aptos" w:eastAsia="Aptos" w:hAnsi="Aptos" w:cs="Aptos"/>
        </w:rPr>
        <w:t xml:space="preserve"> advocate for the removal of percentage-based debit card interchange fees. Debit cards are not tied to rewards programs, so there is no justification for charging more than a flat cents-per-transaction fee. In fact,</w:t>
      </w:r>
      <w:r w:rsidR="06814566" w:rsidRPr="5680C6D5">
        <w:rPr>
          <w:rFonts w:ascii="Aptos" w:eastAsia="Aptos" w:hAnsi="Aptos" w:cs="Aptos"/>
        </w:rPr>
        <w:t xml:space="preserve"> depending on the amount, </w:t>
      </w:r>
      <w:r w:rsidRPr="5680C6D5">
        <w:rPr>
          <w:rFonts w:ascii="Aptos" w:eastAsia="Aptos" w:hAnsi="Aptos" w:cs="Aptos"/>
        </w:rPr>
        <w:t>it is currently more expensive to withdraw cash at a point of sale than through an ATM, which is not only illogical but detrimental to smaller merchants. A simpler, flat-fee structure for debit transactions would ensure fairer and more predictable costs for merchants.</w:t>
      </w:r>
    </w:p>
    <w:p w14:paraId="248EB57D" w14:textId="77777777" w:rsidR="006248CF" w:rsidRDefault="006248CF" w:rsidP="006248CF">
      <w:pPr>
        <w:spacing w:after="0" w:line="240" w:lineRule="auto"/>
        <w:rPr>
          <w:rFonts w:ascii="Aptos" w:eastAsia="Aptos" w:hAnsi="Aptos" w:cs="Aptos"/>
        </w:rPr>
      </w:pPr>
    </w:p>
    <w:p w14:paraId="56538C20" w14:textId="3D0283FF" w:rsidR="11144C41" w:rsidRDefault="11144C41" w:rsidP="006248CF">
      <w:pPr>
        <w:spacing w:after="0" w:line="240" w:lineRule="auto"/>
        <w:rPr>
          <w:rFonts w:ascii="Aptos" w:eastAsia="Aptos" w:hAnsi="Aptos" w:cs="Aptos"/>
        </w:rPr>
      </w:pPr>
      <w:r w:rsidRPr="5680C6D5">
        <w:rPr>
          <w:rFonts w:ascii="Aptos" w:eastAsia="Aptos" w:hAnsi="Aptos" w:cs="Aptos"/>
        </w:rPr>
        <w:t>One option we submit for consideration is for all schemes to have a single interchange rate</w:t>
      </w:r>
      <w:r w:rsidR="660E62EF" w:rsidRPr="5680C6D5">
        <w:rPr>
          <w:rFonts w:ascii="Aptos" w:eastAsia="Aptos" w:hAnsi="Aptos" w:cs="Aptos"/>
        </w:rPr>
        <w:t xml:space="preserve"> across </w:t>
      </w:r>
      <w:proofErr w:type="gramStart"/>
      <w:r w:rsidR="660E62EF" w:rsidRPr="5680C6D5">
        <w:rPr>
          <w:rFonts w:ascii="Aptos" w:eastAsia="Aptos" w:hAnsi="Aptos" w:cs="Aptos"/>
        </w:rPr>
        <w:t>all of</w:t>
      </w:r>
      <w:proofErr w:type="gramEnd"/>
      <w:r w:rsidR="660E62EF" w:rsidRPr="5680C6D5">
        <w:rPr>
          <w:rFonts w:ascii="Aptos" w:eastAsia="Aptos" w:hAnsi="Aptos" w:cs="Aptos"/>
        </w:rPr>
        <w:t xml:space="preserve"> their products</w:t>
      </w:r>
      <w:r w:rsidRPr="5680C6D5">
        <w:rPr>
          <w:rFonts w:ascii="Aptos" w:eastAsia="Aptos" w:hAnsi="Aptos" w:cs="Aptos"/>
        </w:rPr>
        <w:t>. Currently networks like Diners, Amex and Union Pay have a single flat fee for processing their cards</w:t>
      </w:r>
      <w:r w:rsidR="01B1AFA4" w:rsidRPr="5680C6D5">
        <w:rPr>
          <w:rFonts w:ascii="Aptos" w:eastAsia="Aptos" w:hAnsi="Aptos" w:cs="Aptos"/>
        </w:rPr>
        <w:t>. The single flat fee makes it far simpler for merchants to understand the relative cost of acceptance between networks and w</w:t>
      </w:r>
      <w:r w:rsidR="09DAFB69" w:rsidRPr="5680C6D5">
        <w:rPr>
          <w:rFonts w:ascii="Aptos" w:eastAsia="Aptos" w:hAnsi="Aptos" w:cs="Aptos"/>
        </w:rPr>
        <w:t xml:space="preserve">ould support their decision to surcharge </w:t>
      </w:r>
      <w:r w:rsidR="348E9A4E" w:rsidRPr="5680C6D5">
        <w:rPr>
          <w:rFonts w:ascii="Aptos" w:eastAsia="Aptos" w:hAnsi="Aptos" w:cs="Aptos"/>
        </w:rPr>
        <w:t xml:space="preserve">one or more card networks </w:t>
      </w:r>
      <w:r w:rsidR="09DAFB69" w:rsidRPr="5680C6D5">
        <w:rPr>
          <w:rFonts w:ascii="Aptos" w:eastAsia="Aptos" w:hAnsi="Aptos" w:cs="Aptos"/>
        </w:rPr>
        <w:t xml:space="preserve">or not. Operationally, there might still be discounted fees for larger </w:t>
      </w:r>
      <w:proofErr w:type="gramStart"/>
      <w:r w:rsidR="09DAFB69" w:rsidRPr="5680C6D5">
        <w:rPr>
          <w:rFonts w:ascii="Aptos" w:eastAsia="Aptos" w:hAnsi="Aptos" w:cs="Aptos"/>
        </w:rPr>
        <w:t>merchants</w:t>
      </w:r>
      <w:proofErr w:type="gramEnd"/>
      <w:r w:rsidR="09DAFB69" w:rsidRPr="5680C6D5">
        <w:rPr>
          <w:rFonts w:ascii="Aptos" w:eastAsia="Aptos" w:hAnsi="Aptos" w:cs="Aptos"/>
        </w:rPr>
        <w:t xml:space="preserve"> but the single fee structure is currently in place for these n</w:t>
      </w:r>
      <w:r w:rsidR="5CF3F89F" w:rsidRPr="5680C6D5">
        <w:rPr>
          <w:rFonts w:ascii="Aptos" w:eastAsia="Aptos" w:hAnsi="Aptos" w:cs="Aptos"/>
        </w:rPr>
        <w:t xml:space="preserve">etwork despite the fact that they are a combination of three and four party networks and have a combination of both debit and credit products. </w:t>
      </w:r>
    </w:p>
    <w:p w14:paraId="1AD7094C" w14:textId="458A67AA" w:rsidR="006249A8" w:rsidRDefault="006249A8" w:rsidP="006248CF">
      <w:pPr>
        <w:spacing w:after="0" w:line="240" w:lineRule="auto"/>
      </w:pPr>
    </w:p>
    <w:p w14:paraId="0433A907" w14:textId="11D54CD0" w:rsidR="006249A8" w:rsidRDefault="109727E4" w:rsidP="006248CF">
      <w:pPr>
        <w:pStyle w:val="Heading3"/>
        <w:spacing w:before="0" w:after="0" w:line="240" w:lineRule="auto"/>
      </w:pPr>
      <w:r w:rsidRPr="440ADC66">
        <w:rPr>
          <w:rFonts w:ascii="Aptos" w:eastAsia="Aptos" w:hAnsi="Aptos" w:cs="Aptos"/>
          <w:b/>
          <w:bCs/>
        </w:rPr>
        <w:t>Q4: Is there a case for further transparency of scheme fees to promote efficiency and competition? If so, what additional information would be beneficial?</w:t>
      </w:r>
    </w:p>
    <w:p w14:paraId="485EE00B" w14:textId="77777777" w:rsidR="006248CF" w:rsidRDefault="006248CF" w:rsidP="006248CF">
      <w:pPr>
        <w:spacing w:after="0" w:line="240" w:lineRule="auto"/>
        <w:rPr>
          <w:rFonts w:ascii="Aptos" w:eastAsia="Aptos" w:hAnsi="Aptos" w:cs="Aptos"/>
        </w:rPr>
      </w:pPr>
    </w:p>
    <w:p w14:paraId="189C5CE2" w14:textId="2A097875" w:rsidR="006249A8" w:rsidRDefault="109727E4" w:rsidP="006248CF">
      <w:pPr>
        <w:spacing w:after="0" w:line="240" w:lineRule="auto"/>
      </w:pPr>
      <w:r w:rsidRPr="5680C6D5">
        <w:rPr>
          <w:rFonts w:ascii="Aptos" w:eastAsia="Aptos" w:hAnsi="Aptos" w:cs="Aptos"/>
        </w:rPr>
        <w:t>Yes, we strongly support further transparency of scheme fees. Currently, scheme fees are complex and often hidden from merchants</w:t>
      </w:r>
      <w:r w:rsidR="0713847B" w:rsidRPr="5680C6D5">
        <w:rPr>
          <w:rFonts w:ascii="Aptos" w:eastAsia="Aptos" w:hAnsi="Aptos" w:cs="Aptos"/>
        </w:rPr>
        <w:t xml:space="preserve"> and all non-scheme members</w:t>
      </w:r>
      <w:r w:rsidRPr="5680C6D5">
        <w:rPr>
          <w:rFonts w:ascii="Aptos" w:eastAsia="Aptos" w:hAnsi="Aptos" w:cs="Aptos"/>
        </w:rPr>
        <w:t>. This lack of transparency distorts competition and makes it difficult for merchants to make informed decisions about their payment service providers (PSPs).</w:t>
      </w:r>
    </w:p>
    <w:p w14:paraId="3BB34D97" w14:textId="5DC66B9C" w:rsidR="006249A8" w:rsidRDefault="109727E4" w:rsidP="006248CF">
      <w:pPr>
        <w:spacing w:after="0" w:line="240" w:lineRule="auto"/>
      </w:pPr>
      <w:r w:rsidRPr="440ADC66">
        <w:rPr>
          <w:rFonts w:ascii="Aptos" w:eastAsia="Aptos" w:hAnsi="Aptos" w:cs="Aptos"/>
        </w:rPr>
        <w:t xml:space="preserve">We recommend that scheme fees be made publicly available in a clear and understandable format, detailing wholesale costs and any additional charges that PSPs </w:t>
      </w:r>
      <w:r w:rsidRPr="440ADC66">
        <w:rPr>
          <w:rFonts w:ascii="Aptos" w:eastAsia="Aptos" w:hAnsi="Aptos" w:cs="Aptos"/>
        </w:rPr>
        <w:lastRenderedPageBreak/>
        <w:t>add. If fees continue to rise, regulation may be necessary to ensure that merchants, particularly small businesses, are not burdened with excessive costs.</w:t>
      </w:r>
    </w:p>
    <w:p w14:paraId="644E736C" w14:textId="6BBE70FE" w:rsidR="006249A8" w:rsidRDefault="006249A8" w:rsidP="006248CF">
      <w:pPr>
        <w:spacing w:after="0" w:line="240" w:lineRule="auto"/>
      </w:pPr>
    </w:p>
    <w:p w14:paraId="6309FDB4" w14:textId="2A11739A" w:rsidR="006249A8" w:rsidRDefault="109727E4" w:rsidP="006248CF">
      <w:pPr>
        <w:pStyle w:val="Heading3"/>
        <w:spacing w:before="0" w:after="0" w:line="240" w:lineRule="auto"/>
      </w:pPr>
      <w:r w:rsidRPr="440ADC66">
        <w:rPr>
          <w:rFonts w:ascii="Aptos" w:eastAsia="Aptos" w:hAnsi="Aptos" w:cs="Aptos"/>
          <w:b/>
          <w:bCs/>
        </w:rPr>
        <w:t>Q5: Is there a case for regulatory action to reduce the complexity or growth of scheme fees? If so, what form should this take?</w:t>
      </w:r>
    </w:p>
    <w:p w14:paraId="1456E459" w14:textId="77777777" w:rsidR="006248CF" w:rsidRDefault="006248CF" w:rsidP="006248CF">
      <w:pPr>
        <w:spacing w:after="0" w:line="240" w:lineRule="auto"/>
        <w:rPr>
          <w:rFonts w:ascii="Aptos" w:eastAsia="Aptos" w:hAnsi="Aptos" w:cs="Aptos"/>
        </w:rPr>
      </w:pPr>
    </w:p>
    <w:p w14:paraId="078199CF" w14:textId="7AC5E108" w:rsidR="006249A8" w:rsidRDefault="109727E4" w:rsidP="006248CF">
      <w:pPr>
        <w:spacing w:after="0" w:line="240" w:lineRule="auto"/>
      </w:pPr>
      <w:r w:rsidRPr="440ADC66">
        <w:rPr>
          <w:rFonts w:ascii="Aptos" w:eastAsia="Aptos" w:hAnsi="Aptos" w:cs="Aptos"/>
        </w:rPr>
        <w:t>There is a clear need for regulatory action if scheme fees continue to rise unchecked. Simplifying fee categories and capping scheme fees could reduce complexity and prevent merchants from being overcharged. Without regulation, we believe that the lack of competitive pressure on card networks could result in further price hikes, ultimately harming both merchants and consumers.</w:t>
      </w:r>
    </w:p>
    <w:p w14:paraId="55F86988" w14:textId="34B43E9A" w:rsidR="006249A8" w:rsidRDefault="006249A8" w:rsidP="006248CF">
      <w:pPr>
        <w:spacing w:after="0" w:line="240" w:lineRule="auto"/>
      </w:pPr>
    </w:p>
    <w:p w14:paraId="5C4072C0" w14:textId="1D3A63CC" w:rsidR="006249A8" w:rsidRDefault="109727E4" w:rsidP="006248CF">
      <w:pPr>
        <w:pStyle w:val="Heading3"/>
        <w:spacing w:before="0" w:after="0" w:line="240" w:lineRule="auto"/>
      </w:pPr>
      <w:r w:rsidRPr="440ADC66">
        <w:rPr>
          <w:rFonts w:ascii="Aptos" w:eastAsia="Aptos" w:hAnsi="Aptos" w:cs="Aptos"/>
          <w:b/>
          <w:bCs/>
        </w:rPr>
        <w:t xml:space="preserve">Q6: What other regulatory action should the RBA consider </w:t>
      </w:r>
      <w:proofErr w:type="gramStart"/>
      <w:r w:rsidRPr="440ADC66">
        <w:rPr>
          <w:rFonts w:ascii="Aptos" w:eastAsia="Aptos" w:hAnsi="Aptos" w:cs="Aptos"/>
          <w:b/>
          <w:bCs/>
        </w:rPr>
        <w:t>to increase</w:t>
      </w:r>
      <w:proofErr w:type="gramEnd"/>
      <w:r w:rsidRPr="440ADC66">
        <w:rPr>
          <w:rFonts w:ascii="Aptos" w:eastAsia="Aptos" w:hAnsi="Aptos" w:cs="Aptos"/>
          <w:b/>
          <w:bCs/>
        </w:rPr>
        <w:t xml:space="preserve"> the competitive pressure on scheme fees?</w:t>
      </w:r>
    </w:p>
    <w:p w14:paraId="0D10CE07" w14:textId="77777777" w:rsidR="006248CF" w:rsidRDefault="006248CF" w:rsidP="006248CF">
      <w:pPr>
        <w:spacing w:after="0" w:line="240" w:lineRule="auto"/>
        <w:rPr>
          <w:rFonts w:ascii="Aptos" w:eastAsia="Aptos" w:hAnsi="Aptos" w:cs="Aptos"/>
        </w:rPr>
      </w:pPr>
    </w:p>
    <w:p w14:paraId="45C496B3" w14:textId="6482E825" w:rsidR="006249A8" w:rsidRDefault="109727E4" w:rsidP="006248CF">
      <w:pPr>
        <w:spacing w:after="0" w:line="240" w:lineRule="auto"/>
      </w:pPr>
      <w:r w:rsidRPr="5680C6D5">
        <w:rPr>
          <w:rFonts w:ascii="Aptos" w:eastAsia="Aptos" w:hAnsi="Aptos" w:cs="Aptos"/>
        </w:rPr>
        <w:t>The RBA could consider introducing mandatory reporting requirements for PSPs and card networks, ensuring that merchants have access to detailed, comparative data on fees. This would promote competition by allowing merchants to negotiate better deals or switch providers more easily, based on transparent pricing structures.</w:t>
      </w:r>
    </w:p>
    <w:p w14:paraId="50945E4B" w14:textId="6614AE0E" w:rsidR="1B267CC8" w:rsidRDefault="1B267CC8" w:rsidP="006248CF">
      <w:pPr>
        <w:spacing w:after="0" w:line="240" w:lineRule="auto"/>
        <w:rPr>
          <w:rFonts w:ascii="Aptos" w:eastAsia="Aptos" w:hAnsi="Aptos" w:cs="Aptos"/>
        </w:rPr>
      </w:pPr>
      <w:r w:rsidRPr="5680C6D5">
        <w:rPr>
          <w:rFonts w:ascii="Aptos" w:eastAsia="Aptos" w:hAnsi="Aptos" w:cs="Aptos"/>
        </w:rPr>
        <w:t xml:space="preserve">We note that our previous suggestion of a single, all </w:t>
      </w:r>
      <w:proofErr w:type="spellStart"/>
      <w:r w:rsidRPr="5680C6D5">
        <w:rPr>
          <w:rFonts w:ascii="Aptos" w:eastAsia="Aptos" w:hAnsi="Aptos" w:cs="Aptos"/>
        </w:rPr>
        <w:t>encompasing</w:t>
      </w:r>
      <w:proofErr w:type="spellEnd"/>
      <w:r w:rsidRPr="5680C6D5">
        <w:rPr>
          <w:rFonts w:ascii="Aptos" w:eastAsia="Aptos" w:hAnsi="Aptos" w:cs="Aptos"/>
        </w:rPr>
        <w:t xml:space="preserve"> acceptance fee per scheme would remove the scheme fee iss</w:t>
      </w:r>
      <w:r w:rsidR="507E5D52" w:rsidRPr="5680C6D5">
        <w:rPr>
          <w:rFonts w:ascii="Aptos" w:eastAsia="Aptos" w:hAnsi="Aptos" w:cs="Aptos"/>
        </w:rPr>
        <w:t>u</w:t>
      </w:r>
      <w:r w:rsidRPr="5680C6D5">
        <w:rPr>
          <w:rFonts w:ascii="Aptos" w:eastAsia="Aptos" w:hAnsi="Aptos" w:cs="Aptos"/>
        </w:rPr>
        <w:t>e. Effectively putting the management of the split between scheme fees and interchange back into th</w:t>
      </w:r>
      <w:r w:rsidR="7C90BCDE" w:rsidRPr="5680C6D5">
        <w:rPr>
          <w:rFonts w:ascii="Aptos" w:eastAsia="Aptos" w:hAnsi="Aptos" w:cs="Aptos"/>
        </w:rPr>
        <w:t xml:space="preserve">e card networks where it belongs rather than making it the </w:t>
      </w:r>
      <w:proofErr w:type="gramStart"/>
      <w:r w:rsidR="7C90BCDE" w:rsidRPr="5680C6D5">
        <w:rPr>
          <w:rFonts w:ascii="Aptos" w:eastAsia="Aptos" w:hAnsi="Aptos" w:cs="Aptos"/>
        </w:rPr>
        <w:t>merchants</w:t>
      </w:r>
      <w:proofErr w:type="gramEnd"/>
      <w:r w:rsidR="7C90BCDE" w:rsidRPr="5680C6D5">
        <w:rPr>
          <w:rFonts w:ascii="Aptos" w:eastAsia="Aptos" w:hAnsi="Aptos" w:cs="Aptos"/>
        </w:rPr>
        <w:t xml:space="preserve"> issue to </w:t>
      </w:r>
      <w:r w:rsidR="7AA486E3" w:rsidRPr="5680C6D5">
        <w:rPr>
          <w:rFonts w:ascii="Aptos" w:eastAsia="Aptos" w:hAnsi="Aptos" w:cs="Aptos"/>
        </w:rPr>
        <w:t xml:space="preserve">monitor and </w:t>
      </w:r>
      <w:r w:rsidR="7C90BCDE" w:rsidRPr="5680C6D5">
        <w:rPr>
          <w:rFonts w:ascii="Aptos" w:eastAsia="Aptos" w:hAnsi="Aptos" w:cs="Aptos"/>
        </w:rPr>
        <w:t>resolve.</w:t>
      </w:r>
    </w:p>
    <w:p w14:paraId="3BC8350C" w14:textId="025D10D0" w:rsidR="006249A8" w:rsidRDefault="006249A8" w:rsidP="006248CF">
      <w:pPr>
        <w:spacing w:after="0" w:line="240" w:lineRule="auto"/>
      </w:pPr>
    </w:p>
    <w:p w14:paraId="409343BA" w14:textId="1D72E7C0" w:rsidR="006249A8" w:rsidRDefault="109727E4" w:rsidP="006248CF">
      <w:pPr>
        <w:pStyle w:val="Heading3"/>
        <w:spacing w:before="0" w:after="0" w:line="240" w:lineRule="auto"/>
      </w:pPr>
      <w:r w:rsidRPr="440ADC66">
        <w:rPr>
          <w:rFonts w:ascii="Aptos" w:eastAsia="Aptos" w:hAnsi="Aptos" w:cs="Aptos"/>
          <w:b/>
          <w:bCs/>
        </w:rPr>
        <w:t>Q7: How do stakeholders assess the functioning and effectiveness to date of LCR for in-person transactions? Is further regulatory intervention needed? What might that look like?</w:t>
      </w:r>
    </w:p>
    <w:p w14:paraId="56C584A0" w14:textId="77777777" w:rsidR="006248CF" w:rsidRDefault="006248CF" w:rsidP="006248CF">
      <w:pPr>
        <w:spacing w:after="0" w:line="240" w:lineRule="auto"/>
        <w:rPr>
          <w:rFonts w:ascii="Aptos" w:eastAsia="Aptos" w:hAnsi="Aptos" w:cs="Aptos"/>
        </w:rPr>
      </w:pPr>
    </w:p>
    <w:p w14:paraId="3934377F" w14:textId="58BC9C50" w:rsidR="006249A8" w:rsidRDefault="109727E4" w:rsidP="006248CF">
      <w:pPr>
        <w:spacing w:after="0" w:line="240" w:lineRule="auto"/>
      </w:pPr>
      <w:r w:rsidRPr="440ADC66">
        <w:rPr>
          <w:rFonts w:ascii="Aptos" w:eastAsia="Aptos" w:hAnsi="Aptos" w:cs="Aptos"/>
        </w:rPr>
        <w:t>Least-Cost Routing (LCR) has been a valuable tool for reducing merchant costs, but more needs to be done to ensure its widespread adoption. While many merchants have implemented LCR, others remain on higher-cost routing pathways due to the lack of clear, automatic implementation by PSPs.</w:t>
      </w:r>
    </w:p>
    <w:p w14:paraId="55795646" w14:textId="608243B1" w:rsidR="006249A8" w:rsidRDefault="109727E4" w:rsidP="006248CF">
      <w:pPr>
        <w:spacing w:after="0" w:line="240" w:lineRule="auto"/>
      </w:pPr>
      <w:r w:rsidRPr="440ADC66">
        <w:rPr>
          <w:rFonts w:ascii="Aptos" w:eastAsia="Aptos" w:hAnsi="Aptos" w:cs="Aptos"/>
        </w:rPr>
        <w:t>We support mandatory LCR for all in-person debit transactions, with default routing set to the least-cost network unless the merchant opts out. This would drive down merchant costs without requiring them to actively engage in complex technical setup processes.</w:t>
      </w:r>
    </w:p>
    <w:p w14:paraId="4458C45C" w14:textId="77777777" w:rsidR="006248CF" w:rsidRDefault="006248CF" w:rsidP="006248CF">
      <w:pPr>
        <w:spacing w:after="0" w:line="240" w:lineRule="auto"/>
      </w:pPr>
    </w:p>
    <w:p w14:paraId="3397A7D4" w14:textId="5F89CBB5" w:rsidR="006249A8" w:rsidRDefault="781D549C" w:rsidP="006248CF">
      <w:pPr>
        <w:spacing w:after="0" w:line="240" w:lineRule="auto"/>
      </w:pPr>
      <w:r>
        <w:t>The industry wide implementation of LCR across all channels and form factors (mobile, wallet, in app and online) will also improve merchant access to the capability.</w:t>
      </w:r>
    </w:p>
    <w:p w14:paraId="5E3962BB" w14:textId="77777777" w:rsidR="006248CF" w:rsidRDefault="006248CF" w:rsidP="006248CF">
      <w:pPr>
        <w:pStyle w:val="Heading3"/>
        <w:spacing w:before="0" w:after="0" w:line="240" w:lineRule="auto"/>
        <w:rPr>
          <w:rFonts w:ascii="Aptos" w:eastAsia="Aptos" w:hAnsi="Aptos" w:cs="Aptos"/>
          <w:b/>
          <w:bCs/>
        </w:rPr>
      </w:pPr>
    </w:p>
    <w:p w14:paraId="5C0F2711" w14:textId="727DC69D" w:rsidR="006249A8" w:rsidRDefault="109727E4" w:rsidP="006248CF">
      <w:pPr>
        <w:pStyle w:val="Heading3"/>
        <w:spacing w:before="0" w:after="0" w:line="240" w:lineRule="auto"/>
      </w:pPr>
      <w:r w:rsidRPr="440ADC66">
        <w:rPr>
          <w:rFonts w:ascii="Aptos" w:eastAsia="Aptos" w:hAnsi="Aptos" w:cs="Aptos"/>
          <w:b/>
          <w:bCs/>
        </w:rPr>
        <w:t>Q8: Is there a case for greater transparency of fees, wholesale costs, and market shares for some payment services?</w:t>
      </w:r>
    </w:p>
    <w:p w14:paraId="0AA485C0" w14:textId="6EC7E8E9" w:rsidR="006249A8" w:rsidRDefault="109727E4" w:rsidP="006248CF">
      <w:pPr>
        <w:spacing w:after="0" w:line="240" w:lineRule="auto"/>
      </w:pPr>
      <w:r w:rsidRPr="440ADC66">
        <w:rPr>
          <w:rFonts w:ascii="Aptos" w:eastAsia="Aptos" w:hAnsi="Aptos" w:cs="Aptos"/>
        </w:rPr>
        <w:t>Yes, there is a strong case for greater transparency across all payment services. Blended pricing models</w:t>
      </w:r>
      <w:proofErr w:type="gramStart"/>
      <w:r w:rsidRPr="440ADC66">
        <w:rPr>
          <w:rFonts w:ascii="Aptos" w:eastAsia="Aptos" w:hAnsi="Aptos" w:cs="Aptos"/>
        </w:rPr>
        <w:t>, in particular, obscure</w:t>
      </w:r>
      <w:proofErr w:type="gramEnd"/>
      <w:r w:rsidRPr="440ADC66">
        <w:rPr>
          <w:rFonts w:ascii="Aptos" w:eastAsia="Aptos" w:hAnsi="Aptos" w:cs="Aptos"/>
        </w:rPr>
        <w:t xml:space="preserve"> the true cost of individual transactions and make it difficult for merchants to respond to price signals in the market. PSPs </w:t>
      </w:r>
      <w:r w:rsidRPr="440ADC66">
        <w:rPr>
          <w:rFonts w:ascii="Aptos" w:eastAsia="Aptos" w:hAnsi="Aptos" w:cs="Aptos"/>
        </w:rPr>
        <w:lastRenderedPageBreak/>
        <w:t>should be required to publish clear breakdowns of interchange, scheme fees, and margins. This would empower merchants, promote competition, and prevent price distortions caused by blended rates.</w:t>
      </w:r>
    </w:p>
    <w:p w14:paraId="38371C79" w14:textId="2DB09F22" w:rsidR="006249A8" w:rsidRDefault="006249A8" w:rsidP="006248CF">
      <w:pPr>
        <w:spacing w:after="0" w:line="240" w:lineRule="auto"/>
      </w:pPr>
    </w:p>
    <w:p w14:paraId="6195D06B" w14:textId="0CB69149" w:rsidR="006249A8" w:rsidRDefault="109727E4" w:rsidP="006248CF">
      <w:pPr>
        <w:pStyle w:val="Heading3"/>
        <w:spacing w:before="0" w:after="0" w:line="240" w:lineRule="auto"/>
      </w:pPr>
      <w:r w:rsidRPr="440ADC66">
        <w:rPr>
          <w:rFonts w:ascii="Aptos" w:eastAsia="Aptos" w:hAnsi="Aptos" w:cs="Aptos"/>
          <w:b/>
          <w:bCs/>
        </w:rPr>
        <w:t>Q9: Should PSPs be required to provide individual merchants more detailed information on their regular statements (or through other channels)?</w:t>
      </w:r>
    </w:p>
    <w:p w14:paraId="038BE2EB" w14:textId="77777777" w:rsidR="006248CF" w:rsidRDefault="006248CF" w:rsidP="006248CF">
      <w:pPr>
        <w:spacing w:after="0" w:line="240" w:lineRule="auto"/>
        <w:rPr>
          <w:rFonts w:ascii="Aptos" w:eastAsia="Aptos" w:hAnsi="Aptos" w:cs="Aptos"/>
        </w:rPr>
      </w:pPr>
    </w:p>
    <w:p w14:paraId="729D6D62" w14:textId="69DDF84F" w:rsidR="006249A8" w:rsidRDefault="109727E4" w:rsidP="006248CF">
      <w:pPr>
        <w:spacing w:after="0" w:line="240" w:lineRule="auto"/>
      </w:pPr>
      <w:r w:rsidRPr="440ADC66">
        <w:rPr>
          <w:rFonts w:ascii="Aptos" w:eastAsia="Aptos" w:hAnsi="Aptos" w:cs="Aptos"/>
        </w:rPr>
        <w:t>We believe PSPs should provide more detailed information on merchant statements. A breakdown of interchange fees, scheme fees, and PSP margins would help merchants better understand their costs and negotiate more effectively. Transparency at this level would also allow merchants to identify areas where they might benefit from switching providers or routing transactions differently.</w:t>
      </w:r>
    </w:p>
    <w:p w14:paraId="403D42FB" w14:textId="25E7ABE6" w:rsidR="006249A8" w:rsidRDefault="006249A8" w:rsidP="006248CF">
      <w:pPr>
        <w:spacing w:after="0" w:line="240" w:lineRule="auto"/>
      </w:pPr>
    </w:p>
    <w:p w14:paraId="7F32071B" w14:textId="76696F19" w:rsidR="006249A8" w:rsidRDefault="109727E4" w:rsidP="006248CF">
      <w:pPr>
        <w:pStyle w:val="Heading3"/>
        <w:spacing w:before="0" w:after="0" w:line="240" w:lineRule="auto"/>
      </w:pPr>
      <w:r w:rsidRPr="440ADC66">
        <w:rPr>
          <w:rFonts w:ascii="Aptos" w:eastAsia="Aptos" w:hAnsi="Aptos" w:cs="Aptos"/>
          <w:b/>
          <w:bCs/>
        </w:rPr>
        <w:t>Q10: Should PSPs be required to publish standardised information on their pricing and services for merchants (in line with reforms introduced in the United Kingdom)?</w:t>
      </w:r>
    </w:p>
    <w:p w14:paraId="436A7CBD" w14:textId="77777777" w:rsidR="006248CF" w:rsidRDefault="006248CF" w:rsidP="006248CF">
      <w:pPr>
        <w:spacing w:after="0" w:line="240" w:lineRule="auto"/>
        <w:rPr>
          <w:rFonts w:ascii="Aptos" w:eastAsia="Aptos" w:hAnsi="Aptos" w:cs="Aptos"/>
        </w:rPr>
      </w:pPr>
    </w:p>
    <w:p w14:paraId="7FF8B7A4" w14:textId="288CFA49" w:rsidR="006249A8" w:rsidRDefault="109727E4" w:rsidP="006248CF">
      <w:pPr>
        <w:spacing w:after="0" w:line="240" w:lineRule="auto"/>
      </w:pPr>
      <w:r w:rsidRPr="440ADC66">
        <w:rPr>
          <w:rFonts w:ascii="Aptos" w:eastAsia="Aptos" w:hAnsi="Aptos" w:cs="Aptos"/>
        </w:rPr>
        <w:t xml:space="preserve">Yes, standardised information should be required, </w:t>
      </w:r>
      <w:proofErr w:type="gramStart"/>
      <w:r w:rsidRPr="440ADC66">
        <w:rPr>
          <w:rFonts w:ascii="Aptos" w:eastAsia="Aptos" w:hAnsi="Aptos" w:cs="Aptos"/>
        </w:rPr>
        <w:t>similar to</w:t>
      </w:r>
      <w:proofErr w:type="gramEnd"/>
      <w:r w:rsidRPr="440ADC66">
        <w:rPr>
          <w:rFonts w:ascii="Aptos" w:eastAsia="Aptos" w:hAnsi="Aptos" w:cs="Aptos"/>
        </w:rPr>
        <w:t xml:space="preserve"> the UK's reforms. This would provide a clearer basis for comparison between providers, particularly for smaller merchants who may lack the resources to negotiate bespoke pricing deals. Standardisation would drive competition and ensure that merchants are fully informed about the costs they face.</w:t>
      </w:r>
    </w:p>
    <w:p w14:paraId="72F6E800" w14:textId="1EFD7DF1" w:rsidR="006249A8" w:rsidRDefault="006249A8" w:rsidP="006248CF">
      <w:pPr>
        <w:spacing w:after="0" w:line="240" w:lineRule="auto"/>
      </w:pPr>
    </w:p>
    <w:p w14:paraId="0DCD4A51" w14:textId="2D265757" w:rsidR="006249A8" w:rsidRDefault="109727E4" w:rsidP="006248CF">
      <w:pPr>
        <w:pStyle w:val="Heading3"/>
        <w:spacing w:before="0" w:after="0" w:line="240" w:lineRule="auto"/>
      </w:pPr>
      <w:r w:rsidRPr="440ADC66">
        <w:rPr>
          <w:rFonts w:ascii="Aptos" w:eastAsia="Aptos" w:hAnsi="Aptos" w:cs="Aptos"/>
          <w:b/>
          <w:bCs/>
        </w:rPr>
        <w:t xml:space="preserve">Q11: What other regulatory measures should the RBA consider </w:t>
      </w:r>
      <w:proofErr w:type="gramStart"/>
      <w:r w:rsidRPr="440ADC66">
        <w:rPr>
          <w:rFonts w:ascii="Aptos" w:eastAsia="Aptos" w:hAnsi="Aptos" w:cs="Aptos"/>
          <w:b/>
          <w:bCs/>
        </w:rPr>
        <w:t>to improve</w:t>
      </w:r>
      <w:proofErr w:type="gramEnd"/>
      <w:r w:rsidRPr="440ADC66">
        <w:rPr>
          <w:rFonts w:ascii="Aptos" w:eastAsia="Aptos" w:hAnsi="Aptos" w:cs="Aptos"/>
          <w:b/>
          <w:bCs/>
        </w:rPr>
        <w:t xml:space="preserve"> competition between PSPs?</w:t>
      </w:r>
    </w:p>
    <w:p w14:paraId="268AAF40" w14:textId="77777777" w:rsidR="006248CF" w:rsidRDefault="006248CF" w:rsidP="006248CF">
      <w:pPr>
        <w:spacing w:after="0" w:line="240" w:lineRule="auto"/>
        <w:rPr>
          <w:rFonts w:ascii="Aptos" w:eastAsia="Aptos" w:hAnsi="Aptos" w:cs="Aptos"/>
        </w:rPr>
      </w:pPr>
    </w:p>
    <w:p w14:paraId="6856F23C" w14:textId="67403DAB" w:rsidR="006249A8" w:rsidRDefault="109727E4" w:rsidP="006248CF">
      <w:pPr>
        <w:spacing w:after="0" w:line="240" w:lineRule="auto"/>
      </w:pPr>
      <w:r w:rsidRPr="440ADC66">
        <w:rPr>
          <w:rFonts w:ascii="Aptos" w:eastAsia="Aptos" w:hAnsi="Aptos" w:cs="Aptos"/>
        </w:rPr>
        <w:t>The RBA should consider measures to prevent PSPs from bundling unrelated services with payment processing in a way that obscures costs. PSPs should also be encouraged to offer unblended pricing plans to allow merchants greater clarity over the true cost of different types of transactions. This would enhance competition and promote better pricing outcomes for merchants.</w:t>
      </w:r>
    </w:p>
    <w:p w14:paraId="0B0D5B7F" w14:textId="2CA76240" w:rsidR="006249A8" w:rsidRDefault="006249A8" w:rsidP="006248CF">
      <w:pPr>
        <w:spacing w:after="0" w:line="240" w:lineRule="auto"/>
      </w:pPr>
    </w:p>
    <w:p w14:paraId="3419B9FB" w14:textId="0070F8F3" w:rsidR="006249A8" w:rsidRPr="00DD42A3" w:rsidRDefault="109727E4" w:rsidP="006248CF">
      <w:pPr>
        <w:pStyle w:val="Heading3"/>
        <w:spacing w:before="0" w:after="0" w:line="240" w:lineRule="auto"/>
        <w:rPr>
          <w:rFonts w:ascii="Aptos" w:eastAsia="Aptos" w:hAnsi="Aptos" w:cs="Aptos"/>
          <w:b/>
          <w:bCs/>
        </w:rPr>
      </w:pPr>
      <w:r w:rsidRPr="440ADC66">
        <w:rPr>
          <w:rFonts w:ascii="Aptos" w:eastAsia="Aptos" w:hAnsi="Aptos" w:cs="Aptos"/>
          <w:b/>
          <w:bCs/>
        </w:rPr>
        <w:t>Q12: Is there a case for revising the RBA’s surcharging framework? If so, which options or combination of options would best address the current concerns around surcharging?</w:t>
      </w:r>
    </w:p>
    <w:p w14:paraId="0D95C4BD" w14:textId="77777777" w:rsidR="00DD42A3" w:rsidRDefault="00DD42A3" w:rsidP="006248CF">
      <w:pPr>
        <w:spacing w:after="0" w:line="240" w:lineRule="auto"/>
        <w:rPr>
          <w:rFonts w:ascii="Aptos" w:eastAsia="Aptos" w:hAnsi="Aptos" w:cs="Aptos"/>
        </w:rPr>
      </w:pPr>
    </w:p>
    <w:p w14:paraId="28B95553" w14:textId="090B324F" w:rsidR="006249A8" w:rsidRDefault="109727E4" w:rsidP="006248CF">
      <w:pPr>
        <w:spacing w:after="0" w:line="240" w:lineRule="auto"/>
      </w:pPr>
      <w:r w:rsidRPr="440ADC66">
        <w:rPr>
          <w:rFonts w:ascii="Aptos" w:eastAsia="Aptos" w:hAnsi="Aptos" w:cs="Aptos"/>
        </w:rPr>
        <w:t>We believe that surcharging should remain in place as it aligns with the "end user pays" concept, providing much-needed clarity in the market. Surcharging ensures that consumers understand the costs associated with different payment methods, which helps drive down fees by encouraging the use of lower-cost methods.</w:t>
      </w:r>
    </w:p>
    <w:p w14:paraId="0979E332" w14:textId="77777777" w:rsidR="00DD42A3" w:rsidRDefault="00DD42A3" w:rsidP="006248CF">
      <w:pPr>
        <w:spacing w:after="0" w:line="240" w:lineRule="auto"/>
        <w:rPr>
          <w:rFonts w:ascii="Aptos" w:eastAsia="Aptos" w:hAnsi="Aptos" w:cs="Aptos"/>
        </w:rPr>
      </w:pPr>
    </w:p>
    <w:p w14:paraId="3A47F60B" w14:textId="77777777" w:rsidR="00DD42A3" w:rsidRDefault="00DD42A3">
      <w:pPr>
        <w:rPr>
          <w:rFonts w:ascii="Aptos" w:eastAsia="Aptos" w:hAnsi="Aptos" w:cs="Aptos"/>
        </w:rPr>
      </w:pPr>
      <w:r>
        <w:rPr>
          <w:rFonts w:ascii="Aptos" w:eastAsia="Aptos" w:hAnsi="Aptos" w:cs="Aptos"/>
        </w:rPr>
        <w:br w:type="page"/>
      </w:r>
    </w:p>
    <w:p w14:paraId="3A447A0F" w14:textId="240DA38C" w:rsidR="006249A8" w:rsidRDefault="109727E4" w:rsidP="006248CF">
      <w:pPr>
        <w:spacing w:after="0" w:line="240" w:lineRule="auto"/>
      </w:pPr>
      <w:r w:rsidRPr="440ADC66">
        <w:rPr>
          <w:rFonts w:ascii="Aptos" w:eastAsia="Aptos" w:hAnsi="Aptos" w:cs="Aptos"/>
        </w:rPr>
        <w:lastRenderedPageBreak/>
        <w:t>While we support keeping surcharging, we recognise the need for transparency and fairness. Capping surcharges based on transaction type (e.g., lower for debit cards) could address concerns about excessive surcharging, while preserving merchants' ability to recover their costs.</w:t>
      </w:r>
    </w:p>
    <w:p w14:paraId="05185905" w14:textId="77777777" w:rsidR="00DD42A3" w:rsidRDefault="00DD42A3" w:rsidP="006248CF">
      <w:pPr>
        <w:spacing w:after="0" w:line="240" w:lineRule="auto"/>
      </w:pPr>
    </w:p>
    <w:p w14:paraId="64ED1E13" w14:textId="75B6E912" w:rsidR="006249A8" w:rsidRDefault="0CC6700D" w:rsidP="006248CF">
      <w:pPr>
        <w:spacing w:after="0" w:line="240" w:lineRule="auto"/>
      </w:pPr>
      <w:r>
        <w:t xml:space="preserve">We believe that the ability to surcharge has led directly to increased competition in the acquiring/PSP market and led to the growth of </w:t>
      </w:r>
      <w:proofErr w:type="gramStart"/>
      <w:r>
        <w:t>a number of</w:t>
      </w:r>
      <w:proofErr w:type="gramEnd"/>
      <w:r>
        <w:t xml:space="preserve"> challenger brands in the market. Brands like </w:t>
      </w:r>
      <w:r w:rsidR="4446502F">
        <w:t xml:space="preserve">Square, Tyro, Zeller, </w:t>
      </w:r>
      <w:proofErr w:type="spellStart"/>
      <w:r w:rsidR="4446502F">
        <w:t>SmartPay</w:t>
      </w:r>
      <w:proofErr w:type="spellEnd"/>
      <w:r w:rsidR="4446502F">
        <w:t xml:space="preserve"> and </w:t>
      </w:r>
      <w:proofErr w:type="gramStart"/>
      <w:r w:rsidR="4446502F">
        <w:t>ourselves</w:t>
      </w:r>
      <w:proofErr w:type="gramEnd"/>
      <w:r w:rsidR="4446502F">
        <w:t xml:space="preserve"> are all able to build acquiring books based on a “fee free to merchant” offering through the use of surcharging.</w:t>
      </w:r>
      <w:r w:rsidR="3CC55886">
        <w:t xml:space="preserve"> These models allow growing players to compete with larger incumbent acquirers who traditionally had large volumes and market share</w:t>
      </w:r>
      <w:r w:rsidR="55272F95">
        <w:t xml:space="preserve"> therefore reducing their costs. By removing scale/cost as a deciding factor for merchants we have seen a proliferation of new players in the market which can</w:t>
      </w:r>
      <w:r w:rsidR="79072EAB">
        <w:t xml:space="preserve"> only be good for merchants.</w:t>
      </w:r>
      <w:r w:rsidR="4446502F">
        <w:t xml:space="preserve"> </w:t>
      </w:r>
    </w:p>
    <w:p w14:paraId="4E27BF32" w14:textId="77777777" w:rsidR="00DD42A3" w:rsidRDefault="00DD42A3" w:rsidP="006248CF">
      <w:pPr>
        <w:pStyle w:val="Heading3"/>
        <w:spacing w:before="0" w:after="0" w:line="240" w:lineRule="auto"/>
        <w:rPr>
          <w:rFonts w:ascii="Aptos" w:eastAsia="Aptos" w:hAnsi="Aptos" w:cs="Aptos"/>
          <w:b/>
          <w:bCs/>
        </w:rPr>
      </w:pPr>
    </w:p>
    <w:p w14:paraId="4B5235C0" w14:textId="121BC380" w:rsidR="006249A8" w:rsidRDefault="109727E4" w:rsidP="006248CF">
      <w:pPr>
        <w:pStyle w:val="Heading3"/>
        <w:spacing w:before="0" w:after="0" w:line="240" w:lineRule="auto"/>
      </w:pPr>
      <w:r w:rsidRPr="440ADC66">
        <w:rPr>
          <w:rFonts w:ascii="Aptos" w:eastAsia="Aptos" w:hAnsi="Aptos" w:cs="Aptos"/>
          <w:b/>
          <w:bCs/>
        </w:rPr>
        <w:t>Q13: What are the implications for merchant payment costs from changes to the surcharging framework? Could the RBA address these with other regulatory actions?</w:t>
      </w:r>
    </w:p>
    <w:p w14:paraId="2BEFB017" w14:textId="77777777" w:rsidR="00DD42A3" w:rsidRDefault="00DD42A3" w:rsidP="006248CF">
      <w:pPr>
        <w:spacing w:after="0" w:line="240" w:lineRule="auto"/>
        <w:rPr>
          <w:rFonts w:ascii="Aptos" w:eastAsia="Aptos" w:hAnsi="Aptos" w:cs="Aptos"/>
        </w:rPr>
      </w:pPr>
    </w:p>
    <w:p w14:paraId="48A84E75" w14:textId="65DEB5C2" w:rsidR="006249A8" w:rsidRDefault="109727E4" w:rsidP="006248CF">
      <w:pPr>
        <w:spacing w:after="0" w:line="240" w:lineRule="auto"/>
      </w:pPr>
      <w:r w:rsidRPr="440ADC66">
        <w:rPr>
          <w:rFonts w:ascii="Aptos" w:eastAsia="Aptos" w:hAnsi="Aptos" w:cs="Aptos"/>
        </w:rPr>
        <w:t>If surcharges are banned or heavily capped, merchants may need to absorb the additional costs, which could lead to increased prices for goods and services. This would be particularly detrimental to smaller businesses with tighter margins. Instead of banning surcharges, we recommend focusing on greater transparency and fair caps to ensure that merchants can recover their costs without alienating consumers.</w:t>
      </w:r>
    </w:p>
    <w:p w14:paraId="15BA8D93" w14:textId="033A673C" w:rsidR="006249A8" w:rsidRDefault="006249A8" w:rsidP="006248CF">
      <w:pPr>
        <w:spacing w:after="0" w:line="240" w:lineRule="auto"/>
      </w:pPr>
    </w:p>
    <w:p w14:paraId="757EA74C" w14:textId="4D2FB992" w:rsidR="006249A8" w:rsidRDefault="109727E4" w:rsidP="006248CF">
      <w:pPr>
        <w:pStyle w:val="Heading3"/>
        <w:spacing w:before="0" w:after="0" w:line="240" w:lineRule="auto"/>
      </w:pPr>
      <w:r w:rsidRPr="440ADC66">
        <w:rPr>
          <w:rFonts w:ascii="Aptos" w:eastAsia="Aptos" w:hAnsi="Aptos" w:cs="Aptos"/>
          <w:b/>
          <w:bCs/>
        </w:rPr>
        <w:t>Q14: Are there any other regulatory actions that the RBA should consider taking in response to the issues raised in this paper?</w:t>
      </w:r>
    </w:p>
    <w:p w14:paraId="1C94BC6E" w14:textId="77777777" w:rsidR="00DD42A3" w:rsidRDefault="00DD42A3" w:rsidP="006248CF">
      <w:pPr>
        <w:spacing w:after="0" w:line="240" w:lineRule="auto"/>
        <w:rPr>
          <w:rFonts w:ascii="Aptos" w:eastAsia="Aptos" w:hAnsi="Aptos" w:cs="Aptos"/>
        </w:rPr>
      </w:pPr>
    </w:p>
    <w:p w14:paraId="26DEDDC0" w14:textId="25432951" w:rsidR="006249A8" w:rsidRDefault="109727E4" w:rsidP="006248CF">
      <w:pPr>
        <w:spacing w:after="0" w:line="240" w:lineRule="auto"/>
      </w:pPr>
      <w:r w:rsidRPr="440ADC66">
        <w:rPr>
          <w:rFonts w:ascii="Aptos" w:eastAsia="Aptos" w:hAnsi="Aptos" w:cs="Aptos"/>
        </w:rPr>
        <w:t>We encourage the RBA to continue monitoring the evolving payments landscape, particularly with respect to emerging technologies like mobile wallets and real-time payments. It is also important to ensure that regulatory measures remain flexible enough to accommodate future innovations in payment systems.</w:t>
      </w:r>
    </w:p>
    <w:p w14:paraId="21629DC0" w14:textId="5481A1EB" w:rsidR="006249A8" w:rsidRDefault="006249A8" w:rsidP="006248CF">
      <w:pPr>
        <w:spacing w:after="0" w:line="240" w:lineRule="auto"/>
      </w:pPr>
    </w:p>
    <w:p w14:paraId="5377D721" w14:textId="1EB96A20" w:rsidR="006249A8" w:rsidRDefault="109727E4" w:rsidP="006248CF">
      <w:pPr>
        <w:pStyle w:val="Heading3"/>
        <w:spacing w:before="0" w:after="0" w:line="240" w:lineRule="auto"/>
      </w:pPr>
      <w:r w:rsidRPr="440ADC66">
        <w:rPr>
          <w:rFonts w:ascii="Aptos" w:eastAsia="Aptos" w:hAnsi="Aptos" w:cs="Aptos"/>
          <w:b/>
          <w:bCs/>
        </w:rPr>
        <w:t>Q15: Are there any issues in, or implications for, the broader payments ecosystem that the RBA should be aware of when designing a regulatory response to any of the issues discussed in this paper?</w:t>
      </w:r>
    </w:p>
    <w:p w14:paraId="4D9B857B" w14:textId="77777777" w:rsidR="00DD42A3" w:rsidRDefault="00DD42A3" w:rsidP="006248CF">
      <w:pPr>
        <w:spacing w:after="0" w:line="240" w:lineRule="auto"/>
        <w:rPr>
          <w:rFonts w:ascii="Aptos" w:eastAsia="Aptos" w:hAnsi="Aptos" w:cs="Aptos"/>
        </w:rPr>
      </w:pPr>
    </w:p>
    <w:p w14:paraId="4EFE5105" w14:textId="110D7DB0" w:rsidR="006249A8" w:rsidRDefault="109727E4" w:rsidP="006248CF">
      <w:pPr>
        <w:spacing w:after="0" w:line="240" w:lineRule="auto"/>
      </w:pPr>
      <w:r w:rsidRPr="440ADC66">
        <w:rPr>
          <w:rFonts w:ascii="Aptos" w:eastAsia="Aptos" w:hAnsi="Aptos" w:cs="Aptos"/>
        </w:rPr>
        <w:t xml:space="preserve">As the payments landscape continues to evolve, card-not-present transactions will likely become the next battleground for debit card fees. We encourage the RBA to consider how its regulatory framework will address this shift, particularly </w:t>
      </w:r>
      <w:proofErr w:type="gramStart"/>
      <w:r w:rsidRPr="440ADC66">
        <w:rPr>
          <w:rFonts w:ascii="Aptos" w:eastAsia="Aptos" w:hAnsi="Aptos" w:cs="Aptos"/>
        </w:rPr>
        <w:t>in light of</w:t>
      </w:r>
      <w:proofErr w:type="gramEnd"/>
      <w:r w:rsidRPr="440ADC66">
        <w:rPr>
          <w:rFonts w:ascii="Aptos" w:eastAsia="Aptos" w:hAnsi="Aptos" w:cs="Aptos"/>
        </w:rPr>
        <w:t xml:space="preserve"> competition from New Payments Platform (NPP) transactions. Ensuring that the regulatory framework remains forward-looking will be critical to maintaining a competitive and efficient payments ecosystem.</w:t>
      </w:r>
    </w:p>
    <w:p w14:paraId="14218AE0" w14:textId="77777777" w:rsidR="00DD42A3" w:rsidRDefault="00DD42A3" w:rsidP="006248CF">
      <w:pPr>
        <w:spacing w:after="0" w:line="240" w:lineRule="auto"/>
      </w:pPr>
    </w:p>
    <w:p w14:paraId="30075B8A" w14:textId="77777777" w:rsidR="00977278" w:rsidRPr="00977278" w:rsidRDefault="00977278" w:rsidP="00977278">
      <w:pPr>
        <w:spacing w:after="0" w:line="240" w:lineRule="auto"/>
      </w:pPr>
      <w:r w:rsidRPr="00977278">
        <w:t xml:space="preserve">Additionally, we believe the RBA should investigate the growing anticompetitive behaviour in the industry, particularly in sectors like hospitality. Private equity firms are acquiring multiple businesses, including point-of-sale systems and payment </w:t>
      </w:r>
      <w:r w:rsidRPr="00977278">
        <w:lastRenderedPageBreak/>
        <w:t>processing services. This consolidation reduces competition and allows these firms to force clients to use their proprietary payment systems, often charging higher fees that are ultimately borne by consumers. This ultimately results in traditional payment providers being locked out, with integrations being blocked and higher fees being charged. We believe this needs attention and investigation.</w:t>
      </w:r>
    </w:p>
    <w:p w14:paraId="5F9952E2" w14:textId="77777777" w:rsidR="00DD42A3" w:rsidRDefault="00DD42A3" w:rsidP="006248CF">
      <w:pPr>
        <w:spacing w:after="0" w:line="240" w:lineRule="auto"/>
        <w:rPr>
          <w:rFonts w:ascii="Aptos" w:eastAsia="Aptos" w:hAnsi="Aptos" w:cs="Aptos"/>
          <w:b/>
          <w:bCs/>
        </w:rPr>
      </w:pPr>
    </w:p>
    <w:p w14:paraId="23612F45" w14:textId="65D96234" w:rsidR="006249A8" w:rsidRDefault="109727E4" w:rsidP="006248CF">
      <w:pPr>
        <w:spacing w:after="0" w:line="240" w:lineRule="auto"/>
      </w:pPr>
      <w:r w:rsidRPr="440ADC66">
        <w:rPr>
          <w:rFonts w:ascii="Aptos" w:eastAsia="Aptos" w:hAnsi="Aptos" w:cs="Aptos"/>
          <w:b/>
          <w:bCs/>
        </w:rPr>
        <w:t>Conclusion:</w:t>
      </w:r>
    </w:p>
    <w:p w14:paraId="5CF92149" w14:textId="77777777" w:rsidR="00DD42A3" w:rsidRDefault="00DD42A3" w:rsidP="006248CF">
      <w:pPr>
        <w:spacing w:after="0" w:line="240" w:lineRule="auto"/>
        <w:rPr>
          <w:rFonts w:ascii="Aptos" w:eastAsia="Aptos" w:hAnsi="Aptos" w:cs="Aptos"/>
        </w:rPr>
      </w:pPr>
    </w:p>
    <w:p w14:paraId="00383745" w14:textId="180D9AD2" w:rsidR="006249A8" w:rsidRDefault="109727E4" w:rsidP="006248CF">
      <w:pPr>
        <w:spacing w:after="0" w:line="240" w:lineRule="auto"/>
      </w:pPr>
      <w:r w:rsidRPr="440ADC66">
        <w:rPr>
          <w:rFonts w:ascii="Aptos" w:eastAsia="Aptos" w:hAnsi="Aptos" w:cs="Aptos"/>
        </w:rPr>
        <w:t>We appreciate the RBA’s commitment to ensuring the Australian payments system remains competitive, efficient, and transparent. We hope that the above feedback provides valuable insights from our perspective as a provider of payment solutions to high-risk, high-volume sectors like gaming venues. We look forward to the outcome of this review and would be happy to participate further in the consultation process if required.</w:t>
      </w:r>
    </w:p>
    <w:p w14:paraId="777FBAE2" w14:textId="05B0ABF1" w:rsidR="00DD42A3" w:rsidRDefault="00DD42A3" w:rsidP="006248CF">
      <w:pPr>
        <w:spacing w:after="0" w:line="240" w:lineRule="auto"/>
        <w:rPr>
          <w:rFonts w:ascii="Aptos" w:eastAsia="Aptos" w:hAnsi="Aptos" w:cs="Aptos"/>
        </w:rPr>
      </w:pPr>
    </w:p>
    <w:p w14:paraId="1068A440" w14:textId="65C0DF17" w:rsidR="006249A8" w:rsidRDefault="00965F54" w:rsidP="006248CF">
      <w:pPr>
        <w:spacing w:after="0" w:line="240" w:lineRule="auto"/>
      </w:pPr>
      <w:r>
        <w:rPr>
          <w:rFonts w:ascii="Aptos" w:eastAsia="Aptos" w:hAnsi="Aptos" w:cs="Aptos"/>
          <w:b/>
          <w:bCs/>
          <w:noProof/>
        </w:rPr>
        <w:drawing>
          <wp:anchor distT="0" distB="0" distL="114300" distR="114300" simplePos="0" relativeHeight="251658240" behindDoc="1" locked="0" layoutInCell="1" allowOverlap="1" wp14:anchorId="33BE3ADA" wp14:editId="41816E08">
            <wp:simplePos x="0" y="0"/>
            <wp:positionH relativeFrom="column">
              <wp:posOffset>452120</wp:posOffset>
            </wp:positionH>
            <wp:positionV relativeFrom="paragraph">
              <wp:posOffset>70540</wp:posOffset>
            </wp:positionV>
            <wp:extent cx="902196" cy="809242"/>
            <wp:effectExtent l="88900" t="101600" r="88900" b="105410"/>
            <wp:wrapNone/>
            <wp:docPr id="319137994" name="Picture 1" descr="A black line drawing of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137994" name="Picture 1" descr="A black line drawing of a circ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810484">
                      <a:off x="0" y="0"/>
                      <a:ext cx="902196" cy="809242"/>
                    </a:xfrm>
                    <a:prstGeom prst="rect">
                      <a:avLst/>
                    </a:prstGeom>
                  </pic:spPr>
                </pic:pic>
              </a:graphicData>
            </a:graphic>
            <wp14:sizeRelH relativeFrom="page">
              <wp14:pctWidth>0</wp14:pctWidth>
            </wp14:sizeRelH>
            <wp14:sizeRelV relativeFrom="page">
              <wp14:pctHeight>0</wp14:pctHeight>
            </wp14:sizeRelV>
          </wp:anchor>
        </w:drawing>
      </w:r>
      <w:r w:rsidR="109727E4" w:rsidRPr="440ADC66">
        <w:rPr>
          <w:rFonts w:ascii="Aptos" w:eastAsia="Aptos" w:hAnsi="Aptos" w:cs="Aptos"/>
        </w:rPr>
        <w:t>Kind regards,</w:t>
      </w:r>
    </w:p>
    <w:p w14:paraId="52DCB278" w14:textId="29BECA23" w:rsidR="00DD42A3" w:rsidRDefault="00DD42A3" w:rsidP="006248CF">
      <w:pPr>
        <w:spacing w:after="0" w:line="240" w:lineRule="auto"/>
        <w:rPr>
          <w:rFonts w:ascii="Aptos" w:eastAsia="Aptos" w:hAnsi="Aptos" w:cs="Aptos"/>
          <w:b/>
          <w:bCs/>
        </w:rPr>
      </w:pPr>
    </w:p>
    <w:p w14:paraId="52410164" w14:textId="24B33DD7" w:rsidR="00DD42A3" w:rsidRDefault="00DD42A3" w:rsidP="006248CF">
      <w:pPr>
        <w:spacing w:after="0" w:line="240" w:lineRule="auto"/>
        <w:rPr>
          <w:rFonts w:ascii="Aptos" w:eastAsia="Aptos" w:hAnsi="Aptos" w:cs="Aptos"/>
          <w:b/>
          <w:bCs/>
        </w:rPr>
      </w:pPr>
    </w:p>
    <w:p w14:paraId="67E0289C" w14:textId="77777777" w:rsidR="00DD42A3" w:rsidRDefault="00DD42A3" w:rsidP="006248CF">
      <w:pPr>
        <w:spacing w:after="0" w:line="240" w:lineRule="auto"/>
        <w:rPr>
          <w:rFonts w:ascii="Aptos" w:eastAsia="Aptos" w:hAnsi="Aptos" w:cs="Aptos"/>
          <w:b/>
          <w:bCs/>
        </w:rPr>
      </w:pPr>
    </w:p>
    <w:p w14:paraId="0995B215" w14:textId="77777777" w:rsidR="00965F54" w:rsidRDefault="00965F54" w:rsidP="00DD42A3">
      <w:pPr>
        <w:spacing w:after="0" w:line="240" w:lineRule="auto"/>
        <w:rPr>
          <w:rFonts w:ascii="Aptos" w:eastAsia="Aptos" w:hAnsi="Aptos" w:cs="Aptos"/>
          <w:b/>
          <w:bCs/>
        </w:rPr>
      </w:pPr>
    </w:p>
    <w:p w14:paraId="08B9CF0D" w14:textId="333B6B72" w:rsidR="00DD42A3" w:rsidRDefault="00DD42A3" w:rsidP="00DD42A3">
      <w:pPr>
        <w:spacing w:after="0" w:line="240" w:lineRule="auto"/>
      </w:pPr>
      <w:r>
        <w:rPr>
          <w:rFonts w:ascii="Aptos" w:eastAsia="Aptos" w:hAnsi="Aptos" w:cs="Aptos"/>
          <w:b/>
          <w:bCs/>
        </w:rPr>
        <w:t>Aaron Blackwell</w:t>
      </w:r>
    </w:p>
    <w:p w14:paraId="5B48E20A" w14:textId="77777777" w:rsidR="00DD42A3" w:rsidRDefault="00DD42A3" w:rsidP="00DD42A3">
      <w:pPr>
        <w:spacing w:after="0" w:line="240" w:lineRule="auto"/>
        <w:rPr>
          <w:rFonts w:ascii="Aptos" w:eastAsia="Aptos" w:hAnsi="Aptos" w:cs="Aptos"/>
          <w:b/>
          <w:bCs/>
        </w:rPr>
      </w:pPr>
      <w:r w:rsidRPr="00AA2253">
        <w:rPr>
          <w:rFonts w:ascii="Aptos" w:eastAsia="Aptos" w:hAnsi="Aptos" w:cs="Aptos"/>
          <w:b/>
          <w:bCs/>
        </w:rPr>
        <w:t>Executive Head of, Cashless</w:t>
      </w:r>
      <w:r>
        <w:rPr>
          <w:rFonts w:ascii="Aptos" w:eastAsia="Aptos" w:hAnsi="Aptos" w:cs="Aptos"/>
          <w:b/>
          <w:bCs/>
        </w:rPr>
        <w:t xml:space="preserve"> Gaming</w:t>
      </w:r>
      <w:r w:rsidRPr="00AA2253">
        <w:rPr>
          <w:rFonts w:ascii="Aptos" w:eastAsia="Aptos" w:hAnsi="Aptos" w:cs="Aptos"/>
          <w:b/>
          <w:bCs/>
        </w:rPr>
        <w:t>, Acquiring &amp; Corporate Partnerships</w:t>
      </w:r>
    </w:p>
    <w:p w14:paraId="16147BF1" w14:textId="77777777" w:rsidR="00DD42A3" w:rsidRDefault="00DD42A3" w:rsidP="00DD42A3">
      <w:pPr>
        <w:spacing w:after="0" w:line="240" w:lineRule="auto"/>
      </w:pPr>
      <w:r>
        <w:rPr>
          <w:rFonts w:ascii="Aptos" w:eastAsia="Aptos" w:hAnsi="Aptos" w:cs="Aptos"/>
          <w:b/>
          <w:bCs/>
        </w:rPr>
        <w:t>Next Payments</w:t>
      </w:r>
    </w:p>
    <w:p w14:paraId="2AE38C04" w14:textId="77777777" w:rsidR="00DD42A3" w:rsidRDefault="00DD42A3" w:rsidP="00DD42A3">
      <w:pPr>
        <w:spacing w:after="0" w:line="240" w:lineRule="auto"/>
        <w:rPr>
          <w:rFonts w:ascii="Aptos" w:eastAsia="Aptos" w:hAnsi="Aptos" w:cs="Aptos"/>
          <w:b/>
          <w:bCs/>
        </w:rPr>
      </w:pPr>
      <w:hyperlink r:id="rId9" w:history="1">
        <w:r w:rsidRPr="00FB6F63">
          <w:rPr>
            <w:rStyle w:val="Hyperlink"/>
            <w:rFonts w:ascii="Aptos" w:eastAsia="Aptos" w:hAnsi="Aptos" w:cs="Aptos"/>
            <w:b/>
            <w:bCs/>
          </w:rPr>
          <w:t>ablackwell@nextpayments.com.au</w:t>
        </w:r>
      </w:hyperlink>
    </w:p>
    <w:p w14:paraId="767F4985" w14:textId="77777777" w:rsidR="00DD42A3" w:rsidRDefault="00DD42A3" w:rsidP="00DD42A3">
      <w:pPr>
        <w:spacing w:after="0" w:line="240" w:lineRule="auto"/>
      </w:pPr>
      <w:r>
        <w:rPr>
          <w:rFonts w:ascii="Aptos" w:eastAsia="Aptos" w:hAnsi="Aptos" w:cs="Aptos"/>
          <w:b/>
          <w:bCs/>
        </w:rPr>
        <w:t>0405 420 350</w:t>
      </w:r>
    </w:p>
    <w:p w14:paraId="4DC7F29A" w14:textId="26FB10A2" w:rsidR="006248CF" w:rsidRDefault="006248CF" w:rsidP="00DD42A3">
      <w:pPr>
        <w:spacing w:after="0" w:line="240" w:lineRule="auto"/>
      </w:pPr>
    </w:p>
    <w:sectPr w:rsidR="006248CF" w:rsidSect="00344CE1">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CBE0160"/>
    <w:rsid w:val="00344CE1"/>
    <w:rsid w:val="003933A5"/>
    <w:rsid w:val="004A71A2"/>
    <w:rsid w:val="004D6902"/>
    <w:rsid w:val="005730E5"/>
    <w:rsid w:val="006248CF"/>
    <w:rsid w:val="006249A8"/>
    <w:rsid w:val="006757EF"/>
    <w:rsid w:val="00790554"/>
    <w:rsid w:val="007C6BB5"/>
    <w:rsid w:val="00965F54"/>
    <w:rsid w:val="00977278"/>
    <w:rsid w:val="00AA2253"/>
    <w:rsid w:val="00AF7881"/>
    <w:rsid w:val="00B94E2F"/>
    <w:rsid w:val="00BA7EDB"/>
    <w:rsid w:val="00D56DAB"/>
    <w:rsid w:val="00DD42A3"/>
    <w:rsid w:val="00FC22B8"/>
    <w:rsid w:val="01B1AFA4"/>
    <w:rsid w:val="06814566"/>
    <w:rsid w:val="0713847B"/>
    <w:rsid w:val="09DAFB69"/>
    <w:rsid w:val="0CC6700D"/>
    <w:rsid w:val="10733AEF"/>
    <w:rsid w:val="109727E4"/>
    <w:rsid w:val="10C6961F"/>
    <w:rsid w:val="11144C41"/>
    <w:rsid w:val="1211AD80"/>
    <w:rsid w:val="133C52B3"/>
    <w:rsid w:val="19DEFA1B"/>
    <w:rsid w:val="1B267CC8"/>
    <w:rsid w:val="1CBE0160"/>
    <w:rsid w:val="1D843391"/>
    <w:rsid w:val="23FA6200"/>
    <w:rsid w:val="26D2EBE0"/>
    <w:rsid w:val="274F24FA"/>
    <w:rsid w:val="33115CDF"/>
    <w:rsid w:val="348E9A4E"/>
    <w:rsid w:val="34B7EEFB"/>
    <w:rsid w:val="362E44B7"/>
    <w:rsid w:val="3777F089"/>
    <w:rsid w:val="39CC1E90"/>
    <w:rsid w:val="3CC55886"/>
    <w:rsid w:val="3D5284C8"/>
    <w:rsid w:val="3E799CD6"/>
    <w:rsid w:val="4015DD20"/>
    <w:rsid w:val="418422F4"/>
    <w:rsid w:val="440ADC66"/>
    <w:rsid w:val="4446502F"/>
    <w:rsid w:val="45B698F0"/>
    <w:rsid w:val="4650C99E"/>
    <w:rsid w:val="46AA1657"/>
    <w:rsid w:val="507E5D52"/>
    <w:rsid w:val="55272F95"/>
    <w:rsid w:val="55D70F09"/>
    <w:rsid w:val="56515368"/>
    <w:rsid w:val="5680C6D5"/>
    <w:rsid w:val="5767459C"/>
    <w:rsid w:val="5C880034"/>
    <w:rsid w:val="5CF3F89F"/>
    <w:rsid w:val="6035C994"/>
    <w:rsid w:val="60B53F0F"/>
    <w:rsid w:val="60C4470F"/>
    <w:rsid w:val="660E62EF"/>
    <w:rsid w:val="669DC0E4"/>
    <w:rsid w:val="6819BD87"/>
    <w:rsid w:val="686A883F"/>
    <w:rsid w:val="6950EAF1"/>
    <w:rsid w:val="69B05B59"/>
    <w:rsid w:val="6B508838"/>
    <w:rsid w:val="6E824E85"/>
    <w:rsid w:val="6EBA1D5F"/>
    <w:rsid w:val="7504A98B"/>
    <w:rsid w:val="7690AD68"/>
    <w:rsid w:val="781D549C"/>
    <w:rsid w:val="79072EAB"/>
    <w:rsid w:val="7AA486E3"/>
    <w:rsid w:val="7C90BC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E0160"/>
  <w15:chartTrackingRefBased/>
  <w15:docId w15:val="{BFC86CB4-387B-433B-AC30-A9D333DB5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00AA2253"/>
    <w:rPr>
      <w:color w:val="467886" w:themeColor="hyperlink"/>
      <w:u w:val="single"/>
    </w:rPr>
  </w:style>
  <w:style w:type="character" w:styleId="UnresolvedMention">
    <w:name w:val="Unresolved Mention"/>
    <w:basedOn w:val="DefaultParagraphFont"/>
    <w:uiPriority w:val="99"/>
    <w:semiHidden/>
    <w:unhideWhenUsed/>
    <w:rsid w:val="00AA22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81769">
      <w:bodyDiv w:val="1"/>
      <w:marLeft w:val="0"/>
      <w:marRight w:val="0"/>
      <w:marTop w:val="0"/>
      <w:marBottom w:val="0"/>
      <w:divBdr>
        <w:top w:val="none" w:sz="0" w:space="0" w:color="auto"/>
        <w:left w:val="none" w:sz="0" w:space="0" w:color="auto"/>
        <w:bottom w:val="none" w:sz="0" w:space="0" w:color="auto"/>
        <w:right w:val="none" w:sz="0" w:space="0" w:color="auto"/>
      </w:divBdr>
    </w:div>
    <w:div w:id="49427408">
      <w:bodyDiv w:val="1"/>
      <w:marLeft w:val="0"/>
      <w:marRight w:val="0"/>
      <w:marTop w:val="0"/>
      <w:marBottom w:val="0"/>
      <w:divBdr>
        <w:top w:val="none" w:sz="0" w:space="0" w:color="auto"/>
        <w:left w:val="none" w:sz="0" w:space="0" w:color="auto"/>
        <w:bottom w:val="none" w:sz="0" w:space="0" w:color="auto"/>
        <w:right w:val="none" w:sz="0" w:space="0" w:color="auto"/>
      </w:divBdr>
      <w:divsChild>
        <w:div w:id="422190739">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7530661">
              <w:marLeft w:val="0"/>
              <w:marRight w:val="0"/>
              <w:marTop w:val="0"/>
              <w:marBottom w:val="0"/>
              <w:divBdr>
                <w:top w:val="none" w:sz="0" w:space="0" w:color="auto"/>
                <w:left w:val="none" w:sz="0" w:space="0" w:color="auto"/>
                <w:bottom w:val="none" w:sz="0" w:space="0" w:color="auto"/>
                <w:right w:val="none" w:sz="0" w:space="0" w:color="auto"/>
              </w:divBdr>
              <w:divsChild>
                <w:div w:id="1313173325">
                  <w:marLeft w:val="0"/>
                  <w:marRight w:val="0"/>
                  <w:marTop w:val="0"/>
                  <w:marBottom w:val="0"/>
                  <w:divBdr>
                    <w:top w:val="none" w:sz="0" w:space="0" w:color="auto"/>
                    <w:left w:val="none" w:sz="0" w:space="0" w:color="auto"/>
                    <w:bottom w:val="none" w:sz="0" w:space="0" w:color="auto"/>
                    <w:right w:val="none" w:sz="0" w:space="0" w:color="auto"/>
                  </w:divBdr>
                  <w:divsChild>
                    <w:div w:id="390468678">
                      <w:marLeft w:val="0"/>
                      <w:marRight w:val="0"/>
                      <w:marTop w:val="0"/>
                      <w:marBottom w:val="0"/>
                      <w:divBdr>
                        <w:top w:val="none" w:sz="0" w:space="0" w:color="auto"/>
                        <w:left w:val="none" w:sz="0" w:space="0" w:color="auto"/>
                        <w:bottom w:val="none" w:sz="0" w:space="0" w:color="auto"/>
                        <w:right w:val="none" w:sz="0" w:space="0" w:color="auto"/>
                      </w:divBdr>
                      <w:divsChild>
                        <w:div w:id="312375395">
                          <w:marLeft w:val="0"/>
                          <w:marRight w:val="0"/>
                          <w:marTop w:val="0"/>
                          <w:marBottom w:val="0"/>
                          <w:divBdr>
                            <w:top w:val="none" w:sz="0" w:space="0" w:color="auto"/>
                            <w:left w:val="none" w:sz="0" w:space="0" w:color="auto"/>
                            <w:bottom w:val="none" w:sz="0" w:space="0" w:color="auto"/>
                            <w:right w:val="none" w:sz="0" w:space="0" w:color="auto"/>
                          </w:divBdr>
                          <w:divsChild>
                            <w:div w:id="56630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3125890">
      <w:bodyDiv w:val="1"/>
      <w:marLeft w:val="0"/>
      <w:marRight w:val="0"/>
      <w:marTop w:val="0"/>
      <w:marBottom w:val="0"/>
      <w:divBdr>
        <w:top w:val="none" w:sz="0" w:space="0" w:color="auto"/>
        <w:left w:val="none" w:sz="0" w:space="0" w:color="auto"/>
        <w:bottom w:val="none" w:sz="0" w:space="0" w:color="auto"/>
        <w:right w:val="none" w:sz="0" w:space="0" w:color="auto"/>
      </w:divBdr>
      <w:divsChild>
        <w:div w:id="445197115">
          <w:blockQuote w:val="1"/>
          <w:marLeft w:val="150"/>
          <w:marRight w:val="150"/>
          <w:marTop w:val="0"/>
          <w:marBottom w:val="0"/>
          <w:divBdr>
            <w:top w:val="none" w:sz="0" w:space="0" w:color="auto"/>
            <w:left w:val="none" w:sz="0" w:space="0" w:color="auto"/>
            <w:bottom w:val="none" w:sz="0" w:space="0" w:color="auto"/>
            <w:right w:val="none" w:sz="0" w:space="0" w:color="auto"/>
          </w:divBdr>
          <w:divsChild>
            <w:div w:id="1619415690">
              <w:marLeft w:val="0"/>
              <w:marRight w:val="0"/>
              <w:marTop w:val="0"/>
              <w:marBottom w:val="0"/>
              <w:divBdr>
                <w:top w:val="none" w:sz="0" w:space="0" w:color="auto"/>
                <w:left w:val="none" w:sz="0" w:space="0" w:color="auto"/>
                <w:bottom w:val="none" w:sz="0" w:space="0" w:color="auto"/>
                <w:right w:val="none" w:sz="0" w:space="0" w:color="auto"/>
              </w:divBdr>
              <w:divsChild>
                <w:div w:id="84994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215156">
      <w:bodyDiv w:val="1"/>
      <w:marLeft w:val="0"/>
      <w:marRight w:val="0"/>
      <w:marTop w:val="0"/>
      <w:marBottom w:val="0"/>
      <w:divBdr>
        <w:top w:val="none" w:sz="0" w:space="0" w:color="auto"/>
        <w:left w:val="none" w:sz="0" w:space="0" w:color="auto"/>
        <w:bottom w:val="none" w:sz="0" w:space="0" w:color="auto"/>
        <w:right w:val="none" w:sz="0" w:space="0" w:color="auto"/>
      </w:divBdr>
    </w:div>
    <w:div w:id="882643961">
      <w:bodyDiv w:val="1"/>
      <w:marLeft w:val="0"/>
      <w:marRight w:val="0"/>
      <w:marTop w:val="0"/>
      <w:marBottom w:val="0"/>
      <w:divBdr>
        <w:top w:val="none" w:sz="0" w:space="0" w:color="auto"/>
        <w:left w:val="none" w:sz="0" w:space="0" w:color="auto"/>
        <w:bottom w:val="none" w:sz="0" w:space="0" w:color="auto"/>
        <w:right w:val="none" w:sz="0" w:space="0" w:color="auto"/>
      </w:divBdr>
      <w:divsChild>
        <w:div w:id="397631403">
          <w:blockQuote w:val="1"/>
          <w:marLeft w:val="150"/>
          <w:marRight w:val="150"/>
          <w:marTop w:val="0"/>
          <w:marBottom w:val="0"/>
          <w:divBdr>
            <w:top w:val="none" w:sz="0" w:space="0" w:color="auto"/>
            <w:left w:val="none" w:sz="0" w:space="0" w:color="auto"/>
            <w:bottom w:val="none" w:sz="0" w:space="0" w:color="auto"/>
            <w:right w:val="none" w:sz="0" w:space="0" w:color="auto"/>
          </w:divBdr>
          <w:divsChild>
            <w:div w:id="1470005247">
              <w:marLeft w:val="0"/>
              <w:marRight w:val="0"/>
              <w:marTop w:val="0"/>
              <w:marBottom w:val="0"/>
              <w:divBdr>
                <w:top w:val="none" w:sz="0" w:space="0" w:color="auto"/>
                <w:left w:val="none" w:sz="0" w:space="0" w:color="auto"/>
                <w:bottom w:val="none" w:sz="0" w:space="0" w:color="auto"/>
                <w:right w:val="none" w:sz="0" w:space="0" w:color="auto"/>
              </w:divBdr>
              <w:divsChild>
                <w:div w:id="119257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075845">
      <w:bodyDiv w:val="1"/>
      <w:marLeft w:val="0"/>
      <w:marRight w:val="0"/>
      <w:marTop w:val="0"/>
      <w:marBottom w:val="0"/>
      <w:divBdr>
        <w:top w:val="none" w:sz="0" w:space="0" w:color="auto"/>
        <w:left w:val="none" w:sz="0" w:space="0" w:color="auto"/>
        <w:bottom w:val="none" w:sz="0" w:space="0" w:color="auto"/>
        <w:right w:val="none" w:sz="0" w:space="0" w:color="auto"/>
      </w:divBdr>
      <w:divsChild>
        <w:div w:id="89862456">
          <w:blockQuote w:val="1"/>
          <w:marLeft w:val="150"/>
          <w:marRight w:val="150"/>
          <w:marTop w:val="0"/>
          <w:marBottom w:val="0"/>
          <w:divBdr>
            <w:top w:val="none" w:sz="0" w:space="0" w:color="auto"/>
            <w:left w:val="none" w:sz="0" w:space="0" w:color="auto"/>
            <w:bottom w:val="none" w:sz="0" w:space="0" w:color="auto"/>
            <w:right w:val="none" w:sz="0" w:space="0" w:color="auto"/>
          </w:divBdr>
          <w:divsChild>
            <w:div w:id="962349355">
              <w:marLeft w:val="0"/>
              <w:marRight w:val="0"/>
              <w:marTop w:val="0"/>
              <w:marBottom w:val="0"/>
              <w:divBdr>
                <w:top w:val="none" w:sz="0" w:space="0" w:color="auto"/>
                <w:left w:val="none" w:sz="0" w:space="0" w:color="auto"/>
                <w:bottom w:val="none" w:sz="0" w:space="0" w:color="auto"/>
                <w:right w:val="none" w:sz="0" w:space="0" w:color="auto"/>
              </w:divBdr>
              <w:divsChild>
                <w:div w:id="1402942042">
                  <w:marLeft w:val="0"/>
                  <w:marRight w:val="0"/>
                  <w:marTop w:val="0"/>
                  <w:marBottom w:val="0"/>
                  <w:divBdr>
                    <w:top w:val="none" w:sz="0" w:space="0" w:color="auto"/>
                    <w:left w:val="none" w:sz="0" w:space="0" w:color="auto"/>
                    <w:bottom w:val="none" w:sz="0" w:space="0" w:color="auto"/>
                    <w:right w:val="none" w:sz="0" w:space="0" w:color="auto"/>
                  </w:divBdr>
                  <w:divsChild>
                    <w:div w:id="525944379">
                      <w:marLeft w:val="0"/>
                      <w:marRight w:val="0"/>
                      <w:marTop w:val="0"/>
                      <w:marBottom w:val="0"/>
                      <w:divBdr>
                        <w:top w:val="none" w:sz="0" w:space="0" w:color="auto"/>
                        <w:left w:val="none" w:sz="0" w:space="0" w:color="auto"/>
                        <w:bottom w:val="none" w:sz="0" w:space="0" w:color="auto"/>
                        <w:right w:val="none" w:sz="0" w:space="0" w:color="auto"/>
                      </w:divBdr>
                      <w:divsChild>
                        <w:div w:id="1896502449">
                          <w:marLeft w:val="0"/>
                          <w:marRight w:val="0"/>
                          <w:marTop w:val="0"/>
                          <w:marBottom w:val="0"/>
                          <w:divBdr>
                            <w:top w:val="none" w:sz="0" w:space="0" w:color="auto"/>
                            <w:left w:val="none" w:sz="0" w:space="0" w:color="auto"/>
                            <w:bottom w:val="none" w:sz="0" w:space="0" w:color="auto"/>
                            <w:right w:val="none" w:sz="0" w:space="0" w:color="auto"/>
                          </w:divBdr>
                          <w:divsChild>
                            <w:div w:id="67607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hyperlink" Target="mailto:ablackwell@nextpayments.com.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ablackwell@nextpayments.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03745C4948CB4EB4C4CFA08698BE02" ma:contentTypeVersion="4" ma:contentTypeDescription="Create a new document." ma:contentTypeScope="" ma:versionID="fbff5f66623205eec4365efa58d4da7f">
  <xsd:schema xmlns:xsd="http://www.w3.org/2001/XMLSchema" xmlns:xs="http://www.w3.org/2001/XMLSchema" xmlns:p="http://schemas.microsoft.com/office/2006/metadata/properties" xmlns:ns2="7d639f44-b729-407d-8d80-9227c7874c81" targetNamespace="http://schemas.microsoft.com/office/2006/metadata/properties" ma:root="true" ma:fieldsID="729a5047e922b0f8d3f9d129688d1da8" ns2:_="">
    <xsd:import namespace="7d639f44-b729-407d-8d80-9227c7874c8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639f44-b729-407d-8d80-9227c7874c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93389A-52E0-4AE4-88C4-8738DE8D52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639f44-b729-407d-8d80-9227c7874c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29B097-A9AD-47B9-9177-1A49ABE248F5}">
  <ds:schemaRefs>
    <ds:schemaRef ds:uri="http://schemas.microsoft.com/sharepoint/v3/contenttype/forms"/>
  </ds:schemaRefs>
</ds:datastoreItem>
</file>

<file path=customXml/itemProps3.xml><?xml version="1.0" encoding="utf-8"?>
<ds:datastoreItem xmlns:ds="http://schemas.openxmlformats.org/officeDocument/2006/customXml" ds:itemID="{9B1A5D98-E903-448A-B87A-5CD4695B9069}">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ac0b1a45-acd9-4292-b901-72885183563d}" enabled="0" method="" siteId="{ac0b1a45-acd9-4292-b901-72885183563d}"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2085</Words>
  <Characters>11889</Characters>
  <Application>Microsoft Office Word</Application>
  <DocSecurity>0</DocSecurity>
  <Lines>99</Lines>
  <Paragraphs>27</Paragraphs>
  <ScaleCrop>false</ScaleCrop>
  <Company/>
  <LinksUpToDate>false</LinksUpToDate>
  <CharactersWithSpaces>13947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Haughey</dc:creator>
  <cp:keywords/>
  <dc:description/>
  <cp:lastModifiedBy>Aaron Blackwell</cp:lastModifiedBy>
  <cp:revision>2</cp:revision>
  <cp:lastPrinted>2024-11-26T23:03:00Z</cp:lastPrinted>
  <dcterms:created xsi:type="dcterms:W3CDTF">2024-11-27T22:12:00Z</dcterms:created>
  <dcterms:modified xsi:type="dcterms:W3CDTF">2024-11-27T22:12:00Z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0x010100CD03745C4948CB4EB4C4CFA08698BE02</vt:lpwstr>
  </property>
</Properties>
</file>