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37374E" w14:textId="2E163736" w:rsidR="003053D2" w:rsidRPr="00764DA3" w:rsidRDefault="003053D2" w:rsidP="003053D2">
      <w:pPr>
        <w:rPr>
          <w:b/>
          <w:bCs/>
          <w:sz w:val="28"/>
          <w:szCs w:val="28"/>
        </w:rPr>
      </w:pPr>
      <w:r w:rsidRPr="00764DA3">
        <w:rPr>
          <w:b/>
          <w:bCs/>
          <w:sz w:val="28"/>
          <w:szCs w:val="28"/>
        </w:rPr>
        <w:t>RBA Merchant Card Payment Costs and Surcharging – Issues Paper October 2024</w:t>
      </w:r>
      <w:r w:rsidR="00764DA3">
        <w:rPr>
          <w:b/>
          <w:bCs/>
          <w:sz w:val="28"/>
          <w:szCs w:val="28"/>
        </w:rPr>
        <w:t xml:space="preserve">: </w:t>
      </w:r>
      <w:r w:rsidRPr="00764DA3">
        <w:rPr>
          <w:b/>
          <w:bCs/>
          <w:sz w:val="28"/>
          <w:szCs w:val="28"/>
        </w:rPr>
        <w:t xml:space="preserve">EML </w:t>
      </w:r>
      <w:r w:rsidR="00764DA3">
        <w:rPr>
          <w:b/>
          <w:bCs/>
          <w:sz w:val="28"/>
          <w:szCs w:val="28"/>
        </w:rPr>
        <w:t xml:space="preserve">Australia </w:t>
      </w:r>
      <w:r w:rsidRPr="00764DA3">
        <w:rPr>
          <w:b/>
          <w:bCs/>
          <w:sz w:val="28"/>
          <w:szCs w:val="28"/>
        </w:rPr>
        <w:t>Responses</w:t>
      </w:r>
    </w:p>
    <w:p w14:paraId="75265636" w14:textId="77777777" w:rsidR="003053D2" w:rsidRDefault="003053D2" w:rsidP="00790544"/>
    <w:p w14:paraId="78976964" w14:textId="333D16C3" w:rsidR="002C0012" w:rsidRDefault="00E56312" w:rsidP="002C0012">
      <w:pPr>
        <w:pStyle w:val="paragraph"/>
        <w:spacing w:before="0" w:beforeAutospacing="0" w:after="0" w:afterAutospacing="0"/>
        <w:jc w:val="both"/>
        <w:rPr>
          <w:rFonts w:asciiTheme="minorHAnsi" w:eastAsia="Arial" w:hAnsiTheme="minorHAnsi" w:cs="Arial"/>
          <w:sz w:val="22"/>
          <w:szCs w:val="22"/>
        </w:rPr>
      </w:pPr>
      <w:r w:rsidRPr="13E8B54B">
        <w:rPr>
          <w:rFonts w:asciiTheme="minorHAnsi" w:eastAsia="Arial" w:hAnsiTheme="minorHAnsi" w:cs="Arial"/>
          <w:sz w:val="22"/>
          <w:szCs w:val="22"/>
        </w:rPr>
        <w:t>EML Payment Solutions Limited (</w:t>
      </w:r>
      <w:r w:rsidRPr="13E8B54B">
        <w:rPr>
          <w:rFonts w:asciiTheme="minorHAnsi" w:eastAsia="Arial" w:hAnsiTheme="minorHAnsi" w:cs="Arial"/>
          <w:b/>
          <w:sz w:val="22"/>
          <w:szCs w:val="22"/>
        </w:rPr>
        <w:t>EML Australia</w:t>
      </w:r>
      <w:r w:rsidRPr="13E8B54B">
        <w:rPr>
          <w:rFonts w:asciiTheme="minorHAnsi" w:eastAsia="Arial" w:hAnsiTheme="minorHAnsi" w:cs="Arial"/>
          <w:sz w:val="22"/>
          <w:szCs w:val="22"/>
        </w:rPr>
        <w:t xml:space="preserve">) is a wholly owned subsidiary of ASX-listed EML Payments Limited.  Founded in Australia in 2003, EML is a leading non-bank ‘prepaid’ card (or wallet / account) issuer and processor operating proprietary payment platforms </w:t>
      </w:r>
      <w:r w:rsidR="001804E9" w:rsidRPr="13E8B54B">
        <w:rPr>
          <w:rFonts w:asciiTheme="minorHAnsi" w:eastAsia="Arial" w:hAnsiTheme="minorHAnsi" w:cs="Arial"/>
          <w:sz w:val="22"/>
          <w:szCs w:val="22"/>
        </w:rPr>
        <w:t xml:space="preserve">across 27 countries </w:t>
      </w:r>
      <w:r w:rsidRPr="13E8B54B">
        <w:rPr>
          <w:rFonts w:asciiTheme="minorHAnsi" w:eastAsia="Arial" w:hAnsiTheme="minorHAnsi" w:cs="Arial"/>
          <w:sz w:val="22"/>
          <w:szCs w:val="22"/>
        </w:rPr>
        <w:t>to enable banks, corporates, governments, non-government organisations (NGO), independent software vendors, merchants and fintech's create instant, seamless and secure experiences for their customers (their customer’s / employees). Globally, the EML Group issues over $</w:t>
      </w:r>
      <w:r w:rsidR="00766651" w:rsidRPr="13E8B54B">
        <w:rPr>
          <w:rFonts w:asciiTheme="minorHAnsi" w:eastAsia="Arial" w:hAnsiTheme="minorHAnsi" w:cs="Arial"/>
          <w:sz w:val="22"/>
          <w:szCs w:val="22"/>
        </w:rPr>
        <w:t>23bn</w:t>
      </w:r>
      <w:r w:rsidRPr="13E8B54B">
        <w:rPr>
          <w:rFonts w:asciiTheme="minorHAnsi" w:eastAsia="Arial" w:hAnsiTheme="minorHAnsi" w:cs="Arial"/>
          <w:sz w:val="22"/>
          <w:szCs w:val="22"/>
        </w:rPr>
        <w:t xml:space="preserve"> in GDV per annum (FY2</w:t>
      </w:r>
      <w:r w:rsidR="00766651" w:rsidRPr="13E8B54B">
        <w:rPr>
          <w:rFonts w:asciiTheme="minorHAnsi" w:eastAsia="Arial" w:hAnsiTheme="minorHAnsi" w:cs="Arial"/>
          <w:sz w:val="22"/>
          <w:szCs w:val="22"/>
        </w:rPr>
        <w:t>4</w:t>
      </w:r>
      <w:r w:rsidRPr="13E8B54B">
        <w:rPr>
          <w:rFonts w:asciiTheme="minorHAnsi" w:eastAsia="Arial" w:hAnsiTheme="minorHAnsi" w:cs="Arial"/>
          <w:sz w:val="22"/>
          <w:szCs w:val="22"/>
        </w:rPr>
        <w:t xml:space="preserve">).  </w:t>
      </w:r>
    </w:p>
    <w:p w14:paraId="67A1CC9A" w14:textId="77777777" w:rsidR="002C0012" w:rsidRDefault="002C0012" w:rsidP="002C0012">
      <w:pPr>
        <w:pStyle w:val="paragraph"/>
        <w:spacing w:before="0" w:beforeAutospacing="0" w:after="0" w:afterAutospacing="0"/>
        <w:jc w:val="both"/>
        <w:rPr>
          <w:rFonts w:asciiTheme="minorHAnsi" w:eastAsia="Arial" w:hAnsiTheme="minorHAnsi" w:cs="Arial"/>
          <w:sz w:val="22"/>
          <w:szCs w:val="22"/>
          <w:lang w:val="en-GB"/>
        </w:rPr>
      </w:pPr>
    </w:p>
    <w:p w14:paraId="2E9ADCBA" w14:textId="0D69CFC2" w:rsidR="00FA07BC" w:rsidRDefault="00E56312" w:rsidP="002C0012">
      <w:pPr>
        <w:pStyle w:val="paragraph"/>
        <w:spacing w:before="0" w:beforeAutospacing="0" w:after="0" w:afterAutospacing="0"/>
        <w:jc w:val="both"/>
        <w:rPr>
          <w:rFonts w:asciiTheme="minorHAnsi" w:eastAsia="Arial" w:hAnsiTheme="minorHAnsi" w:cs="Arial"/>
          <w:sz w:val="22"/>
          <w:szCs w:val="22"/>
          <w:lang w:val="en-GB"/>
        </w:rPr>
      </w:pPr>
      <w:r w:rsidRPr="00E56312">
        <w:rPr>
          <w:rFonts w:asciiTheme="minorHAnsi" w:eastAsia="Arial" w:hAnsiTheme="minorHAnsi" w:cs="Arial"/>
          <w:sz w:val="22"/>
          <w:szCs w:val="22"/>
          <w:lang w:val="en-GB"/>
        </w:rPr>
        <w:t xml:space="preserve">Within Australia, EML Australia provides ‘prepaid’ payment services to government, </w:t>
      </w:r>
      <w:r w:rsidR="0054192D" w:rsidRPr="00E56312">
        <w:rPr>
          <w:rFonts w:asciiTheme="minorHAnsi" w:eastAsia="Arial" w:hAnsiTheme="minorHAnsi" w:cs="Arial"/>
          <w:sz w:val="22"/>
          <w:szCs w:val="22"/>
          <w:lang w:val="en-GB"/>
        </w:rPr>
        <w:t>FinTech’s</w:t>
      </w:r>
      <w:r w:rsidRPr="00E56312">
        <w:rPr>
          <w:rFonts w:asciiTheme="minorHAnsi" w:eastAsia="Arial" w:hAnsiTheme="minorHAnsi" w:cs="Arial"/>
          <w:sz w:val="22"/>
          <w:szCs w:val="22"/>
          <w:lang w:val="en-GB"/>
        </w:rPr>
        <w:t xml:space="preserve"> and private industry. EML Australia is </w:t>
      </w:r>
      <w:r w:rsidR="0054192D">
        <w:rPr>
          <w:rFonts w:asciiTheme="minorHAnsi" w:eastAsia="Arial" w:hAnsiTheme="minorHAnsi" w:cs="Arial"/>
          <w:sz w:val="22"/>
          <w:szCs w:val="22"/>
          <w:lang w:val="en-GB"/>
        </w:rPr>
        <w:t xml:space="preserve">regulated by </w:t>
      </w:r>
      <w:r w:rsidRPr="00E56312">
        <w:rPr>
          <w:rFonts w:asciiTheme="minorHAnsi" w:eastAsia="Arial" w:hAnsiTheme="minorHAnsi" w:cs="Arial"/>
          <w:sz w:val="22"/>
          <w:szCs w:val="22"/>
          <w:lang w:val="en-GB"/>
        </w:rPr>
        <w:t xml:space="preserve">ASIC </w:t>
      </w:r>
      <w:r w:rsidR="0054192D">
        <w:rPr>
          <w:rFonts w:asciiTheme="minorHAnsi" w:eastAsia="Arial" w:hAnsiTheme="minorHAnsi" w:cs="Arial"/>
          <w:sz w:val="22"/>
          <w:szCs w:val="22"/>
          <w:lang w:val="en-GB"/>
        </w:rPr>
        <w:t>and registered with</w:t>
      </w:r>
      <w:r w:rsidR="0054192D" w:rsidRPr="00E56312">
        <w:rPr>
          <w:rFonts w:asciiTheme="minorHAnsi" w:eastAsia="Arial" w:hAnsiTheme="minorHAnsi" w:cs="Arial"/>
          <w:sz w:val="22"/>
          <w:szCs w:val="22"/>
          <w:lang w:val="en-GB"/>
        </w:rPr>
        <w:t xml:space="preserve"> </w:t>
      </w:r>
      <w:proofErr w:type="gramStart"/>
      <w:r w:rsidRPr="00E56312">
        <w:rPr>
          <w:rFonts w:asciiTheme="minorHAnsi" w:eastAsia="Arial" w:hAnsiTheme="minorHAnsi" w:cs="Arial"/>
          <w:sz w:val="22"/>
          <w:szCs w:val="22"/>
          <w:lang w:val="en-GB"/>
        </w:rPr>
        <w:t>AUSTRAC</w:t>
      </w:r>
      <w:proofErr w:type="gramEnd"/>
      <w:r w:rsidRPr="00E56312">
        <w:rPr>
          <w:rFonts w:asciiTheme="minorHAnsi" w:eastAsia="Arial" w:hAnsiTheme="minorHAnsi" w:cs="Arial"/>
          <w:sz w:val="22"/>
          <w:szCs w:val="22"/>
          <w:lang w:val="en-GB"/>
        </w:rPr>
        <w:t xml:space="preserve"> and it has been a Direct Mastercard member since November 2015. EML Australia has over </w:t>
      </w:r>
      <w:r w:rsidR="00A55DAF">
        <w:rPr>
          <w:rFonts w:asciiTheme="minorHAnsi" w:eastAsia="Arial" w:hAnsiTheme="minorHAnsi" w:cs="Arial"/>
          <w:sz w:val="22"/>
          <w:szCs w:val="22"/>
          <w:lang w:val="en-GB"/>
        </w:rPr>
        <w:t xml:space="preserve">65 staff </w:t>
      </w:r>
      <w:r w:rsidR="00B54450">
        <w:rPr>
          <w:rFonts w:asciiTheme="minorHAnsi" w:eastAsia="Arial" w:hAnsiTheme="minorHAnsi" w:cs="Arial"/>
          <w:sz w:val="22"/>
          <w:szCs w:val="22"/>
          <w:lang w:val="en-GB"/>
        </w:rPr>
        <w:t>dedicated to servicing its customers through prepaid card programs across risk, compliance, legal, finance, treasury, operations, customer success and IT and over</w:t>
      </w:r>
      <w:r w:rsidR="0040557E">
        <w:rPr>
          <w:rFonts w:asciiTheme="minorHAnsi" w:eastAsia="Arial" w:hAnsiTheme="minorHAnsi" w:cs="Arial"/>
          <w:sz w:val="22"/>
          <w:szCs w:val="22"/>
          <w:lang w:val="en-GB"/>
        </w:rPr>
        <w:t xml:space="preserve"> </w:t>
      </w:r>
      <w:r w:rsidRPr="00E56312">
        <w:rPr>
          <w:rFonts w:asciiTheme="minorHAnsi" w:eastAsia="Arial" w:hAnsiTheme="minorHAnsi" w:cs="Arial"/>
          <w:sz w:val="22"/>
          <w:szCs w:val="22"/>
          <w:lang w:val="en-GB"/>
        </w:rPr>
        <w:t>1.</w:t>
      </w:r>
      <w:r w:rsidR="00673044">
        <w:rPr>
          <w:rFonts w:asciiTheme="minorHAnsi" w:eastAsia="Arial" w:hAnsiTheme="minorHAnsi" w:cs="Arial"/>
          <w:sz w:val="22"/>
          <w:szCs w:val="22"/>
          <w:lang w:val="en-GB"/>
        </w:rPr>
        <w:t>5</w:t>
      </w:r>
      <w:r w:rsidRPr="00E56312">
        <w:rPr>
          <w:rFonts w:asciiTheme="minorHAnsi" w:eastAsia="Arial" w:hAnsiTheme="minorHAnsi" w:cs="Arial"/>
          <w:sz w:val="22"/>
          <w:szCs w:val="22"/>
          <w:lang w:val="en-GB"/>
        </w:rPr>
        <w:t xml:space="preserve">m active </w:t>
      </w:r>
      <w:r w:rsidR="00980A49">
        <w:rPr>
          <w:rFonts w:asciiTheme="minorHAnsi" w:eastAsia="Arial" w:hAnsiTheme="minorHAnsi" w:cs="Arial"/>
          <w:sz w:val="22"/>
          <w:szCs w:val="22"/>
          <w:lang w:val="en-GB"/>
        </w:rPr>
        <w:t xml:space="preserve">card </w:t>
      </w:r>
      <w:r w:rsidRPr="00E56312">
        <w:rPr>
          <w:rFonts w:asciiTheme="minorHAnsi" w:eastAsia="Arial" w:hAnsiTheme="minorHAnsi" w:cs="Arial"/>
          <w:sz w:val="22"/>
          <w:szCs w:val="22"/>
          <w:lang w:val="en-GB"/>
        </w:rPr>
        <w:t>accounts under management (issue, process, service).</w:t>
      </w:r>
      <w:r w:rsidR="00964D77">
        <w:rPr>
          <w:rFonts w:asciiTheme="minorHAnsi" w:eastAsia="Arial" w:hAnsiTheme="minorHAnsi" w:cs="Arial"/>
          <w:sz w:val="22"/>
          <w:szCs w:val="22"/>
          <w:lang w:val="en-GB"/>
        </w:rPr>
        <w:t xml:space="preserve"> </w:t>
      </w:r>
    </w:p>
    <w:p w14:paraId="510259A9" w14:textId="77777777" w:rsidR="002C0012" w:rsidRDefault="002C0012" w:rsidP="002C0012">
      <w:pPr>
        <w:pStyle w:val="paragraph"/>
        <w:spacing w:before="0" w:beforeAutospacing="0" w:after="0" w:afterAutospacing="0"/>
        <w:jc w:val="both"/>
        <w:rPr>
          <w:rFonts w:asciiTheme="minorHAnsi" w:eastAsia="Arial" w:hAnsiTheme="minorHAnsi" w:cs="Arial"/>
          <w:sz w:val="22"/>
          <w:szCs w:val="22"/>
          <w:lang w:val="en-GB"/>
        </w:rPr>
      </w:pPr>
    </w:p>
    <w:p w14:paraId="0883C944" w14:textId="46A91317" w:rsidR="00FA07BC" w:rsidRDefault="00E56312" w:rsidP="008E15A2">
      <w:pPr>
        <w:pStyle w:val="paragraph"/>
        <w:spacing w:before="0" w:beforeAutospacing="0" w:after="0" w:afterAutospacing="0"/>
        <w:jc w:val="both"/>
        <w:rPr>
          <w:rFonts w:ascii="Aptos" w:hAnsi="Aptos"/>
          <w:sz w:val="22"/>
          <w:szCs w:val="22"/>
        </w:rPr>
      </w:pPr>
      <w:r>
        <w:rPr>
          <w:rFonts w:ascii="Aptos" w:eastAsia="Arial" w:hAnsi="Aptos"/>
          <w:sz w:val="22"/>
          <w:szCs w:val="22"/>
        </w:rPr>
        <w:t>EML Australia</w:t>
      </w:r>
      <w:r w:rsidR="00E303D6">
        <w:rPr>
          <w:rFonts w:ascii="Aptos" w:hAnsi="Aptos"/>
          <w:sz w:val="22"/>
          <w:szCs w:val="22"/>
        </w:rPr>
        <w:t xml:space="preserve">, </w:t>
      </w:r>
      <w:r w:rsidR="002E7513">
        <w:rPr>
          <w:rFonts w:ascii="Aptos" w:hAnsi="Aptos"/>
          <w:sz w:val="22"/>
          <w:szCs w:val="22"/>
        </w:rPr>
        <w:t>as a</w:t>
      </w:r>
      <w:r w:rsidR="00837A31">
        <w:rPr>
          <w:rFonts w:ascii="Aptos" w:hAnsi="Aptos"/>
          <w:sz w:val="22"/>
          <w:szCs w:val="22"/>
        </w:rPr>
        <w:t xml:space="preserve"> Mastercard </w:t>
      </w:r>
      <w:r>
        <w:rPr>
          <w:rFonts w:ascii="Aptos" w:eastAsia="Arial" w:hAnsi="Aptos"/>
          <w:sz w:val="22"/>
          <w:szCs w:val="22"/>
        </w:rPr>
        <w:t xml:space="preserve">issuer that </w:t>
      </w:r>
      <w:r w:rsidR="007A5DD9">
        <w:rPr>
          <w:rFonts w:ascii="Aptos" w:hAnsi="Aptos"/>
          <w:sz w:val="22"/>
          <w:szCs w:val="22"/>
        </w:rPr>
        <w:t>earns</w:t>
      </w:r>
      <w:r w:rsidR="000074C4">
        <w:rPr>
          <w:rFonts w:ascii="Aptos" w:hAnsi="Aptos"/>
          <w:sz w:val="22"/>
          <w:szCs w:val="22"/>
        </w:rPr>
        <w:t xml:space="preserve"> interchange</w:t>
      </w:r>
      <w:r w:rsidR="00C47CAA">
        <w:rPr>
          <w:rFonts w:ascii="Aptos" w:hAnsi="Aptos"/>
          <w:sz w:val="22"/>
          <w:szCs w:val="22"/>
        </w:rPr>
        <w:t xml:space="preserve"> </w:t>
      </w:r>
      <w:r w:rsidR="00837A31">
        <w:rPr>
          <w:rFonts w:ascii="Aptos" w:hAnsi="Aptos"/>
          <w:sz w:val="22"/>
          <w:szCs w:val="22"/>
        </w:rPr>
        <w:t xml:space="preserve">is </w:t>
      </w:r>
      <w:r w:rsidR="0027272C">
        <w:rPr>
          <w:rFonts w:ascii="Aptos" w:hAnsi="Aptos"/>
          <w:sz w:val="22"/>
          <w:szCs w:val="22"/>
        </w:rPr>
        <w:t xml:space="preserve">also </w:t>
      </w:r>
      <w:r w:rsidR="00837A31">
        <w:rPr>
          <w:rFonts w:ascii="Aptos" w:hAnsi="Aptos"/>
          <w:sz w:val="22"/>
          <w:szCs w:val="22"/>
        </w:rPr>
        <w:t xml:space="preserve">subject to a range of </w:t>
      </w:r>
      <w:r w:rsidR="004437A1">
        <w:rPr>
          <w:rFonts w:ascii="Aptos" w:hAnsi="Aptos"/>
          <w:sz w:val="22"/>
          <w:szCs w:val="22"/>
        </w:rPr>
        <w:t xml:space="preserve">costs including </w:t>
      </w:r>
      <w:r w:rsidR="00837A31">
        <w:rPr>
          <w:rFonts w:ascii="Aptos" w:hAnsi="Aptos"/>
          <w:sz w:val="22"/>
          <w:szCs w:val="22"/>
        </w:rPr>
        <w:t>scheme fees,</w:t>
      </w:r>
      <w:r w:rsidR="00C47CAA">
        <w:rPr>
          <w:rFonts w:ascii="Aptos" w:hAnsi="Aptos"/>
          <w:sz w:val="22"/>
          <w:szCs w:val="22"/>
        </w:rPr>
        <w:t xml:space="preserve"> </w:t>
      </w:r>
      <w:r w:rsidR="00506BE1">
        <w:rPr>
          <w:rFonts w:ascii="Aptos" w:hAnsi="Aptos"/>
          <w:sz w:val="22"/>
          <w:szCs w:val="22"/>
        </w:rPr>
        <w:t>welcomes the opportunity to contribute its feedback to this RBA consultation</w:t>
      </w:r>
      <w:r w:rsidR="00A52BBE">
        <w:rPr>
          <w:rFonts w:ascii="Aptos" w:hAnsi="Aptos"/>
          <w:sz w:val="22"/>
          <w:szCs w:val="22"/>
        </w:rPr>
        <w:t>.</w:t>
      </w:r>
      <w:r w:rsidR="000074C4">
        <w:rPr>
          <w:rFonts w:ascii="Aptos" w:hAnsi="Aptos"/>
          <w:sz w:val="22"/>
          <w:szCs w:val="22"/>
        </w:rPr>
        <w:t xml:space="preserve"> </w:t>
      </w:r>
      <w:r w:rsidR="00105A2B">
        <w:rPr>
          <w:rFonts w:ascii="Aptos" w:hAnsi="Aptos"/>
          <w:sz w:val="22"/>
          <w:szCs w:val="22"/>
        </w:rPr>
        <w:t xml:space="preserve">  </w:t>
      </w:r>
    </w:p>
    <w:p w14:paraId="77266F43" w14:textId="77777777" w:rsidR="005B0A64" w:rsidRDefault="005B0A64" w:rsidP="008E15A2">
      <w:pPr>
        <w:pStyle w:val="paragraph"/>
        <w:spacing w:before="0" w:beforeAutospacing="0" w:after="0" w:afterAutospacing="0"/>
        <w:jc w:val="both"/>
        <w:rPr>
          <w:rFonts w:ascii="Aptos" w:hAnsi="Aptos"/>
          <w:sz w:val="22"/>
          <w:szCs w:val="22"/>
        </w:rPr>
      </w:pPr>
    </w:p>
    <w:p w14:paraId="6DE763E7" w14:textId="56623316" w:rsidR="005B0A64" w:rsidRPr="008E15A2" w:rsidRDefault="005B0A64" w:rsidP="008E15A2">
      <w:pPr>
        <w:pStyle w:val="paragraph"/>
        <w:spacing w:before="0" w:beforeAutospacing="0" w:after="0" w:afterAutospacing="0"/>
        <w:jc w:val="both"/>
        <w:rPr>
          <w:rFonts w:ascii="Aptos" w:hAnsi="Aptos" w:cs="Segoe UI"/>
          <w:sz w:val="22"/>
          <w:szCs w:val="22"/>
        </w:rPr>
      </w:pPr>
      <w:r>
        <w:rPr>
          <w:rFonts w:ascii="Aptos" w:hAnsi="Aptos"/>
          <w:sz w:val="22"/>
          <w:szCs w:val="22"/>
        </w:rPr>
        <w:t xml:space="preserve">Given </w:t>
      </w:r>
      <w:r w:rsidR="00D2410F">
        <w:rPr>
          <w:rFonts w:ascii="Aptos" w:hAnsi="Aptos"/>
          <w:sz w:val="22"/>
          <w:szCs w:val="22"/>
        </w:rPr>
        <w:t xml:space="preserve">the </w:t>
      </w:r>
      <w:r w:rsidR="00873305">
        <w:rPr>
          <w:rFonts w:ascii="Aptos" w:hAnsi="Aptos"/>
          <w:sz w:val="22"/>
          <w:szCs w:val="22"/>
        </w:rPr>
        <w:t xml:space="preserve">paper is targeted at merchant card payment costs and surcharging and </w:t>
      </w:r>
      <w:r w:rsidR="00F41D9A">
        <w:rPr>
          <w:rFonts w:ascii="Aptos" w:hAnsi="Aptos"/>
          <w:sz w:val="22"/>
          <w:szCs w:val="22"/>
        </w:rPr>
        <w:t xml:space="preserve">greater transparency across </w:t>
      </w:r>
      <w:r w:rsidR="0032507B">
        <w:rPr>
          <w:rFonts w:ascii="Aptos" w:hAnsi="Aptos"/>
          <w:sz w:val="22"/>
          <w:szCs w:val="22"/>
        </w:rPr>
        <w:t xml:space="preserve">payment service providers (PSPs) and </w:t>
      </w:r>
      <w:r w:rsidR="002C4C8C">
        <w:rPr>
          <w:rFonts w:ascii="Aptos" w:hAnsi="Aptos"/>
          <w:sz w:val="22"/>
          <w:szCs w:val="22"/>
        </w:rPr>
        <w:t xml:space="preserve">card schemes, </w:t>
      </w:r>
      <w:r w:rsidR="28727DD1" w:rsidRPr="429FF6A3">
        <w:rPr>
          <w:rFonts w:ascii="Aptos" w:hAnsi="Aptos"/>
          <w:sz w:val="22"/>
          <w:szCs w:val="22"/>
        </w:rPr>
        <w:t>this response only addresses those</w:t>
      </w:r>
      <w:r w:rsidR="00D62236">
        <w:rPr>
          <w:rFonts w:ascii="Aptos" w:hAnsi="Aptos"/>
          <w:sz w:val="22"/>
          <w:szCs w:val="22"/>
        </w:rPr>
        <w:t xml:space="preserve"> questions that are directly relevant to EML Australia as a </w:t>
      </w:r>
      <w:r w:rsidR="00FC5E89">
        <w:rPr>
          <w:rFonts w:ascii="Aptos" w:hAnsi="Aptos"/>
          <w:sz w:val="22"/>
          <w:szCs w:val="22"/>
        </w:rPr>
        <w:t xml:space="preserve">payment card issuer.  </w:t>
      </w:r>
      <w:r w:rsidR="005503C6">
        <w:rPr>
          <w:rFonts w:ascii="Aptos" w:hAnsi="Aptos"/>
          <w:sz w:val="22"/>
          <w:szCs w:val="22"/>
        </w:rPr>
        <w:t xml:space="preserve">Questions not relevant to EML Australia will remain blank.  </w:t>
      </w:r>
    </w:p>
    <w:p w14:paraId="3BECD977" w14:textId="77777777" w:rsidR="00790544" w:rsidRDefault="00790544" w:rsidP="00790544"/>
    <w:p w14:paraId="4A0BB927" w14:textId="7C997B86" w:rsidR="007356B5" w:rsidRPr="002E1243" w:rsidRDefault="003053D2" w:rsidP="007356B5">
      <w:pPr>
        <w:pStyle w:val="ListParagraph"/>
        <w:numPr>
          <w:ilvl w:val="0"/>
          <w:numId w:val="1"/>
        </w:numPr>
        <w:rPr>
          <w:b/>
          <w:bCs/>
        </w:rPr>
      </w:pPr>
      <w:r w:rsidRPr="002E1243">
        <w:rPr>
          <w:b/>
          <w:bCs/>
        </w:rPr>
        <w:t xml:space="preserve">Is there a case for lowering the level of interchange benchmarks or caps? Should the difference between the interchange fees paid by big and small businesses be limited in some way? </w:t>
      </w:r>
    </w:p>
    <w:p w14:paraId="712E226A" w14:textId="29803347" w:rsidR="00C939D0" w:rsidRDefault="7399867E" w:rsidP="00C939D0">
      <w:pPr>
        <w:ind w:left="720"/>
      </w:pPr>
      <w:r>
        <w:t>As a prepaid card issuer, EML Australia derives revenue</w:t>
      </w:r>
      <w:r w:rsidR="0001713E">
        <w:t>s</w:t>
      </w:r>
      <w:r>
        <w:t xml:space="preserve"> from</w:t>
      </w:r>
      <w:r w:rsidR="3222FDB3">
        <w:t xml:space="preserve"> </w:t>
      </w:r>
      <w:r w:rsidR="00030EB6">
        <w:t xml:space="preserve">interest revenues, </w:t>
      </w:r>
      <w:r w:rsidR="00AF1C4A">
        <w:t xml:space="preserve">transaction revenues, </w:t>
      </w:r>
      <w:r w:rsidR="001D621A">
        <w:t xml:space="preserve">interchange revenues, </w:t>
      </w:r>
      <w:r w:rsidR="00666078">
        <w:t>breakage revenues (where appropriate)</w:t>
      </w:r>
      <w:r w:rsidR="00857E61">
        <w:t xml:space="preserve">, foreign </w:t>
      </w:r>
      <w:r w:rsidR="00DC5E19">
        <w:t xml:space="preserve">exchange revenues and other service fees.  </w:t>
      </w:r>
      <w:r w:rsidR="3B11EAAF">
        <w:t xml:space="preserve">Prepaid card interchange (which is significantly lower than credit card interchange) represents only a small proportion of </w:t>
      </w:r>
      <w:r w:rsidR="002069B7">
        <w:t>EML Australia’s</w:t>
      </w:r>
      <w:r w:rsidR="3B11EAAF">
        <w:t xml:space="preserve"> total revenue</w:t>
      </w:r>
      <w:r w:rsidR="315D468B">
        <w:t xml:space="preserve">, </w:t>
      </w:r>
      <w:r w:rsidR="00A015C7">
        <w:t>however,</w:t>
      </w:r>
      <w:r w:rsidR="315D468B">
        <w:t xml:space="preserve"> </w:t>
      </w:r>
      <w:r w:rsidR="0096011B">
        <w:t xml:space="preserve">contributes to </w:t>
      </w:r>
      <w:r w:rsidR="00FA6DC9">
        <w:t>offsetting some</w:t>
      </w:r>
      <w:r w:rsidR="00F11C68">
        <w:t xml:space="preserve"> </w:t>
      </w:r>
      <w:r w:rsidR="002E1FB4">
        <w:t xml:space="preserve">of the </w:t>
      </w:r>
      <w:r w:rsidR="315D468B">
        <w:t>costs associated with card issuance</w:t>
      </w:r>
      <w:r w:rsidR="002D4B0B">
        <w:t>, processing and program management</w:t>
      </w:r>
      <w:r w:rsidR="315D468B">
        <w:t xml:space="preserve"> </w:t>
      </w:r>
      <w:r w:rsidR="00E45A08">
        <w:t>including</w:t>
      </w:r>
      <w:r w:rsidR="00721AC6">
        <w:t xml:space="preserve"> </w:t>
      </w:r>
      <w:r w:rsidR="329DCCF8">
        <w:t xml:space="preserve">scheme fees, </w:t>
      </w:r>
      <w:r w:rsidR="00587AB1">
        <w:t xml:space="preserve">technology and </w:t>
      </w:r>
      <w:r w:rsidR="315D468B">
        <w:t>processing costs, compliance</w:t>
      </w:r>
      <w:r w:rsidR="00C40CF4">
        <w:t>, fraud and risk management</w:t>
      </w:r>
      <w:r w:rsidR="315D468B">
        <w:t xml:space="preserve"> and customer s</w:t>
      </w:r>
      <w:r w:rsidR="21CB59D3">
        <w:t>upport</w:t>
      </w:r>
      <w:r w:rsidR="001928A9">
        <w:t xml:space="preserve"> </w:t>
      </w:r>
      <w:r w:rsidR="00336FAD">
        <w:t xml:space="preserve">and servicing </w:t>
      </w:r>
      <w:r w:rsidR="001928A9">
        <w:t>costs</w:t>
      </w:r>
      <w:r w:rsidR="21CB59D3">
        <w:t xml:space="preserve">.  </w:t>
      </w:r>
      <w:r w:rsidR="7453FBC5">
        <w:t xml:space="preserve">By way of example, scheme costs paid by a prepaid issuer such as </w:t>
      </w:r>
      <w:r w:rsidR="00233A6E">
        <w:t>EML Australia</w:t>
      </w:r>
      <w:r w:rsidR="007D784A">
        <w:t xml:space="preserve"> materially</w:t>
      </w:r>
      <w:r w:rsidR="7453FBC5">
        <w:t xml:space="preserve"> </w:t>
      </w:r>
      <w:r w:rsidR="004D1195">
        <w:t>exceed the</w:t>
      </w:r>
      <w:r w:rsidR="7453FBC5">
        <w:t xml:space="preserve"> interchange we receive on s</w:t>
      </w:r>
      <w:r w:rsidR="21E814B6">
        <w:t>cheme transactions.</w:t>
      </w:r>
      <w:r w:rsidR="00F05666">
        <w:t xml:space="preserve">  </w:t>
      </w:r>
      <w:r w:rsidR="00742C50">
        <w:t xml:space="preserve">  </w:t>
      </w:r>
    </w:p>
    <w:p w14:paraId="7AED16B8" w14:textId="0EB95680" w:rsidR="00C939D0" w:rsidRDefault="5740B5E0" w:rsidP="00C939D0">
      <w:pPr>
        <w:ind w:left="720"/>
      </w:pPr>
      <w:r>
        <w:t xml:space="preserve">If interchange fees applicable to EML Australia’s products were reduced, EML </w:t>
      </w:r>
      <w:r w:rsidR="68A980C6">
        <w:t xml:space="preserve">Australia </w:t>
      </w:r>
      <w:r>
        <w:t>would</w:t>
      </w:r>
      <w:r w:rsidR="6E067FB2">
        <w:t xml:space="preserve"> either</w:t>
      </w:r>
      <w:r w:rsidR="00465DED">
        <w:t xml:space="preserve">, </w:t>
      </w:r>
      <w:r w:rsidR="00D030D9">
        <w:t>to</w:t>
      </w:r>
      <w:r w:rsidR="00465DED">
        <w:t xml:space="preserve"> keep current margins</w:t>
      </w:r>
      <w:r w:rsidR="6E067FB2">
        <w:t>:</w:t>
      </w:r>
    </w:p>
    <w:p w14:paraId="29802B64" w14:textId="350D5ADE" w:rsidR="00514899" w:rsidRDefault="5740B5E0" w:rsidP="00514899">
      <w:pPr>
        <w:pStyle w:val="ListParagraph"/>
        <w:numPr>
          <w:ilvl w:val="0"/>
          <w:numId w:val="3"/>
        </w:numPr>
      </w:pPr>
      <w:r>
        <w:t xml:space="preserve">increase other charges payable directly by </w:t>
      </w:r>
      <w:r w:rsidR="007A2474">
        <w:t xml:space="preserve">our clients and / end </w:t>
      </w:r>
      <w:r>
        <w:t xml:space="preserve">cardholders to cover these costs, </w:t>
      </w:r>
      <w:r w:rsidR="00894C90">
        <w:t>introducing</w:t>
      </w:r>
      <w:r w:rsidR="00B86EAC">
        <w:t xml:space="preserve"> additional </w:t>
      </w:r>
      <w:r w:rsidR="001802F7">
        <w:t xml:space="preserve">fees </w:t>
      </w:r>
      <w:r>
        <w:t>such as</w:t>
      </w:r>
      <w:r w:rsidR="3D3873B2">
        <w:t xml:space="preserve"> periodic cardholder fees and </w:t>
      </w:r>
      <w:r w:rsidR="00C96D7D">
        <w:t xml:space="preserve">or </w:t>
      </w:r>
      <w:r w:rsidR="3D3873B2">
        <w:t>transaction based charges</w:t>
      </w:r>
      <w:r w:rsidR="6DFFD4E2">
        <w:t>;</w:t>
      </w:r>
      <w:r w:rsidR="10E55CB7">
        <w:t xml:space="preserve"> and/or</w:t>
      </w:r>
    </w:p>
    <w:p w14:paraId="309674FF" w14:textId="080B0309" w:rsidR="00C939D0" w:rsidRDefault="6DFFD4E2" w:rsidP="00514899">
      <w:pPr>
        <w:pStyle w:val="ListParagraph"/>
        <w:numPr>
          <w:ilvl w:val="0"/>
          <w:numId w:val="3"/>
        </w:numPr>
      </w:pPr>
      <w:r>
        <w:lastRenderedPageBreak/>
        <w:t>find other cost savings, such as reducing our ongoing investment in new products and technology</w:t>
      </w:r>
      <w:r w:rsidR="00597193">
        <w:t xml:space="preserve"> and / reducing overheads</w:t>
      </w:r>
      <w:r w:rsidR="00D90363">
        <w:t xml:space="preserve"> including employee costs</w:t>
      </w:r>
      <w:r>
        <w:t>.</w:t>
      </w:r>
    </w:p>
    <w:p w14:paraId="0F12006A" w14:textId="66607803" w:rsidR="00C939D0" w:rsidRDefault="0F1C51BF" w:rsidP="429FF6A3">
      <w:pPr>
        <w:ind w:left="720"/>
      </w:pPr>
      <w:r>
        <w:t>Indeed, this is the outcome that eventuated from the RBA’s previous introduction of caps on interchange, which largely resulted in the cost of card use being pushed onto consumers, through the introducti</w:t>
      </w:r>
      <w:r w:rsidR="5762EBC1">
        <w:t>on of new cardholder fees</w:t>
      </w:r>
      <w:r w:rsidR="484C5457">
        <w:t xml:space="preserve"> and charges and the reduction of other card benefits offered</w:t>
      </w:r>
      <w:r w:rsidR="5762EBC1">
        <w:t>.  While we appreciate there needs to be an appropri</w:t>
      </w:r>
      <w:r w:rsidR="630256FF">
        <w:t xml:space="preserve">ate allocation of costs of payment between merchants and consumers, </w:t>
      </w:r>
      <w:r w:rsidR="23E63FC6">
        <w:t xml:space="preserve">reducing interchange is likely to further shift the cost of payments from merchants to </w:t>
      </w:r>
      <w:r w:rsidR="00DB1EED">
        <w:t>customers</w:t>
      </w:r>
      <w:r w:rsidR="00606D07">
        <w:t xml:space="preserve"> and/or </w:t>
      </w:r>
      <w:r w:rsidR="00B71E6A">
        <w:t>cardholders</w:t>
      </w:r>
      <w:r w:rsidR="2CE220B9">
        <w:t xml:space="preserve">.  </w:t>
      </w:r>
    </w:p>
    <w:p w14:paraId="1A4B10BB" w14:textId="7994B6C1" w:rsidR="00C939D0" w:rsidRDefault="1674907F" w:rsidP="429FF6A3">
      <w:pPr>
        <w:ind w:left="720"/>
      </w:pPr>
      <w:r>
        <w:t xml:space="preserve">Given card based payments are widely </w:t>
      </w:r>
      <w:r w:rsidR="5BAA0466">
        <w:t xml:space="preserve">recognised </w:t>
      </w:r>
      <w:r>
        <w:t>as being cheaper for merchants than either cash or BNPL transactions,</w:t>
      </w:r>
      <w:r w:rsidR="56869898">
        <w:t xml:space="preserve"> but scheme transactions offer other benefits such as chargeback and fraud protections, we do not believe there is a justification for further regulatory intervention on interchange fees.</w:t>
      </w:r>
    </w:p>
    <w:p w14:paraId="67D6BA86" w14:textId="77777777" w:rsidR="003053D2" w:rsidRDefault="003053D2" w:rsidP="003053D2">
      <w:pPr>
        <w:pStyle w:val="ListParagraph"/>
      </w:pPr>
    </w:p>
    <w:p w14:paraId="7B37B935" w14:textId="54E84065" w:rsidR="003053D2" w:rsidRPr="002E1243" w:rsidRDefault="003053D2" w:rsidP="003053D2">
      <w:pPr>
        <w:pStyle w:val="ListParagraph"/>
        <w:numPr>
          <w:ilvl w:val="0"/>
          <w:numId w:val="1"/>
        </w:numPr>
        <w:rPr>
          <w:b/>
          <w:bCs/>
        </w:rPr>
      </w:pPr>
      <w:r w:rsidRPr="002E1243">
        <w:rPr>
          <w:b/>
          <w:bCs/>
        </w:rPr>
        <w:t xml:space="preserve">Should interchange regulation be extended to foreign card transactions in Australia? </w:t>
      </w:r>
      <w:r w:rsidR="007356B5" w:rsidRPr="002E1243">
        <w:rPr>
          <w:b/>
          <w:bCs/>
        </w:rPr>
        <w:br/>
      </w:r>
    </w:p>
    <w:p w14:paraId="176EA711" w14:textId="025F4861" w:rsidR="167CD059" w:rsidRDefault="167CD059" w:rsidP="429FF6A3">
      <w:pPr>
        <w:pStyle w:val="ListParagraph"/>
      </w:pPr>
      <w:r>
        <w:t xml:space="preserve">Although EML </w:t>
      </w:r>
      <w:r w:rsidR="0746A479">
        <w:t>Australia does not benefit from foreign card interchange (with our cards being issued locally for domestic use), EML Australia considers that the application of Australian interchange regu</w:t>
      </w:r>
      <w:r w:rsidR="537E8FAF">
        <w:t>lation to foreign cards is both unnecessary and inappropriate.</w:t>
      </w:r>
    </w:p>
    <w:p w14:paraId="74652EB4" w14:textId="76D98E78" w:rsidR="429FF6A3" w:rsidRDefault="429FF6A3" w:rsidP="429FF6A3">
      <w:pPr>
        <w:pStyle w:val="ListParagraph"/>
      </w:pPr>
    </w:p>
    <w:p w14:paraId="03BC9CCE" w14:textId="4F295EC5" w:rsidR="6B986514" w:rsidRDefault="6B986514" w:rsidP="429FF6A3">
      <w:pPr>
        <w:pStyle w:val="ListParagraph"/>
      </w:pPr>
      <w:r>
        <w:t>As noted in the Issues Paper, t</w:t>
      </w:r>
      <w:r w:rsidR="537E8FAF">
        <w:t>he volume of international transactions in Australia</w:t>
      </w:r>
      <w:r w:rsidR="5C8854F8">
        <w:t xml:space="preserve"> is low, and</w:t>
      </w:r>
      <w:r w:rsidR="77B55AA2">
        <w:t xml:space="preserve"> largely </w:t>
      </w:r>
      <w:r w:rsidR="351425E0">
        <w:t>represents local purchases</w:t>
      </w:r>
      <w:r w:rsidR="77B55AA2">
        <w:t xml:space="preserve"> undertaken by foreign tourists.  Interchange regulation in Australia has been based on extensive research by the RBA regarding costs of issuance</w:t>
      </w:r>
      <w:r w:rsidR="53C0143C">
        <w:t>, extensive local industry consultation</w:t>
      </w:r>
      <w:r w:rsidR="77B55AA2">
        <w:t xml:space="preserve"> and an in depth understanding of loc</w:t>
      </w:r>
      <w:r w:rsidR="47BD5E56">
        <w:t>al business models.  The costs and business models of issuers in other jurisdictions will naturally vary</w:t>
      </w:r>
      <w:r w:rsidR="6CD63685">
        <w:t>.  F</w:t>
      </w:r>
      <w:r w:rsidR="47BD5E56">
        <w:t xml:space="preserve">or instance, there are </w:t>
      </w:r>
      <w:proofErr w:type="gramStart"/>
      <w:r w:rsidR="47BD5E56">
        <w:t>a number of</w:t>
      </w:r>
      <w:proofErr w:type="gramEnd"/>
      <w:r w:rsidR="47BD5E56">
        <w:t xml:space="preserve"> global travel cards issued that </w:t>
      </w:r>
      <w:r w:rsidR="34300480">
        <w:t xml:space="preserve">(supported by higher interchange rates) </w:t>
      </w:r>
      <w:r w:rsidR="47BD5E56">
        <w:t>do not charge curre</w:t>
      </w:r>
      <w:r w:rsidR="13FE4D66">
        <w:t>ncy conversion fees, offering travellers a highly convenient, low cost option for paying for goods and services in Australia</w:t>
      </w:r>
      <w:r w:rsidR="20E4192D">
        <w:t>.</w:t>
      </w:r>
    </w:p>
    <w:p w14:paraId="6D0883A3" w14:textId="166EB588" w:rsidR="429FF6A3" w:rsidRDefault="429FF6A3" w:rsidP="429FF6A3">
      <w:pPr>
        <w:pStyle w:val="ListParagraph"/>
      </w:pPr>
    </w:p>
    <w:p w14:paraId="0DFB9268" w14:textId="790F29A2" w:rsidR="17DCF06E" w:rsidRDefault="17DCF06E" w:rsidP="429FF6A3">
      <w:pPr>
        <w:pStyle w:val="ListParagraph"/>
      </w:pPr>
      <w:r>
        <w:t xml:space="preserve">The introduction of interchange caps on foreign cards </w:t>
      </w:r>
      <w:r w:rsidR="4A68117E">
        <w:t>will be a blunt instrument that</w:t>
      </w:r>
      <w:r w:rsidR="78C46B1C">
        <w:t xml:space="preserve"> may have unintended consequences, such as leading foreign card issuers to block or restrict the use of foreign cards in </w:t>
      </w:r>
      <w:r w:rsidR="00C23815">
        <w:t>Australia or</w:t>
      </w:r>
      <w:r w:rsidR="78C46B1C">
        <w:t xml:space="preserve"> imposing other prohibitive fees on users.</w:t>
      </w:r>
      <w:r w:rsidR="604B1DD2">
        <w:t xml:space="preserve">  </w:t>
      </w:r>
    </w:p>
    <w:p w14:paraId="6D0F4178" w14:textId="251FBC0A" w:rsidR="429FF6A3" w:rsidRDefault="429FF6A3" w:rsidP="429FF6A3">
      <w:pPr>
        <w:pStyle w:val="ListParagraph"/>
      </w:pPr>
    </w:p>
    <w:p w14:paraId="23C92F00" w14:textId="5DFCA708" w:rsidR="003053D2" w:rsidRDefault="3F3D25B4" w:rsidP="003053D2">
      <w:pPr>
        <w:pStyle w:val="ListParagraph"/>
      </w:pPr>
      <w:r>
        <w:t xml:space="preserve">Moreover, the RBA’s previous actions in working with schemes to </w:t>
      </w:r>
      <w:r w:rsidR="78C36480">
        <w:t>restrict</w:t>
      </w:r>
      <w:r>
        <w:t xml:space="preserve"> business models that might circumvent local interchange caps by using foreign issued cards</w:t>
      </w:r>
      <w:r w:rsidR="4869E83B">
        <w:t xml:space="preserve">, shows </w:t>
      </w:r>
      <w:r w:rsidR="365F1784">
        <w:t>that any problematic behaviour can be addressed without further regulation.</w:t>
      </w:r>
    </w:p>
    <w:p w14:paraId="11BD7440" w14:textId="77777777" w:rsidR="00C23815" w:rsidRDefault="00C23815" w:rsidP="003053D2">
      <w:pPr>
        <w:pStyle w:val="ListParagraph"/>
      </w:pPr>
    </w:p>
    <w:p w14:paraId="68F9A036" w14:textId="77777777" w:rsidR="003053D2" w:rsidRPr="009728F4" w:rsidRDefault="003053D2" w:rsidP="003053D2">
      <w:pPr>
        <w:pStyle w:val="ListParagraph"/>
        <w:numPr>
          <w:ilvl w:val="0"/>
          <w:numId w:val="1"/>
        </w:numPr>
        <w:rPr>
          <w:b/>
          <w:bCs/>
        </w:rPr>
      </w:pPr>
      <w:r w:rsidRPr="009728F4">
        <w:rPr>
          <w:b/>
          <w:bCs/>
        </w:rPr>
        <w:t xml:space="preserve">Is there a case for reducing the complexity, and/or enhancing the transparency, of interchange fees? If so, how? </w:t>
      </w:r>
    </w:p>
    <w:p w14:paraId="31D8F328" w14:textId="77777777" w:rsidR="00195FF5" w:rsidRDefault="00195FF5" w:rsidP="007A1FCF">
      <w:pPr>
        <w:pStyle w:val="ListParagraph"/>
      </w:pPr>
    </w:p>
    <w:p w14:paraId="6E6F9E58" w14:textId="23038E0B" w:rsidR="00E251A2" w:rsidRDefault="00E251A2" w:rsidP="007A1FCF">
      <w:pPr>
        <w:pStyle w:val="ListParagraph"/>
      </w:pPr>
      <w:r>
        <w:t xml:space="preserve">EML Australia considers that </w:t>
      </w:r>
      <w:r w:rsidR="00D63FA5">
        <w:t>interchange</w:t>
      </w:r>
      <w:r w:rsidR="00B4767A">
        <w:t xml:space="preserve"> fees</w:t>
      </w:r>
      <w:r w:rsidR="00D63FA5">
        <w:t xml:space="preserve"> </w:t>
      </w:r>
      <w:r w:rsidR="00B4767A">
        <w:t>are</w:t>
      </w:r>
      <w:r w:rsidR="00205012">
        <w:t xml:space="preserve"> technically</w:t>
      </w:r>
      <w:r w:rsidR="00B4767A">
        <w:t xml:space="preserve"> transparent</w:t>
      </w:r>
      <w:r w:rsidR="00616A2E">
        <w:t xml:space="preserve">, for example, base interchange rates are set out </w:t>
      </w:r>
      <w:r w:rsidR="006C4F54">
        <w:t>for different BINS e.g. for a standard credit or debit BIN</w:t>
      </w:r>
      <w:r w:rsidR="00D63FA5">
        <w:t xml:space="preserve">, however it can be </w:t>
      </w:r>
      <w:r w:rsidR="00205012">
        <w:t>challenging to determine the applicable fee</w:t>
      </w:r>
      <w:r w:rsidR="00480F67">
        <w:t xml:space="preserve"> given the number of </w:t>
      </w:r>
      <w:r w:rsidR="00480F67">
        <w:lastRenderedPageBreak/>
        <w:t>options and limited criteria for assessing applicability</w:t>
      </w:r>
      <w:r w:rsidR="007E7E29">
        <w:t>; the scheme fee manual is extensive</w:t>
      </w:r>
      <w:r w:rsidR="00480F67">
        <w:t xml:space="preserve">. </w:t>
      </w:r>
    </w:p>
    <w:p w14:paraId="63DD3A88" w14:textId="77777777" w:rsidR="00B4767A" w:rsidRDefault="00B4767A" w:rsidP="007A1FCF">
      <w:pPr>
        <w:pStyle w:val="ListParagraph"/>
      </w:pPr>
    </w:p>
    <w:p w14:paraId="728D6805" w14:textId="4DC666AE" w:rsidR="007A1FCF" w:rsidRDefault="00480F67" w:rsidP="00C23815">
      <w:pPr>
        <w:pStyle w:val="ListParagraph"/>
      </w:pPr>
      <w:r>
        <w:t>In addition</w:t>
      </w:r>
      <w:r w:rsidR="00B4767A">
        <w:t xml:space="preserve">, </w:t>
      </w:r>
      <w:r w:rsidR="00E020E0">
        <w:t xml:space="preserve">in </w:t>
      </w:r>
      <w:r>
        <w:t>some</w:t>
      </w:r>
      <w:r w:rsidR="00E020E0">
        <w:t xml:space="preserve"> instances the way in which the scheme fees are charged </w:t>
      </w:r>
      <w:r w:rsidR="004416D4">
        <w:t>is</w:t>
      </w:r>
      <w:r w:rsidR="00E020E0">
        <w:t xml:space="preserve"> complex and can vary depending on</w:t>
      </w:r>
      <w:r w:rsidR="00C7425E">
        <w:t xml:space="preserve"> merchant and location. </w:t>
      </w:r>
      <w:r w:rsidR="00374FD5">
        <w:t>Spend data at the merchant level needs to be measured to calculate the interchange</w:t>
      </w:r>
      <w:r w:rsidR="004416D4">
        <w:t xml:space="preserve"> payable</w:t>
      </w:r>
      <w:r w:rsidR="00BF5DBC">
        <w:t xml:space="preserve">, therefore changes </w:t>
      </w:r>
      <w:r w:rsidR="004416D4">
        <w:t xml:space="preserve">outside the control of EML Australia e.g. in </w:t>
      </w:r>
      <w:r w:rsidR="00BF5DBC">
        <w:t>customer behaviours</w:t>
      </w:r>
      <w:r w:rsidR="004416D4">
        <w:t>,</w:t>
      </w:r>
      <w:r w:rsidR="00BF5DBC">
        <w:t xml:space="preserve"> can impact the appliable rate. </w:t>
      </w:r>
    </w:p>
    <w:p w14:paraId="4B842310" w14:textId="77777777" w:rsidR="003053D2" w:rsidRDefault="003053D2" w:rsidP="003053D2">
      <w:pPr>
        <w:pStyle w:val="ListParagraph"/>
      </w:pPr>
    </w:p>
    <w:p w14:paraId="15076C14" w14:textId="1295EBF9" w:rsidR="003053D2" w:rsidRPr="009728F4" w:rsidRDefault="003053D2" w:rsidP="003053D2">
      <w:pPr>
        <w:pStyle w:val="ListParagraph"/>
        <w:numPr>
          <w:ilvl w:val="0"/>
          <w:numId w:val="1"/>
        </w:numPr>
        <w:rPr>
          <w:b/>
          <w:bCs/>
        </w:rPr>
      </w:pPr>
      <w:r w:rsidRPr="009728F4">
        <w:rPr>
          <w:b/>
          <w:bCs/>
        </w:rPr>
        <w:t xml:space="preserve">Is there a case for further transparency of scheme fees to promote efficiency and competition? If so, what additional information would be beneficial? </w:t>
      </w:r>
    </w:p>
    <w:p w14:paraId="58C9F6FB" w14:textId="77777777" w:rsidR="003053D2" w:rsidRDefault="003053D2" w:rsidP="003053D2">
      <w:pPr>
        <w:pStyle w:val="ListParagraph"/>
      </w:pPr>
    </w:p>
    <w:p w14:paraId="7C94E612" w14:textId="4A3211F5" w:rsidR="00014D9A" w:rsidRDefault="00582DF1" w:rsidP="009728F4">
      <w:pPr>
        <w:pStyle w:val="ListParagraph"/>
      </w:pPr>
      <w:r>
        <w:t xml:space="preserve">As an issuer, </w:t>
      </w:r>
      <w:r w:rsidR="001A5908">
        <w:t xml:space="preserve">EML Australia believes there is a case for further transparency, particularly </w:t>
      </w:r>
      <w:r w:rsidR="00014D9A">
        <w:t>around the introduction of new fees</w:t>
      </w:r>
      <w:r w:rsidR="005B282A">
        <w:t xml:space="preserve"> the scheme unilaterally introduces</w:t>
      </w:r>
      <w:r w:rsidR="004416D4">
        <w:t xml:space="preserve">, to ensure these are done </w:t>
      </w:r>
      <w:r w:rsidR="00616202">
        <w:t>at the appropriate time and with sufficient notice to issuers, as these will impact pre-existing customer contracts</w:t>
      </w:r>
      <w:r w:rsidR="00014D9A">
        <w:t>.</w:t>
      </w:r>
    </w:p>
    <w:p w14:paraId="19ACB10E" w14:textId="77777777" w:rsidR="00014D9A" w:rsidRDefault="00014D9A" w:rsidP="009728F4">
      <w:pPr>
        <w:pStyle w:val="ListParagraph"/>
      </w:pPr>
    </w:p>
    <w:p w14:paraId="5C614C40" w14:textId="56D334B0" w:rsidR="009728F4" w:rsidRDefault="00014D9A" w:rsidP="00C23815">
      <w:pPr>
        <w:pStyle w:val="ListParagraph"/>
      </w:pPr>
      <w:r>
        <w:t xml:space="preserve">EML Australia also considers that </w:t>
      </w:r>
      <w:r w:rsidR="00C35F3E">
        <w:t xml:space="preserve">efficiencies could be made by reducing the number of </w:t>
      </w:r>
      <w:r w:rsidR="00341631">
        <w:t>f</w:t>
      </w:r>
      <w:r w:rsidR="00C35F3E">
        <w:t xml:space="preserve">ees with </w:t>
      </w:r>
      <w:r w:rsidR="00341631">
        <w:t xml:space="preserve">similar but slightly differing </w:t>
      </w:r>
      <w:r w:rsidR="00C35F3E">
        <w:t>triggers</w:t>
      </w:r>
      <w:r w:rsidR="00341631">
        <w:t>.</w:t>
      </w:r>
    </w:p>
    <w:p w14:paraId="30BEE577" w14:textId="77777777" w:rsidR="00C23815" w:rsidRDefault="00C23815" w:rsidP="00C23815">
      <w:pPr>
        <w:pStyle w:val="ListParagraph"/>
      </w:pPr>
    </w:p>
    <w:p w14:paraId="7D6E9C29" w14:textId="4EEA15CC" w:rsidR="003053D2" w:rsidRPr="008669CC" w:rsidRDefault="003053D2" w:rsidP="003053D2">
      <w:pPr>
        <w:pStyle w:val="ListParagraph"/>
        <w:numPr>
          <w:ilvl w:val="0"/>
          <w:numId w:val="1"/>
        </w:numPr>
        <w:rPr>
          <w:b/>
          <w:bCs/>
        </w:rPr>
      </w:pPr>
      <w:r w:rsidRPr="008669CC">
        <w:rPr>
          <w:b/>
          <w:bCs/>
        </w:rPr>
        <w:t xml:space="preserve">Is there a case for regulatory action to reduce the complexity or growth of scheme fees? If so, what form should this take? </w:t>
      </w:r>
    </w:p>
    <w:p w14:paraId="371799E3" w14:textId="77777777" w:rsidR="00A10D4A" w:rsidRDefault="00A10D4A" w:rsidP="00A10D4A">
      <w:pPr>
        <w:pStyle w:val="ListParagraph"/>
      </w:pPr>
    </w:p>
    <w:p w14:paraId="450243D6" w14:textId="2BCD37C3" w:rsidR="00A10D4A" w:rsidRDefault="00023E24" w:rsidP="00A10D4A">
      <w:pPr>
        <w:pStyle w:val="ListParagraph"/>
      </w:pPr>
      <w:r>
        <w:t>EML Australia believes that</w:t>
      </w:r>
      <w:r w:rsidR="008669CC">
        <w:t xml:space="preserve">, while it is important that scheme fees are transparent and complexity is minimised, it does not consider that regulatory action is necessary to achieve this. </w:t>
      </w:r>
      <w:r w:rsidR="6BF62B7F">
        <w:t>Imposing additional layers of regulation increases costs and complexity for all market participants.  It also reduces the ability of market participants to innovate and create new products that ultimately benefit consumers and merchants.</w:t>
      </w:r>
    </w:p>
    <w:p w14:paraId="1769B96C" w14:textId="77777777" w:rsidR="003053D2" w:rsidRDefault="003053D2" w:rsidP="003053D2">
      <w:pPr>
        <w:pStyle w:val="ListParagraph"/>
      </w:pPr>
    </w:p>
    <w:p w14:paraId="611961F4" w14:textId="77777777" w:rsidR="003053D2" w:rsidRPr="00060A18" w:rsidRDefault="003053D2" w:rsidP="003053D2">
      <w:pPr>
        <w:pStyle w:val="ListParagraph"/>
        <w:numPr>
          <w:ilvl w:val="0"/>
          <w:numId w:val="1"/>
        </w:numPr>
        <w:rPr>
          <w:b/>
          <w:bCs/>
        </w:rPr>
      </w:pPr>
      <w:r w:rsidRPr="00060A18">
        <w:rPr>
          <w:b/>
          <w:bCs/>
        </w:rPr>
        <w:t xml:space="preserve">What other regulatory action should the RBA consider </w:t>
      </w:r>
      <w:proofErr w:type="gramStart"/>
      <w:r w:rsidRPr="00060A18">
        <w:rPr>
          <w:b/>
          <w:bCs/>
        </w:rPr>
        <w:t>to increase</w:t>
      </w:r>
      <w:proofErr w:type="gramEnd"/>
      <w:r w:rsidRPr="00060A18">
        <w:rPr>
          <w:b/>
          <w:bCs/>
        </w:rPr>
        <w:t xml:space="preserve"> the competitive pressure on scheme fees? </w:t>
      </w:r>
    </w:p>
    <w:p w14:paraId="25CFC574" w14:textId="77777777" w:rsidR="003053D2" w:rsidRDefault="003053D2" w:rsidP="003053D2">
      <w:pPr>
        <w:pStyle w:val="ListParagraph"/>
      </w:pPr>
    </w:p>
    <w:p w14:paraId="5A6ED855" w14:textId="4DE34381" w:rsidR="00060A18" w:rsidRDefault="00FF594E" w:rsidP="00060A18">
      <w:pPr>
        <w:pStyle w:val="ListParagraph"/>
      </w:pPr>
      <w:r>
        <w:t xml:space="preserve">EML doesn’t </w:t>
      </w:r>
      <w:r w:rsidR="572EBDBA">
        <w:t>consider</w:t>
      </w:r>
      <w:r>
        <w:t>, from a card issuing perspective</w:t>
      </w:r>
      <w:r w:rsidR="6C4DF7CD">
        <w:t>, that</w:t>
      </w:r>
      <w:r>
        <w:t xml:space="preserve"> the RBA is required to take regulatory action to increase the competitive pressure on scheme fees</w:t>
      </w:r>
      <w:r w:rsidR="6F666137">
        <w:t>. Instead,</w:t>
      </w:r>
      <w:r w:rsidR="009E5316">
        <w:t xml:space="preserve"> this can be directly </w:t>
      </w:r>
      <w:r w:rsidR="4B4FD6BA">
        <w:t>managed by</w:t>
      </w:r>
      <w:r w:rsidR="009E5316">
        <w:t xml:space="preserve"> the scheme</w:t>
      </w:r>
      <w:r w:rsidR="002C5C35">
        <w:t xml:space="preserve"> </w:t>
      </w:r>
      <w:r w:rsidR="74E303D7">
        <w:t>and its members</w:t>
      </w:r>
      <w:r w:rsidR="5FE51B40">
        <w:t>,</w:t>
      </w:r>
      <w:r w:rsidR="74E303D7">
        <w:t xml:space="preserve"> </w:t>
      </w:r>
      <w:r w:rsidR="00794BA2">
        <w:t>given increased competitive pressures between the schemes</w:t>
      </w:r>
      <w:r w:rsidR="00262B27">
        <w:t xml:space="preserve"> and </w:t>
      </w:r>
      <w:proofErr w:type="gramStart"/>
      <w:r w:rsidR="00262B27">
        <w:t>as a result of</w:t>
      </w:r>
      <w:proofErr w:type="gramEnd"/>
      <w:r w:rsidR="00262B27">
        <w:t xml:space="preserve"> </w:t>
      </w:r>
      <w:r w:rsidR="3F99BA68">
        <w:t>future</w:t>
      </w:r>
      <w:r w:rsidR="00262B27">
        <w:t xml:space="preserve"> competitive tension</w:t>
      </w:r>
      <w:r w:rsidR="0E67FA49">
        <w:t>s</w:t>
      </w:r>
      <w:r w:rsidR="00262B27">
        <w:t xml:space="preserve"> </w:t>
      </w:r>
      <w:r w:rsidR="0C03C2D6">
        <w:t>arising from the</w:t>
      </w:r>
      <w:r w:rsidR="00262B27">
        <w:t xml:space="preserve"> modernisation of payments.  </w:t>
      </w:r>
    </w:p>
    <w:p w14:paraId="766D4AEF" w14:textId="77777777" w:rsidR="002C5CCE" w:rsidRDefault="002C5CCE" w:rsidP="002C5CCE"/>
    <w:sectPr w:rsidR="002C5CCE">
      <w:footerReference w:type="even" r:id="rId10"/>
      <w:footerReference w:type="defaul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9B45A3" w14:textId="77777777" w:rsidR="0093726D" w:rsidRDefault="0093726D" w:rsidP="007F02EB">
      <w:pPr>
        <w:spacing w:after="0" w:line="240" w:lineRule="auto"/>
      </w:pPr>
      <w:r>
        <w:separator/>
      </w:r>
    </w:p>
  </w:endnote>
  <w:endnote w:type="continuationSeparator" w:id="0">
    <w:p w14:paraId="32FE39C7" w14:textId="77777777" w:rsidR="0093726D" w:rsidRDefault="0093726D" w:rsidP="007F02EB">
      <w:pPr>
        <w:spacing w:after="0" w:line="240" w:lineRule="auto"/>
      </w:pPr>
      <w:r>
        <w:continuationSeparator/>
      </w:r>
    </w:p>
  </w:endnote>
  <w:endnote w:type="continuationNotice" w:id="1">
    <w:p w14:paraId="106B1FC9" w14:textId="77777777" w:rsidR="0093726D" w:rsidRDefault="009372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0D27A6" w14:textId="77777777" w:rsidR="007F02EB" w:rsidRDefault="007F02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41CE6E" w14:textId="77777777" w:rsidR="007F02EB" w:rsidRDefault="007F02E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18B854" w14:textId="77777777" w:rsidR="007F02EB" w:rsidRDefault="007F02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ED93AE" w14:textId="77777777" w:rsidR="0093726D" w:rsidRDefault="0093726D" w:rsidP="007F02EB">
      <w:pPr>
        <w:spacing w:after="0" w:line="240" w:lineRule="auto"/>
      </w:pPr>
      <w:r>
        <w:separator/>
      </w:r>
    </w:p>
  </w:footnote>
  <w:footnote w:type="continuationSeparator" w:id="0">
    <w:p w14:paraId="505C54CF" w14:textId="77777777" w:rsidR="0093726D" w:rsidRDefault="0093726D" w:rsidP="007F02EB">
      <w:pPr>
        <w:spacing w:after="0" w:line="240" w:lineRule="auto"/>
      </w:pPr>
      <w:r>
        <w:continuationSeparator/>
      </w:r>
    </w:p>
  </w:footnote>
  <w:footnote w:type="continuationNotice" w:id="1">
    <w:p w14:paraId="6D54F463" w14:textId="77777777" w:rsidR="0093726D" w:rsidRDefault="0093726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3C76E0"/>
    <w:multiLevelType w:val="hybridMultilevel"/>
    <w:tmpl w:val="1D908FD6"/>
    <w:lvl w:ilvl="0" w:tplc="F8D8FDB2">
      <w:start w:val="2"/>
      <w:numFmt w:val="bullet"/>
      <w:lvlText w:val="-"/>
      <w:lvlJc w:val="left"/>
      <w:pPr>
        <w:ind w:left="1080" w:hanging="360"/>
      </w:pPr>
      <w:rPr>
        <w:rFonts w:ascii="Aptos" w:eastAsiaTheme="minorHAnsi" w:hAnsi="Aptos" w:cstheme="minorBid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 w15:restartNumberingAfterBreak="0">
    <w:nsid w:val="26E31983"/>
    <w:multiLevelType w:val="hybridMultilevel"/>
    <w:tmpl w:val="A9B061B4"/>
    <w:lvl w:ilvl="0" w:tplc="BE16F710">
      <w:start w:val="1"/>
      <w:numFmt w:val="lowerLetter"/>
      <w:lvlText w:val="(%1)"/>
      <w:lvlJc w:val="left"/>
      <w:pPr>
        <w:ind w:left="1440" w:hanging="72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 w15:restartNumberingAfterBreak="0">
    <w:nsid w:val="54465BCD"/>
    <w:multiLevelType w:val="hybridMultilevel"/>
    <w:tmpl w:val="BDDE9632"/>
    <w:lvl w:ilvl="0" w:tplc="C66CB088">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078091621">
    <w:abstractNumId w:val="2"/>
  </w:num>
  <w:num w:numId="2" w16cid:durableId="330178978">
    <w:abstractNumId w:val="0"/>
  </w:num>
  <w:num w:numId="3" w16cid:durableId="8726917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3053D2"/>
    <w:rsid w:val="00000BD1"/>
    <w:rsid w:val="000074C4"/>
    <w:rsid w:val="000105A0"/>
    <w:rsid w:val="00014D9A"/>
    <w:rsid w:val="0001713E"/>
    <w:rsid w:val="00020D6F"/>
    <w:rsid w:val="00023E24"/>
    <w:rsid w:val="00030EB6"/>
    <w:rsid w:val="00037930"/>
    <w:rsid w:val="00040FA8"/>
    <w:rsid w:val="00042CB3"/>
    <w:rsid w:val="00047311"/>
    <w:rsid w:val="00050EFE"/>
    <w:rsid w:val="00060A18"/>
    <w:rsid w:val="00061FC6"/>
    <w:rsid w:val="00094155"/>
    <w:rsid w:val="00095B47"/>
    <w:rsid w:val="000C60BB"/>
    <w:rsid w:val="000C66B5"/>
    <w:rsid w:val="000C6C48"/>
    <w:rsid w:val="000E105D"/>
    <w:rsid w:val="000E1787"/>
    <w:rsid w:val="000E1805"/>
    <w:rsid w:val="000E6A8F"/>
    <w:rsid w:val="000F505B"/>
    <w:rsid w:val="000F5096"/>
    <w:rsid w:val="00105A2B"/>
    <w:rsid w:val="00116C35"/>
    <w:rsid w:val="0012722D"/>
    <w:rsid w:val="001356D1"/>
    <w:rsid w:val="001531A0"/>
    <w:rsid w:val="001802F7"/>
    <w:rsid w:val="001804E9"/>
    <w:rsid w:val="001928A9"/>
    <w:rsid w:val="00195FF5"/>
    <w:rsid w:val="001A5908"/>
    <w:rsid w:val="001B3264"/>
    <w:rsid w:val="001D60CF"/>
    <w:rsid w:val="001D621A"/>
    <w:rsid w:val="001D7AE3"/>
    <w:rsid w:val="00200709"/>
    <w:rsid w:val="00205012"/>
    <w:rsid w:val="002069B7"/>
    <w:rsid w:val="00232486"/>
    <w:rsid w:val="00233A6E"/>
    <w:rsid w:val="00242CF7"/>
    <w:rsid w:val="00262B27"/>
    <w:rsid w:val="00263834"/>
    <w:rsid w:val="002648D5"/>
    <w:rsid w:val="0026594A"/>
    <w:rsid w:val="00271630"/>
    <w:rsid w:val="0027272C"/>
    <w:rsid w:val="00281159"/>
    <w:rsid w:val="00290FAA"/>
    <w:rsid w:val="002B02EA"/>
    <w:rsid w:val="002B559D"/>
    <w:rsid w:val="002B7944"/>
    <w:rsid w:val="002C0012"/>
    <w:rsid w:val="002C4C8C"/>
    <w:rsid w:val="002C5C35"/>
    <w:rsid w:val="002C5CCE"/>
    <w:rsid w:val="002D4B0B"/>
    <w:rsid w:val="002D59F1"/>
    <w:rsid w:val="002E1243"/>
    <w:rsid w:val="002E1FB4"/>
    <w:rsid w:val="002E59DB"/>
    <w:rsid w:val="002E5EB5"/>
    <w:rsid w:val="002E7513"/>
    <w:rsid w:val="002F6D8B"/>
    <w:rsid w:val="003053D2"/>
    <w:rsid w:val="00311850"/>
    <w:rsid w:val="0032507B"/>
    <w:rsid w:val="00326ADD"/>
    <w:rsid w:val="00334AB2"/>
    <w:rsid w:val="00336FAD"/>
    <w:rsid w:val="00341631"/>
    <w:rsid w:val="00365DE5"/>
    <w:rsid w:val="00374FD5"/>
    <w:rsid w:val="00387D09"/>
    <w:rsid w:val="00392ECF"/>
    <w:rsid w:val="003B4096"/>
    <w:rsid w:val="003E4C54"/>
    <w:rsid w:val="0040557E"/>
    <w:rsid w:val="00416945"/>
    <w:rsid w:val="00426DAE"/>
    <w:rsid w:val="004278B0"/>
    <w:rsid w:val="004367F4"/>
    <w:rsid w:val="00437573"/>
    <w:rsid w:val="004416D4"/>
    <w:rsid w:val="004437A1"/>
    <w:rsid w:val="004463DE"/>
    <w:rsid w:val="00447D99"/>
    <w:rsid w:val="00460162"/>
    <w:rsid w:val="004636EB"/>
    <w:rsid w:val="004651B1"/>
    <w:rsid w:val="00465DED"/>
    <w:rsid w:val="00471327"/>
    <w:rsid w:val="00480A1E"/>
    <w:rsid w:val="00480F67"/>
    <w:rsid w:val="00496838"/>
    <w:rsid w:val="004B269D"/>
    <w:rsid w:val="004C5919"/>
    <w:rsid w:val="004D0145"/>
    <w:rsid w:val="004D1195"/>
    <w:rsid w:val="004D66F4"/>
    <w:rsid w:val="004F4313"/>
    <w:rsid w:val="00506BE1"/>
    <w:rsid w:val="005076B8"/>
    <w:rsid w:val="00514899"/>
    <w:rsid w:val="00514DE5"/>
    <w:rsid w:val="00520F24"/>
    <w:rsid w:val="0053247F"/>
    <w:rsid w:val="0054192D"/>
    <w:rsid w:val="0054257B"/>
    <w:rsid w:val="005503C6"/>
    <w:rsid w:val="00582DF1"/>
    <w:rsid w:val="005859F4"/>
    <w:rsid w:val="00587AB1"/>
    <w:rsid w:val="00594DFB"/>
    <w:rsid w:val="00594F45"/>
    <w:rsid w:val="00597193"/>
    <w:rsid w:val="00597AF7"/>
    <w:rsid w:val="005A591B"/>
    <w:rsid w:val="005A785A"/>
    <w:rsid w:val="005B0A64"/>
    <w:rsid w:val="005B282A"/>
    <w:rsid w:val="005D124D"/>
    <w:rsid w:val="005E0E66"/>
    <w:rsid w:val="00604D0C"/>
    <w:rsid w:val="00606D07"/>
    <w:rsid w:val="00616202"/>
    <w:rsid w:val="00616A2E"/>
    <w:rsid w:val="00617DFC"/>
    <w:rsid w:val="00637A3B"/>
    <w:rsid w:val="0064047B"/>
    <w:rsid w:val="006554AE"/>
    <w:rsid w:val="00666078"/>
    <w:rsid w:val="00666B4A"/>
    <w:rsid w:val="00673044"/>
    <w:rsid w:val="00674D1A"/>
    <w:rsid w:val="006933B7"/>
    <w:rsid w:val="00695DA0"/>
    <w:rsid w:val="006A2F39"/>
    <w:rsid w:val="006B185B"/>
    <w:rsid w:val="006B3A0B"/>
    <w:rsid w:val="006C3F84"/>
    <w:rsid w:val="006C4F54"/>
    <w:rsid w:val="006E5219"/>
    <w:rsid w:val="006E6409"/>
    <w:rsid w:val="006E7AA7"/>
    <w:rsid w:val="0070217E"/>
    <w:rsid w:val="00721AC6"/>
    <w:rsid w:val="00726802"/>
    <w:rsid w:val="007356B5"/>
    <w:rsid w:val="00736066"/>
    <w:rsid w:val="00736F04"/>
    <w:rsid w:val="00742C50"/>
    <w:rsid w:val="00764DA3"/>
    <w:rsid w:val="00766651"/>
    <w:rsid w:val="00786024"/>
    <w:rsid w:val="00790544"/>
    <w:rsid w:val="00794BA2"/>
    <w:rsid w:val="007A1FCF"/>
    <w:rsid w:val="007A2474"/>
    <w:rsid w:val="007A3E98"/>
    <w:rsid w:val="007A5DD9"/>
    <w:rsid w:val="007B2377"/>
    <w:rsid w:val="007B4E77"/>
    <w:rsid w:val="007B521F"/>
    <w:rsid w:val="007B73FE"/>
    <w:rsid w:val="007C1A54"/>
    <w:rsid w:val="007D784A"/>
    <w:rsid w:val="007E3FDE"/>
    <w:rsid w:val="007E7E29"/>
    <w:rsid w:val="007F02EB"/>
    <w:rsid w:val="007F31DA"/>
    <w:rsid w:val="007F3364"/>
    <w:rsid w:val="0081464F"/>
    <w:rsid w:val="008179CF"/>
    <w:rsid w:val="00831F9D"/>
    <w:rsid w:val="0083239E"/>
    <w:rsid w:val="00837A31"/>
    <w:rsid w:val="0084026C"/>
    <w:rsid w:val="00842101"/>
    <w:rsid w:val="008439CD"/>
    <w:rsid w:val="008477B2"/>
    <w:rsid w:val="008534F8"/>
    <w:rsid w:val="0085479B"/>
    <w:rsid w:val="008552DE"/>
    <w:rsid w:val="00857E61"/>
    <w:rsid w:val="00862BD4"/>
    <w:rsid w:val="00862C5A"/>
    <w:rsid w:val="0086465E"/>
    <w:rsid w:val="008669CC"/>
    <w:rsid w:val="00873305"/>
    <w:rsid w:val="00892BF3"/>
    <w:rsid w:val="00894980"/>
    <w:rsid w:val="00894C90"/>
    <w:rsid w:val="008A385C"/>
    <w:rsid w:val="008A6069"/>
    <w:rsid w:val="008B2EBA"/>
    <w:rsid w:val="008C204F"/>
    <w:rsid w:val="008C4D80"/>
    <w:rsid w:val="008D6D1C"/>
    <w:rsid w:val="008E15A2"/>
    <w:rsid w:val="00922F98"/>
    <w:rsid w:val="00925319"/>
    <w:rsid w:val="00931935"/>
    <w:rsid w:val="00931DCE"/>
    <w:rsid w:val="0093726D"/>
    <w:rsid w:val="00944E60"/>
    <w:rsid w:val="0096011B"/>
    <w:rsid w:val="00960932"/>
    <w:rsid w:val="00964D77"/>
    <w:rsid w:val="00970969"/>
    <w:rsid w:val="009728F4"/>
    <w:rsid w:val="00973626"/>
    <w:rsid w:val="009765EE"/>
    <w:rsid w:val="00980A49"/>
    <w:rsid w:val="00983041"/>
    <w:rsid w:val="00996166"/>
    <w:rsid w:val="009A1FC0"/>
    <w:rsid w:val="009A7616"/>
    <w:rsid w:val="009B1C47"/>
    <w:rsid w:val="009B2273"/>
    <w:rsid w:val="009B6803"/>
    <w:rsid w:val="009B715F"/>
    <w:rsid w:val="009D0B75"/>
    <w:rsid w:val="009D30E0"/>
    <w:rsid w:val="009E0171"/>
    <w:rsid w:val="009E5316"/>
    <w:rsid w:val="009E5FF0"/>
    <w:rsid w:val="009E7FE8"/>
    <w:rsid w:val="00A00391"/>
    <w:rsid w:val="00A01222"/>
    <w:rsid w:val="00A015C7"/>
    <w:rsid w:val="00A07ECB"/>
    <w:rsid w:val="00A10409"/>
    <w:rsid w:val="00A10D4A"/>
    <w:rsid w:val="00A21D9A"/>
    <w:rsid w:val="00A24A58"/>
    <w:rsid w:val="00A320CE"/>
    <w:rsid w:val="00A52BBE"/>
    <w:rsid w:val="00A55DAF"/>
    <w:rsid w:val="00A72151"/>
    <w:rsid w:val="00A8656D"/>
    <w:rsid w:val="00A9616D"/>
    <w:rsid w:val="00AB0B29"/>
    <w:rsid w:val="00AC1673"/>
    <w:rsid w:val="00AD1F39"/>
    <w:rsid w:val="00AE1B3F"/>
    <w:rsid w:val="00AF1C4A"/>
    <w:rsid w:val="00AF20C8"/>
    <w:rsid w:val="00AF27BB"/>
    <w:rsid w:val="00AF2F6E"/>
    <w:rsid w:val="00B01B92"/>
    <w:rsid w:val="00B111E4"/>
    <w:rsid w:val="00B134F5"/>
    <w:rsid w:val="00B4767A"/>
    <w:rsid w:val="00B514E4"/>
    <w:rsid w:val="00B54450"/>
    <w:rsid w:val="00B60E1A"/>
    <w:rsid w:val="00B61B1B"/>
    <w:rsid w:val="00B6555A"/>
    <w:rsid w:val="00B71E6A"/>
    <w:rsid w:val="00B751F3"/>
    <w:rsid w:val="00B86EAC"/>
    <w:rsid w:val="00BB5A19"/>
    <w:rsid w:val="00BC19F2"/>
    <w:rsid w:val="00BC4DF8"/>
    <w:rsid w:val="00BE648B"/>
    <w:rsid w:val="00BF5DBC"/>
    <w:rsid w:val="00C220E3"/>
    <w:rsid w:val="00C23815"/>
    <w:rsid w:val="00C35F3E"/>
    <w:rsid w:val="00C40CF1"/>
    <w:rsid w:val="00C40CF4"/>
    <w:rsid w:val="00C43647"/>
    <w:rsid w:val="00C47CAA"/>
    <w:rsid w:val="00C562E3"/>
    <w:rsid w:val="00C64CE8"/>
    <w:rsid w:val="00C65ABB"/>
    <w:rsid w:val="00C6695C"/>
    <w:rsid w:val="00C7425E"/>
    <w:rsid w:val="00C939D0"/>
    <w:rsid w:val="00C96D7D"/>
    <w:rsid w:val="00CF4EFC"/>
    <w:rsid w:val="00D00C21"/>
    <w:rsid w:val="00D030D9"/>
    <w:rsid w:val="00D10667"/>
    <w:rsid w:val="00D1337E"/>
    <w:rsid w:val="00D2410F"/>
    <w:rsid w:val="00D336EB"/>
    <w:rsid w:val="00D553D9"/>
    <w:rsid w:val="00D62236"/>
    <w:rsid w:val="00D63AC6"/>
    <w:rsid w:val="00D63FA5"/>
    <w:rsid w:val="00D71CCA"/>
    <w:rsid w:val="00D76C99"/>
    <w:rsid w:val="00D86206"/>
    <w:rsid w:val="00D86B2E"/>
    <w:rsid w:val="00D90363"/>
    <w:rsid w:val="00DB1EED"/>
    <w:rsid w:val="00DB2054"/>
    <w:rsid w:val="00DC5E19"/>
    <w:rsid w:val="00DD0BED"/>
    <w:rsid w:val="00DD0C36"/>
    <w:rsid w:val="00DE153C"/>
    <w:rsid w:val="00DE42DF"/>
    <w:rsid w:val="00DE4CDE"/>
    <w:rsid w:val="00E020E0"/>
    <w:rsid w:val="00E04EA4"/>
    <w:rsid w:val="00E17FCD"/>
    <w:rsid w:val="00E251A2"/>
    <w:rsid w:val="00E25525"/>
    <w:rsid w:val="00E303D6"/>
    <w:rsid w:val="00E45A08"/>
    <w:rsid w:val="00E46DEF"/>
    <w:rsid w:val="00E473AD"/>
    <w:rsid w:val="00E538C1"/>
    <w:rsid w:val="00E56312"/>
    <w:rsid w:val="00E66543"/>
    <w:rsid w:val="00E72D38"/>
    <w:rsid w:val="00E74403"/>
    <w:rsid w:val="00E771ED"/>
    <w:rsid w:val="00E8668F"/>
    <w:rsid w:val="00E86EF6"/>
    <w:rsid w:val="00E966C1"/>
    <w:rsid w:val="00EA4F3E"/>
    <w:rsid w:val="00EB14E8"/>
    <w:rsid w:val="00EB6375"/>
    <w:rsid w:val="00EC1BD2"/>
    <w:rsid w:val="00EE62BA"/>
    <w:rsid w:val="00F01E32"/>
    <w:rsid w:val="00F05666"/>
    <w:rsid w:val="00F11C68"/>
    <w:rsid w:val="00F34221"/>
    <w:rsid w:val="00F41D9A"/>
    <w:rsid w:val="00F6602E"/>
    <w:rsid w:val="00F76288"/>
    <w:rsid w:val="00F91CAD"/>
    <w:rsid w:val="00FA07BC"/>
    <w:rsid w:val="00FA69CA"/>
    <w:rsid w:val="00FA6DC9"/>
    <w:rsid w:val="00FC5E89"/>
    <w:rsid w:val="00FC63E7"/>
    <w:rsid w:val="00FD2396"/>
    <w:rsid w:val="00FD6260"/>
    <w:rsid w:val="00FE44A2"/>
    <w:rsid w:val="00FE6C60"/>
    <w:rsid w:val="00FF021C"/>
    <w:rsid w:val="00FF594E"/>
    <w:rsid w:val="0107CD2C"/>
    <w:rsid w:val="0746A479"/>
    <w:rsid w:val="0950E7F3"/>
    <w:rsid w:val="09FD3A84"/>
    <w:rsid w:val="0AD1956A"/>
    <w:rsid w:val="0C03C2D6"/>
    <w:rsid w:val="0D86587E"/>
    <w:rsid w:val="0E67FA49"/>
    <w:rsid w:val="0E6E58AD"/>
    <w:rsid w:val="0F1C51BF"/>
    <w:rsid w:val="0FD25092"/>
    <w:rsid w:val="10E55CB7"/>
    <w:rsid w:val="13E8B54B"/>
    <w:rsid w:val="13FE4D66"/>
    <w:rsid w:val="1674907F"/>
    <w:rsid w:val="167CD059"/>
    <w:rsid w:val="17DCF06E"/>
    <w:rsid w:val="188E2D1A"/>
    <w:rsid w:val="19AA987D"/>
    <w:rsid w:val="1D291089"/>
    <w:rsid w:val="1E36115E"/>
    <w:rsid w:val="20E4192D"/>
    <w:rsid w:val="21CB59D3"/>
    <w:rsid w:val="21E814B6"/>
    <w:rsid w:val="23E63FC6"/>
    <w:rsid w:val="268F2C09"/>
    <w:rsid w:val="28727DD1"/>
    <w:rsid w:val="2CE220B9"/>
    <w:rsid w:val="2E256098"/>
    <w:rsid w:val="2F4BF65C"/>
    <w:rsid w:val="315D468B"/>
    <w:rsid w:val="3222FDB3"/>
    <w:rsid w:val="329DCCF8"/>
    <w:rsid w:val="34300480"/>
    <w:rsid w:val="351425E0"/>
    <w:rsid w:val="365F1784"/>
    <w:rsid w:val="3700FB07"/>
    <w:rsid w:val="3B11EAAF"/>
    <w:rsid w:val="3C706EEE"/>
    <w:rsid w:val="3D3873B2"/>
    <w:rsid w:val="3F3D25B4"/>
    <w:rsid w:val="3F99BA68"/>
    <w:rsid w:val="40D1B359"/>
    <w:rsid w:val="429FF6A3"/>
    <w:rsid w:val="44DA04F0"/>
    <w:rsid w:val="44DB6C5D"/>
    <w:rsid w:val="4537F7F0"/>
    <w:rsid w:val="47BD5E56"/>
    <w:rsid w:val="484C5457"/>
    <w:rsid w:val="4869E83B"/>
    <w:rsid w:val="4A68117E"/>
    <w:rsid w:val="4B4FD6BA"/>
    <w:rsid w:val="531B00B3"/>
    <w:rsid w:val="537E8FAF"/>
    <w:rsid w:val="53C0143C"/>
    <w:rsid w:val="540308CC"/>
    <w:rsid w:val="548A332D"/>
    <w:rsid w:val="54D3B05F"/>
    <w:rsid w:val="56869898"/>
    <w:rsid w:val="572EBDBA"/>
    <w:rsid w:val="5740B5E0"/>
    <w:rsid w:val="57557BC4"/>
    <w:rsid w:val="5762EBC1"/>
    <w:rsid w:val="5BAA0466"/>
    <w:rsid w:val="5C8854F8"/>
    <w:rsid w:val="5DFCA82A"/>
    <w:rsid w:val="5FE51B40"/>
    <w:rsid w:val="603C13BC"/>
    <w:rsid w:val="604B1DD2"/>
    <w:rsid w:val="60F93FE7"/>
    <w:rsid w:val="630256FF"/>
    <w:rsid w:val="642A7055"/>
    <w:rsid w:val="68A980C6"/>
    <w:rsid w:val="6B986514"/>
    <w:rsid w:val="6BF62B7F"/>
    <w:rsid w:val="6C4DF7CD"/>
    <w:rsid w:val="6CD63685"/>
    <w:rsid w:val="6DFFD4E2"/>
    <w:rsid w:val="6E067FB2"/>
    <w:rsid w:val="6F666137"/>
    <w:rsid w:val="71DE2732"/>
    <w:rsid w:val="7399867E"/>
    <w:rsid w:val="7453FBC5"/>
    <w:rsid w:val="7464E151"/>
    <w:rsid w:val="74E303D7"/>
    <w:rsid w:val="76678200"/>
    <w:rsid w:val="77B55AA2"/>
    <w:rsid w:val="78C36480"/>
    <w:rsid w:val="78C46B1C"/>
    <w:rsid w:val="7C6F526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EEFD3"/>
  <w15:chartTrackingRefBased/>
  <w15:docId w15:val="{6A8A1E3F-FCF5-4D3C-BED8-6B1ACD82E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53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53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53D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53D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53D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53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53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53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53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53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53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53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53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53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53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53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53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53D2"/>
    <w:rPr>
      <w:rFonts w:eastAsiaTheme="majorEastAsia" w:cstheme="majorBidi"/>
      <w:color w:val="272727" w:themeColor="text1" w:themeTint="D8"/>
    </w:rPr>
  </w:style>
  <w:style w:type="paragraph" w:styleId="Title">
    <w:name w:val="Title"/>
    <w:basedOn w:val="Normal"/>
    <w:next w:val="Normal"/>
    <w:link w:val="TitleChar"/>
    <w:uiPriority w:val="10"/>
    <w:qFormat/>
    <w:rsid w:val="003053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53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53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53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53D2"/>
    <w:pPr>
      <w:spacing w:before="160"/>
      <w:jc w:val="center"/>
    </w:pPr>
    <w:rPr>
      <w:i/>
      <w:iCs/>
      <w:color w:val="404040" w:themeColor="text1" w:themeTint="BF"/>
    </w:rPr>
  </w:style>
  <w:style w:type="character" w:customStyle="1" w:styleId="QuoteChar">
    <w:name w:val="Quote Char"/>
    <w:basedOn w:val="DefaultParagraphFont"/>
    <w:link w:val="Quote"/>
    <w:uiPriority w:val="29"/>
    <w:rsid w:val="003053D2"/>
    <w:rPr>
      <w:i/>
      <w:iCs/>
      <w:color w:val="404040" w:themeColor="text1" w:themeTint="BF"/>
    </w:rPr>
  </w:style>
  <w:style w:type="paragraph" w:styleId="ListParagraph">
    <w:name w:val="List Paragraph"/>
    <w:basedOn w:val="Normal"/>
    <w:uiPriority w:val="34"/>
    <w:qFormat/>
    <w:rsid w:val="003053D2"/>
    <w:pPr>
      <w:ind w:left="720"/>
      <w:contextualSpacing/>
    </w:pPr>
  </w:style>
  <w:style w:type="character" w:styleId="IntenseEmphasis">
    <w:name w:val="Intense Emphasis"/>
    <w:basedOn w:val="DefaultParagraphFont"/>
    <w:uiPriority w:val="21"/>
    <w:qFormat/>
    <w:rsid w:val="003053D2"/>
    <w:rPr>
      <w:i/>
      <w:iCs/>
      <w:color w:val="0F4761" w:themeColor="accent1" w:themeShade="BF"/>
    </w:rPr>
  </w:style>
  <w:style w:type="paragraph" w:styleId="IntenseQuote">
    <w:name w:val="Intense Quote"/>
    <w:basedOn w:val="Normal"/>
    <w:next w:val="Normal"/>
    <w:link w:val="IntenseQuoteChar"/>
    <w:uiPriority w:val="30"/>
    <w:qFormat/>
    <w:rsid w:val="003053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53D2"/>
    <w:rPr>
      <w:i/>
      <w:iCs/>
      <w:color w:val="0F4761" w:themeColor="accent1" w:themeShade="BF"/>
    </w:rPr>
  </w:style>
  <w:style w:type="character" w:styleId="IntenseReference">
    <w:name w:val="Intense Reference"/>
    <w:basedOn w:val="DefaultParagraphFont"/>
    <w:uiPriority w:val="32"/>
    <w:qFormat/>
    <w:rsid w:val="003053D2"/>
    <w:rPr>
      <w:b/>
      <w:bCs/>
      <w:smallCaps/>
      <w:color w:val="0F4761" w:themeColor="accent1" w:themeShade="BF"/>
      <w:spacing w:val="5"/>
    </w:rPr>
  </w:style>
  <w:style w:type="paragraph" w:styleId="Footer">
    <w:name w:val="footer"/>
    <w:basedOn w:val="Normal"/>
    <w:link w:val="FooterChar"/>
    <w:uiPriority w:val="99"/>
    <w:unhideWhenUsed/>
    <w:rsid w:val="007F02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2EB"/>
  </w:style>
  <w:style w:type="paragraph" w:customStyle="1" w:styleId="paragraph">
    <w:name w:val="paragraph"/>
    <w:basedOn w:val="Normal"/>
    <w:rsid w:val="00E56312"/>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character" w:styleId="CommentReference">
    <w:name w:val="annotation reference"/>
    <w:basedOn w:val="DefaultParagraphFont"/>
    <w:uiPriority w:val="99"/>
    <w:semiHidden/>
    <w:unhideWhenUsed/>
    <w:rsid w:val="00EE62BA"/>
    <w:rPr>
      <w:sz w:val="16"/>
      <w:szCs w:val="16"/>
    </w:rPr>
  </w:style>
  <w:style w:type="paragraph" w:styleId="CommentText">
    <w:name w:val="annotation text"/>
    <w:basedOn w:val="Normal"/>
    <w:link w:val="CommentTextChar"/>
    <w:uiPriority w:val="99"/>
    <w:unhideWhenUsed/>
    <w:rsid w:val="00EE62BA"/>
    <w:pPr>
      <w:spacing w:line="240" w:lineRule="auto"/>
    </w:pPr>
    <w:rPr>
      <w:sz w:val="20"/>
      <w:szCs w:val="20"/>
    </w:rPr>
  </w:style>
  <w:style w:type="character" w:customStyle="1" w:styleId="CommentTextChar">
    <w:name w:val="Comment Text Char"/>
    <w:basedOn w:val="DefaultParagraphFont"/>
    <w:link w:val="CommentText"/>
    <w:uiPriority w:val="99"/>
    <w:rsid w:val="00EE62BA"/>
    <w:rPr>
      <w:sz w:val="20"/>
      <w:szCs w:val="20"/>
    </w:rPr>
  </w:style>
  <w:style w:type="paragraph" w:styleId="CommentSubject">
    <w:name w:val="annotation subject"/>
    <w:basedOn w:val="CommentText"/>
    <w:next w:val="CommentText"/>
    <w:link w:val="CommentSubjectChar"/>
    <w:uiPriority w:val="99"/>
    <w:semiHidden/>
    <w:unhideWhenUsed/>
    <w:rsid w:val="00EE62BA"/>
    <w:rPr>
      <w:b/>
      <w:bCs/>
    </w:rPr>
  </w:style>
  <w:style w:type="character" w:customStyle="1" w:styleId="CommentSubjectChar">
    <w:name w:val="Comment Subject Char"/>
    <w:basedOn w:val="CommentTextChar"/>
    <w:link w:val="CommentSubject"/>
    <w:uiPriority w:val="99"/>
    <w:semiHidden/>
    <w:rsid w:val="00EE62BA"/>
    <w:rPr>
      <w:b/>
      <w:bCs/>
      <w:sz w:val="20"/>
      <w:szCs w:val="20"/>
    </w:rPr>
  </w:style>
  <w:style w:type="character" w:styleId="Mention">
    <w:name w:val="Mention"/>
    <w:basedOn w:val="DefaultParagraphFont"/>
    <w:uiPriority w:val="99"/>
    <w:unhideWhenUsed/>
    <w:rsid w:val="00311850"/>
    <w:rPr>
      <w:color w:val="2B579A"/>
      <w:shd w:val="clear" w:color="auto" w:fill="E1DFDD"/>
    </w:rPr>
  </w:style>
  <w:style w:type="paragraph" w:styleId="Header">
    <w:name w:val="header"/>
    <w:basedOn w:val="Normal"/>
    <w:link w:val="HeaderChar"/>
    <w:uiPriority w:val="99"/>
    <w:semiHidden/>
    <w:unhideWhenUsed/>
    <w:rsid w:val="005E0E6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C1A54"/>
  </w:style>
  <w:style w:type="paragraph" w:styleId="Revision">
    <w:name w:val="Revision"/>
    <w:hidden/>
    <w:uiPriority w:val="99"/>
    <w:semiHidden/>
    <w:rsid w:val="0083239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958894">
      <w:bodyDiv w:val="1"/>
      <w:marLeft w:val="0"/>
      <w:marRight w:val="0"/>
      <w:marTop w:val="0"/>
      <w:marBottom w:val="0"/>
      <w:divBdr>
        <w:top w:val="none" w:sz="0" w:space="0" w:color="auto"/>
        <w:left w:val="none" w:sz="0" w:space="0" w:color="auto"/>
        <w:bottom w:val="none" w:sz="0" w:space="0" w:color="auto"/>
        <w:right w:val="none" w:sz="0" w:space="0" w:color="auto"/>
      </w:divBdr>
    </w:div>
    <w:div w:id="203837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04062917A16C244B2B86AB9D2A10608" ma:contentTypeVersion="10" ma:contentTypeDescription="Create a new document." ma:contentTypeScope="" ma:versionID="0ddb0559d85ad60e96f0ebae62414f84">
  <xsd:schema xmlns:xsd="http://www.w3.org/2001/XMLSchema" xmlns:xs="http://www.w3.org/2001/XMLSchema" xmlns:p="http://schemas.microsoft.com/office/2006/metadata/properties" xmlns:ns1="http://schemas.microsoft.com/sharepoint/v3" xmlns:ns2="29de66b4-e97b-4b06-9817-5b5ea53d0d6f" xmlns:ns3="aee27740-f2b4-4333-bc77-f53436ee2b1a" targetNamespace="http://schemas.microsoft.com/office/2006/metadata/properties" ma:root="true" ma:fieldsID="8de5c5cf92e901c455f81653498f20ba" ns1:_="" ns2:_="" ns3:_="">
    <xsd:import namespace="http://schemas.microsoft.com/sharepoint/v3"/>
    <xsd:import namespace="29de66b4-e97b-4b06-9817-5b5ea53d0d6f"/>
    <xsd:import namespace="aee27740-f2b4-4333-bc77-f53436ee2b1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9de66b4-e97b-4b06-9817-5b5ea53d0d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ee27740-f2b4-4333-bc77-f53436ee2b1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23822F-76EE-4B89-84C6-D69595FBB57D}">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71F2F008-674F-4571-BC3B-4A0593ED10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9de66b4-e97b-4b06-9817-5b5ea53d0d6f"/>
    <ds:schemaRef ds:uri="aee27740-f2b4-4333-bc77-f53436ee2b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2E8706-03CE-465F-89C0-696CF0ED3DA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1203</Words>
  <Characters>6837</Characters>
  <Application>Microsoft Office Word</Application>
  <DocSecurity>0</DocSecurity>
  <Lines>129</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Goetze</dc:creator>
  <cp:keywords/>
  <dc:description/>
  <cp:lastModifiedBy>Sarah Goetze</cp:lastModifiedBy>
  <cp:revision>2</cp:revision>
  <dcterms:created xsi:type="dcterms:W3CDTF">2024-12-03T02:39:00Z</dcterms:created>
  <dcterms:modified xsi:type="dcterms:W3CDTF">2024-12-03T02:39:00Z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7cd2ef4-d378-437e-9377-e4f9e8b9353f_Enabled">
    <vt:lpwstr>true</vt:lpwstr>
  </property>
  <property fmtid="{D5CDD505-2E9C-101B-9397-08002B2CF9AE}" pid="3" name="MSIP_Label_17cd2ef4-d378-437e-9377-e4f9e8b9353f_SetDate">
    <vt:lpwstr>2024-10-28T23:28:53Z</vt:lpwstr>
  </property>
  <property fmtid="{D5CDD505-2E9C-101B-9397-08002B2CF9AE}" pid="4" name="MSIP_Label_17cd2ef4-d378-437e-9377-e4f9e8b9353f_Method">
    <vt:lpwstr>Standard</vt:lpwstr>
  </property>
  <property fmtid="{D5CDD505-2E9C-101B-9397-08002B2CF9AE}" pid="5" name="MSIP_Label_17cd2ef4-d378-437e-9377-e4f9e8b9353f_Name">
    <vt:lpwstr>General - Internal Use Only</vt:lpwstr>
  </property>
  <property fmtid="{D5CDD505-2E9C-101B-9397-08002B2CF9AE}" pid="6" name="MSIP_Label_17cd2ef4-d378-437e-9377-e4f9e8b9353f_SiteId">
    <vt:lpwstr>50ec014b-a97c-49e3-a969-5d02167b55d9</vt:lpwstr>
  </property>
  <property fmtid="{D5CDD505-2E9C-101B-9397-08002B2CF9AE}" pid="7" name="MSIP_Label_17cd2ef4-d378-437e-9377-e4f9e8b9353f_ActionId">
    <vt:lpwstr>fea5407e-35c2-495d-a802-8f3c5607473d</vt:lpwstr>
  </property>
  <property fmtid="{D5CDD505-2E9C-101B-9397-08002B2CF9AE}" pid="8" name="MSIP_Label_17cd2ef4-d378-437e-9377-e4f9e8b9353f_ContentBits">
    <vt:lpwstr>2</vt:lpwstr>
  </property>
  <property fmtid="{D5CDD505-2E9C-101B-9397-08002B2CF9AE}" pid="9" name="ContentTypeId">
    <vt:lpwstr>0x010100204062917A16C244B2B86AB9D2A10608</vt:lpwstr>
  </property>
</Properties>
</file>