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65C45" w14:textId="77777777" w:rsidR="00ED5FB6" w:rsidRDefault="00000000">
      <w:pPr>
        <w:spacing w:before="960"/>
        <w:jc w:val="center"/>
      </w:pPr>
      <w:r>
        <w:rPr>
          <w:rFonts w:ascii="Aptos Display" w:hAnsi="Aptos Display"/>
          <w:b/>
          <w:color w:val="1F4E79"/>
          <w:sz w:val="44"/>
        </w:rPr>
        <w:t>Submission to the Reserve Bank of Australia</w:t>
      </w:r>
    </w:p>
    <w:p w14:paraId="60BE914A" w14:textId="77777777" w:rsidR="00ED5FB6" w:rsidRDefault="00000000">
      <w:pPr>
        <w:jc w:val="center"/>
      </w:pPr>
      <w:r>
        <w:rPr>
          <w:b/>
          <w:color w:val="2F75B5"/>
          <w:sz w:val="30"/>
        </w:rPr>
        <w:t>Review of Payments System Regulation 2026</w:t>
      </w:r>
    </w:p>
    <w:p w14:paraId="09D8B601" w14:textId="77777777" w:rsidR="00ED5FB6" w:rsidRDefault="00000000">
      <w:pPr>
        <w:jc w:val="center"/>
      </w:pPr>
      <w:r>
        <w:rPr>
          <w:b/>
          <w:color w:val="1F4E79"/>
          <w:sz w:val="36"/>
        </w:rPr>
        <w:t>The Australian Trust Layer</w:t>
      </w:r>
    </w:p>
    <w:p w14:paraId="59CAE9FA" w14:textId="77777777" w:rsidR="00ED5FB6" w:rsidRDefault="00000000">
      <w:pPr>
        <w:jc w:val="center"/>
      </w:pPr>
      <w:r>
        <w:rPr>
          <w:i/>
          <w:color w:val="404040"/>
          <w:sz w:val="26"/>
        </w:rPr>
        <w:t>A Strategic Response to the Review of Payments System Regulation</w:t>
      </w:r>
    </w:p>
    <w:tbl>
      <w:tblPr>
        <w:tblW w:w="0" w:type="auto"/>
        <w:jc w:val="center"/>
        <w:tblLook w:val="04A0" w:firstRow="1" w:lastRow="0" w:firstColumn="1" w:lastColumn="0" w:noHBand="0" w:noVBand="1"/>
      </w:tblPr>
      <w:tblGrid>
        <w:gridCol w:w="9994"/>
      </w:tblGrid>
      <w:tr w:rsidR="00ED5FB6" w14:paraId="1AB159EA" w14:textId="77777777">
        <w:trPr>
          <w:jc w:val="center"/>
        </w:trPr>
        <w:tc>
          <w:tcPr>
            <w:tcW w:w="9994" w:type="dxa"/>
            <w:shd w:val="clear" w:color="auto" w:fill="EAF2F8"/>
            <w:tcMar>
              <w:top w:w="150" w:type="dxa"/>
              <w:left w:w="170" w:type="dxa"/>
              <w:bottom w:w="150" w:type="dxa"/>
              <w:right w:w="170" w:type="dxa"/>
            </w:tcMar>
          </w:tcPr>
          <w:p w14:paraId="587EFCB4" w14:textId="77777777" w:rsidR="00ED5FB6" w:rsidRDefault="00000000">
            <w:pPr>
              <w:pStyle w:val="Box"/>
            </w:pPr>
            <w:r>
              <w:rPr>
                <w:b/>
                <w:color w:val="1F4E79"/>
              </w:rPr>
              <w:t>Submitted in a personal capacity. The views expressed are my own and are informed by practical experience delivering payments transformation programmes across Australia, Europe, the Middle East and Asia-Pacific.</w:t>
            </w:r>
          </w:p>
        </w:tc>
      </w:tr>
    </w:tbl>
    <w:p w14:paraId="20D3154A" w14:textId="77777777" w:rsidR="00ED5FB6" w:rsidRDefault="00ED5FB6"/>
    <w:p w14:paraId="7E6220D4" w14:textId="74659DB1" w:rsidR="0045135B" w:rsidRDefault="0045135B" w:rsidP="0045135B">
      <w:pPr>
        <w:jc w:val="center"/>
      </w:pPr>
      <w:r w:rsidRPr="0045135B">
        <w:rPr>
          <w:b/>
          <w:bCs/>
        </w:rPr>
        <w:t>Contact for submission enquiries:</w:t>
      </w:r>
      <w:r w:rsidRPr="0045135B">
        <w:br/>
        <w:t>Sudip Kar</w:t>
      </w:r>
      <w:r w:rsidRPr="0045135B">
        <w:br/>
        <w:t>Sydney, Australia</w:t>
      </w:r>
      <w:r w:rsidRPr="0045135B">
        <w:br/>
        <w:t xml:space="preserve">LinkedIn: </w:t>
      </w:r>
      <w:hyperlink r:id="rId8" w:history="1">
        <w:r w:rsidR="006005DF" w:rsidRPr="003A68D2">
          <w:rPr>
            <w:rStyle w:val="Hyperlink"/>
          </w:rPr>
          <w:t>https://www.linkedin.com/in/sudip-kar-b3a47036/</w:t>
        </w:r>
      </w:hyperlink>
    </w:p>
    <w:p w14:paraId="47259AE3" w14:textId="77777777" w:rsidR="006005DF" w:rsidRPr="0045135B" w:rsidRDefault="006005DF" w:rsidP="0045135B">
      <w:pPr>
        <w:jc w:val="center"/>
      </w:pPr>
    </w:p>
    <w:p w14:paraId="7283D826" w14:textId="77777777" w:rsidR="0045135B" w:rsidRDefault="0045135B">
      <w:pPr>
        <w:jc w:val="center"/>
      </w:pPr>
    </w:p>
    <w:p w14:paraId="4580F15B" w14:textId="77777777" w:rsidR="00ED5FB6" w:rsidRDefault="00000000">
      <w:r>
        <w:br w:type="page"/>
      </w:r>
    </w:p>
    <w:p w14:paraId="7EB80FAA" w14:textId="77777777" w:rsidR="00ED5FB6" w:rsidRDefault="00000000">
      <w:pPr>
        <w:pStyle w:val="Heading1"/>
      </w:pPr>
      <w:r>
        <w:lastRenderedPageBreak/>
        <w:t>Executive Summary</w:t>
      </w:r>
    </w:p>
    <w:p w14:paraId="763DE444" w14:textId="77777777" w:rsidR="00ED5FB6" w:rsidRDefault="00000000">
      <w:r>
        <w:t>Australia stands at an inflection point in the evolution of its payments ecosystem. The country already has many of the foundations required to move from advanced payments infrastructure to a trusted digital commerce ecosystem: NPP, PayID, PayTo, Consumer Data Right, Digital ID initiatives, digital wallets, AP+, strong regulatory coordination and a sophisticated banking sector.</w:t>
      </w:r>
    </w:p>
    <w:p w14:paraId="3F6AFA1E" w14:textId="77777777" w:rsidR="00ED5FB6" w:rsidRDefault="00000000">
      <w:r>
        <w:t>These observations are informed by my experience delivering payments transformation programmes across Europe, the Middle East and Asia-Pacific. Having worked across jurisdictions at different stages of payments maturity, I have found that sustainable innovation is rarely driven by technology alone; it is achieved when regulation, market incentives and customer experience evolve together.</w:t>
      </w:r>
    </w:p>
    <w:p w14:paraId="060A1CA8" w14:textId="77777777" w:rsidR="00ED5FB6" w:rsidRDefault="00000000">
      <w:r>
        <w:t>The Reserve Bank's review presents an opportunity for Australia to become one of the world's first AI-ready payments ecosystems. The strategic question is not only how to regulate individual rails, but how to build a trusted, interoperable and intelligent system in which payments, identity, consent, wallets, fraud prevention, digital assets and AI-enabled commerce operate coherently.</w:t>
      </w:r>
    </w:p>
    <w:tbl>
      <w:tblPr>
        <w:tblW w:w="0" w:type="auto"/>
        <w:jc w:val="center"/>
        <w:tblLook w:val="04A0" w:firstRow="1" w:lastRow="0" w:firstColumn="1" w:lastColumn="0" w:noHBand="0" w:noVBand="1"/>
      </w:tblPr>
      <w:tblGrid>
        <w:gridCol w:w="9994"/>
      </w:tblGrid>
      <w:tr w:rsidR="00ED5FB6" w14:paraId="2DAAE0D3" w14:textId="77777777">
        <w:trPr>
          <w:jc w:val="center"/>
        </w:trPr>
        <w:tc>
          <w:tcPr>
            <w:tcW w:w="9994" w:type="dxa"/>
            <w:shd w:val="clear" w:color="auto" w:fill="EAF2F8"/>
            <w:tcMar>
              <w:top w:w="150" w:type="dxa"/>
              <w:left w:w="170" w:type="dxa"/>
              <w:bottom w:w="150" w:type="dxa"/>
              <w:right w:w="170" w:type="dxa"/>
            </w:tcMar>
          </w:tcPr>
          <w:p w14:paraId="4CF9FEA5" w14:textId="77777777" w:rsidR="00ED5FB6" w:rsidRDefault="00000000">
            <w:pPr>
              <w:pStyle w:val="Box"/>
            </w:pPr>
            <w:r>
              <w:rPr>
                <w:b/>
                <w:color w:val="1F4E79"/>
              </w:rPr>
              <w:t>Australia's competitive advantage should not simply be the fastest payments. It should be the most trusted digital commerce ecosystem.</w:t>
            </w:r>
          </w:p>
        </w:tc>
      </w:tr>
    </w:tbl>
    <w:p w14:paraId="0F7FD32D" w14:textId="77777777" w:rsidR="00ED5FB6" w:rsidRDefault="00ED5FB6"/>
    <w:p w14:paraId="35D514A1" w14:textId="77777777" w:rsidR="00ED5FB6" w:rsidRDefault="00000000">
      <w:r>
        <w:t xml:space="preserve">This submission is centred on one primary framework: </w:t>
      </w:r>
      <w:r w:rsidRPr="006638D3">
        <w:rPr>
          <w:b/>
          <w:bCs/>
          <w:i/>
          <w:iCs/>
        </w:rPr>
        <w:t>the Australian Trust Layer</w:t>
      </w:r>
      <w:r>
        <w:t>. The supporting elements in this paper, including the Intelligent Payments Stack, design principles, roadmap, metrics and recommendations, are intended to operationalise and measure that central idea rather than introduce separate competing frameworks.</w:t>
      </w:r>
    </w:p>
    <w:p w14:paraId="4A852F91" w14:textId="77777777" w:rsidR="00ED5FB6" w:rsidRDefault="00000000">
      <w:r>
        <w:t xml:space="preserve">This submission proposes that Australia's future payments regulation be </w:t>
      </w:r>
      <w:r w:rsidRPr="00A376AA">
        <w:rPr>
          <w:b/>
          <w:bCs/>
        </w:rPr>
        <w:t>guided by six principles</w:t>
      </w:r>
      <w:r>
        <w:t xml:space="preserve"> that support the Australian Trust Layer:</w:t>
      </w:r>
    </w:p>
    <w:p w14:paraId="727EA7A9" w14:textId="77777777" w:rsidR="00ED5FB6" w:rsidRDefault="00000000">
      <w:pPr>
        <w:pStyle w:val="ListNumber"/>
      </w:pPr>
      <w:r>
        <w:t>Technology neutrality</w:t>
      </w:r>
    </w:p>
    <w:p w14:paraId="7FF3045D" w14:textId="77777777" w:rsidR="00ED5FB6" w:rsidRDefault="00000000">
      <w:pPr>
        <w:pStyle w:val="ListNumber"/>
      </w:pPr>
      <w:r>
        <w:t>Interoperability by design</w:t>
      </w:r>
    </w:p>
    <w:p w14:paraId="28FB5B4C" w14:textId="77777777" w:rsidR="00ED5FB6" w:rsidRDefault="00000000">
      <w:pPr>
        <w:pStyle w:val="ListNumber"/>
      </w:pPr>
      <w:r>
        <w:t>The Australian Trust Layer</w:t>
      </w:r>
    </w:p>
    <w:p w14:paraId="4DEA41A8" w14:textId="77777777" w:rsidR="00ED5FB6" w:rsidRDefault="00000000">
      <w:pPr>
        <w:pStyle w:val="ListNumber"/>
      </w:pPr>
      <w:r>
        <w:t>Open and resilient A2A participation</w:t>
      </w:r>
    </w:p>
    <w:p w14:paraId="2EE5BC13" w14:textId="77777777" w:rsidR="00ED5FB6" w:rsidRDefault="00000000">
      <w:pPr>
        <w:pStyle w:val="ListNumber"/>
      </w:pPr>
      <w:r>
        <w:t>Cryptographic readiness</w:t>
      </w:r>
    </w:p>
    <w:p w14:paraId="3E6CE9E9" w14:textId="77777777" w:rsidR="00ED5FB6" w:rsidRDefault="00000000">
      <w:pPr>
        <w:pStyle w:val="ListNumber"/>
      </w:pPr>
      <w:r>
        <w:t>Responsible AI and agentic commerce governance</w:t>
      </w:r>
    </w:p>
    <w:p w14:paraId="0FEC7FA2" w14:textId="0E755AE1" w:rsidR="008A0525" w:rsidRDefault="00715626" w:rsidP="008A0525">
      <w:pPr>
        <w:pStyle w:val="Heading1"/>
      </w:pPr>
      <w:r>
        <w:t>M</w:t>
      </w:r>
      <w:r w:rsidR="008A0525">
        <w:t>apping to RBA Consultation Themes</w:t>
      </w:r>
    </w:p>
    <w:p w14:paraId="7EE91981" w14:textId="77777777" w:rsidR="008A0525" w:rsidRDefault="008A0525" w:rsidP="008A0525">
      <w:r>
        <w:t>This submission is intentionally thematic rather than a question-by-question response. The mapping below is included to help reviewers connect the submission's central arguments to the main themes in the RBA Issues Paper.</w:t>
      </w:r>
    </w:p>
    <w:tbl>
      <w:tblPr>
        <w:tblStyle w:val="TableGrid"/>
        <w:tblW w:w="0" w:type="auto"/>
        <w:jc w:val="center"/>
        <w:tblLook w:val="04A0" w:firstRow="1" w:lastRow="0" w:firstColumn="1" w:lastColumn="0" w:noHBand="0" w:noVBand="1"/>
      </w:tblPr>
      <w:tblGrid>
        <w:gridCol w:w="2880"/>
        <w:gridCol w:w="3024"/>
        <w:gridCol w:w="4176"/>
      </w:tblGrid>
      <w:tr w:rsidR="008A0525" w14:paraId="582D8E59" w14:textId="77777777" w:rsidTr="007258C1">
        <w:trPr>
          <w:jc w:val="center"/>
        </w:trPr>
        <w:tc>
          <w:tcPr>
            <w:tcW w:w="2880" w:type="dxa"/>
            <w:shd w:val="clear" w:color="auto" w:fill="1F4E79"/>
            <w:tcMar>
              <w:top w:w="100" w:type="dxa"/>
              <w:left w:w="110" w:type="dxa"/>
              <w:bottom w:w="100" w:type="dxa"/>
              <w:right w:w="110" w:type="dxa"/>
            </w:tcMar>
          </w:tcPr>
          <w:p w14:paraId="4F8457C8" w14:textId="77777777" w:rsidR="008A0525" w:rsidRDefault="008A0525" w:rsidP="007258C1">
            <w:r>
              <w:rPr>
                <w:b/>
                <w:color w:val="FFFFFF"/>
                <w:sz w:val="17"/>
              </w:rPr>
              <w:t>RBA consultation theme</w:t>
            </w:r>
          </w:p>
        </w:tc>
        <w:tc>
          <w:tcPr>
            <w:tcW w:w="3024" w:type="dxa"/>
            <w:shd w:val="clear" w:color="auto" w:fill="1F4E79"/>
            <w:tcMar>
              <w:top w:w="100" w:type="dxa"/>
              <w:left w:w="110" w:type="dxa"/>
              <w:bottom w:w="100" w:type="dxa"/>
              <w:right w:w="110" w:type="dxa"/>
            </w:tcMar>
          </w:tcPr>
          <w:p w14:paraId="23287F7B" w14:textId="77777777" w:rsidR="008A0525" w:rsidRDefault="008A0525" w:rsidP="007258C1">
            <w:r>
              <w:rPr>
                <w:b/>
                <w:color w:val="FFFFFF"/>
                <w:sz w:val="17"/>
              </w:rPr>
              <w:t>Where addressed</w:t>
            </w:r>
          </w:p>
        </w:tc>
        <w:tc>
          <w:tcPr>
            <w:tcW w:w="4176" w:type="dxa"/>
            <w:shd w:val="clear" w:color="auto" w:fill="1F4E79"/>
            <w:tcMar>
              <w:top w:w="100" w:type="dxa"/>
              <w:left w:w="110" w:type="dxa"/>
              <w:bottom w:w="100" w:type="dxa"/>
              <w:right w:w="110" w:type="dxa"/>
            </w:tcMar>
          </w:tcPr>
          <w:p w14:paraId="63AF53C5" w14:textId="77777777" w:rsidR="008A0525" w:rsidRDefault="008A0525" w:rsidP="007258C1">
            <w:r>
              <w:rPr>
                <w:b/>
                <w:color w:val="FFFFFF"/>
                <w:sz w:val="17"/>
              </w:rPr>
              <w:t>Nature of response</w:t>
            </w:r>
          </w:p>
        </w:tc>
      </w:tr>
      <w:tr w:rsidR="008A0525" w14:paraId="6E2C0EB7" w14:textId="77777777" w:rsidTr="007258C1">
        <w:trPr>
          <w:jc w:val="center"/>
        </w:trPr>
        <w:tc>
          <w:tcPr>
            <w:tcW w:w="2880" w:type="dxa"/>
            <w:tcMar>
              <w:top w:w="100" w:type="dxa"/>
              <w:left w:w="110" w:type="dxa"/>
              <w:bottom w:w="100" w:type="dxa"/>
              <w:right w:w="110" w:type="dxa"/>
            </w:tcMar>
            <w:vAlign w:val="center"/>
          </w:tcPr>
          <w:p w14:paraId="66BAC7BE" w14:textId="77777777" w:rsidR="008A0525" w:rsidRDefault="008A0525" w:rsidP="007258C1">
            <w:pPr>
              <w:spacing w:after="20"/>
            </w:pPr>
            <w:r>
              <w:rPr>
                <w:sz w:val="17"/>
              </w:rPr>
              <w:t>AI agents in e-commerce / agentic commerce</w:t>
            </w:r>
          </w:p>
        </w:tc>
        <w:tc>
          <w:tcPr>
            <w:tcW w:w="3024" w:type="dxa"/>
            <w:tcMar>
              <w:top w:w="100" w:type="dxa"/>
              <w:left w:w="110" w:type="dxa"/>
              <w:bottom w:w="100" w:type="dxa"/>
              <w:right w:w="110" w:type="dxa"/>
            </w:tcMar>
            <w:vAlign w:val="center"/>
          </w:tcPr>
          <w:p w14:paraId="268DB4F1" w14:textId="2097CDAC" w:rsidR="008A0525" w:rsidRDefault="008A0525" w:rsidP="007258C1">
            <w:pPr>
              <w:spacing w:after="20"/>
            </w:pPr>
            <w:r>
              <w:rPr>
                <w:sz w:val="17"/>
              </w:rPr>
              <w:t xml:space="preserve">Section 7; </w:t>
            </w:r>
            <w:r w:rsidR="00300296">
              <w:rPr>
                <w:sz w:val="17"/>
              </w:rPr>
              <w:t>14</w:t>
            </w:r>
          </w:p>
        </w:tc>
        <w:tc>
          <w:tcPr>
            <w:tcW w:w="4176" w:type="dxa"/>
            <w:tcMar>
              <w:top w:w="100" w:type="dxa"/>
              <w:left w:w="110" w:type="dxa"/>
              <w:bottom w:w="100" w:type="dxa"/>
              <w:right w:w="110" w:type="dxa"/>
            </w:tcMar>
            <w:vAlign w:val="center"/>
          </w:tcPr>
          <w:p w14:paraId="25635120" w14:textId="77777777" w:rsidR="008A0525" w:rsidRDefault="008A0525" w:rsidP="007258C1">
            <w:pPr>
              <w:spacing w:after="20"/>
            </w:pPr>
            <w:r>
              <w:rPr>
                <w:sz w:val="17"/>
              </w:rPr>
              <w:t>Agent identity, delegated authority, consent evidence, rail neutrality, auditability, liability and redress.</w:t>
            </w:r>
          </w:p>
        </w:tc>
      </w:tr>
      <w:tr w:rsidR="008A0525" w14:paraId="34B3328D" w14:textId="77777777" w:rsidTr="007258C1">
        <w:trPr>
          <w:jc w:val="center"/>
        </w:trPr>
        <w:tc>
          <w:tcPr>
            <w:tcW w:w="2880" w:type="dxa"/>
            <w:tcMar>
              <w:top w:w="100" w:type="dxa"/>
              <w:left w:w="110" w:type="dxa"/>
              <w:bottom w:w="100" w:type="dxa"/>
              <w:right w:w="110" w:type="dxa"/>
            </w:tcMar>
            <w:vAlign w:val="center"/>
          </w:tcPr>
          <w:p w14:paraId="2B3D775F" w14:textId="77777777" w:rsidR="008A0525" w:rsidRDefault="008A0525" w:rsidP="007258C1">
            <w:pPr>
              <w:spacing w:after="20"/>
            </w:pPr>
            <w:r>
              <w:rPr>
                <w:sz w:val="17"/>
              </w:rPr>
              <w:t>Mobile wallets and payment choice</w:t>
            </w:r>
          </w:p>
        </w:tc>
        <w:tc>
          <w:tcPr>
            <w:tcW w:w="3024" w:type="dxa"/>
            <w:tcMar>
              <w:top w:w="100" w:type="dxa"/>
              <w:left w:w="110" w:type="dxa"/>
              <w:bottom w:w="100" w:type="dxa"/>
              <w:right w:w="110" w:type="dxa"/>
            </w:tcMar>
            <w:vAlign w:val="center"/>
          </w:tcPr>
          <w:p w14:paraId="701938C6" w14:textId="77777777" w:rsidR="008A0525" w:rsidRDefault="008A0525" w:rsidP="007258C1">
            <w:pPr>
              <w:spacing w:after="20"/>
            </w:pPr>
            <w:r>
              <w:rPr>
                <w:sz w:val="17"/>
              </w:rPr>
              <w:t>Section 6; Sections 3 and 4</w:t>
            </w:r>
          </w:p>
        </w:tc>
        <w:tc>
          <w:tcPr>
            <w:tcW w:w="4176" w:type="dxa"/>
            <w:tcMar>
              <w:top w:w="100" w:type="dxa"/>
              <w:left w:w="110" w:type="dxa"/>
              <w:bottom w:w="100" w:type="dxa"/>
              <w:right w:w="110" w:type="dxa"/>
            </w:tcMar>
            <w:vAlign w:val="center"/>
          </w:tcPr>
          <w:p w14:paraId="12A3E5CA" w14:textId="77777777" w:rsidR="008A0525" w:rsidRDefault="008A0525" w:rsidP="007258C1">
            <w:pPr>
              <w:spacing w:after="20"/>
            </w:pPr>
            <w:r>
              <w:rPr>
                <w:sz w:val="17"/>
              </w:rPr>
              <w:t>Wallets as trust platforms supporting identity credentials, payment credentials, permissions and consumer choice.</w:t>
            </w:r>
          </w:p>
        </w:tc>
      </w:tr>
      <w:tr w:rsidR="008A0525" w14:paraId="06D2961D" w14:textId="77777777" w:rsidTr="007258C1">
        <w:trPr>
          <w:jc w:val="center"/>
        </w:trPr>
        <w:tc>
          <w:tcPr>
            <w:tcW w:w="2880" w:type="dxa"/>
            <w:tcMar>
              <w:top w:w="100" w:type="dxa"/>
              <w:left w:w="110" w:type="dxa"/>
              <w:bottom w:w="100" w:type="dxa"/>
              <w:right w:w="110" w:type="dxa"/>
            </w:tcMar>
            <w:vAlign w:val="center"/>
          </w:tcPr>
          <w:p w14:paraId="59A71F97" w14:textId="77777777" w:rsidR="008A0525" w:rsidRDefault="008A0525" w:rsidP="007258C1">
            <w:pPr>
              <w:spacing w:after="20"/>
            </w:pPr>
            <w:r>
              <w:rPr>
                <w:sz w:val="17"/>
              </w:rPr>
              <w:t>A2A payments and competition with cards</w:t>
            </w:r>
          </w:p>
        </w:tc>
        <w:tc>
          <w:tcPr>
            <w:tcW w:w="3024" w:type="dxa"/>
            <w:tcMar>
              <w:top w:w="100" w:type="dxa"/>
              <w:left w:w="110" w:type="dxa"/>
              <w:bottom w:w="100" w:type="dxa"/>
              <w:right w:w="110" w:type="dxa"/>
            </w:tcMar>
            <w:vAlign w:val="center"/>
          </w:tcPr>
          <w:p w14:paraId="7B73D1EC" w14:textId="77777777" w:rsidR="008A0525" w:rsidRDefault="008A0525" w:rsidP="007258C1">
            <w:pPr>
              <w:spacing w:after="20"/>
            </w:pPr>
            <w:r>
              <w:rPr>
                <w:sz w:val="17"/>
              </w:rPr>
              <w:t>Section 8; Sections 3 and 4</w:t>
            </w:r>
          </w:p>
        </w:tc>
        <w:tc>
          <w:tcPr>
            <w:tcW w:w="4176" w:type="dxa"/>
            <w:tcMar>
              <w:top w:w="100" w:type="dxa"/>
              <w:left w:w="110" w:type="dxa"/>
              <w:bottom w:w="100" w:type="dxa"/>
              <w:right w:w="110" w:type="dxa"/>
            </w:tcMar>
            <w:vAlign w:val="center"/>
          </w:tcPr>
          <w:p w14:paraId="2549446B" w14:textId="77777777" w:rsidR="008A0525" w:rsidRDefault="008A0525" w:rsidP="007258C1">
            <w:pPr>
              <w:spacing w:after="20"/>
            </w:pPr>
            <w:r>
              <w:rPr>
                <w:sz w:val="17"/>
              </w:rPr>
              <w:t xml:space="preserve">A2A adoption, </w:t>
            </w:r>
            <w:proofErr w:type="spellStart"/>
            <w:r>
              <w:rPr>
                <w:sz w:val="17"/>
              </w:rPr>
              <w:t>PayID</w:t>
            </w:r>
            <w:proofErr w:type="spellEnd"/>
            <w:r>
              <w:rPr>
                <w:sz w:val="17"/>
              </w:rPr>
              <w:t xml:space="preserve"> and </w:t>
            </w:r>
            <w:proofErr w:type="spellStart"/>
            <w:r>
              <w:rPr>
                <w:sz w:val="17"/>
              </w:rPr>
              <w:t>PayTo</w:t>
            </w:r>
            <w:proofErr w:type="spellEnd"/>
            <w:r>
              <w:rPr>
                <w:sz w:val="17"/>
              </w:rPr>
              <w:t xml:space="preserve"> usability, customer experience standards and competition through trust.</w:t>
            </w:r>
          </w:p>
        </w:tc>
      </w:tr>
      <w:tr w:rsidR="008A0525" w14:paraId="799DD854" w14:textId="77777777" w:rsidTr="007258C1">
        <w:trPr>
          <w:jc w:val="center"/>
        </w:trPr>
        <w:tc>
          <w:tcPr>
            <w:tcW w:w="2880" w:type="dxa"/>
            <w:tcMar>
              <w:top w:w="100" w:type="dxa"/>
              <w:left w:w="110" w:type="dxa"/>
              <w:bottom w:w="100" w:type="dxa"/>
              <w:right w:w="110" w:type="dxa"/>
            </w:tcMar>
            <w:vAlign w:val="center"/>
          </w:tcPr>
          <w:p w14:paraId="57D596D3" w14:textId="77777777" w:rsidR="008A0525" w:rsidRDefault="008A0525" w:rsidP="007258C1">
            <w:pPr>
              <w:spacing w:after="20"/>
            </w:pPr>
            <w:r>
              <w:rPr>
                <w:sz w:val="17"/>
              </w:rPr>
              <w:t>Fraud, scams and consumer protection</w:t>
            </w:r>
          </w:p>
        </w:tc>
        <w:tc>
          <w:tcPr>
            <w:tcW w:w="3024" w:type="dxa"/>
            <w:tcMar>
              <w:top w:w="100" w:type="dxa"/>
              <w:left w:w="110" w:type="dxa"/>
              <w:bottom w:w="100" w:type="dxa"/>
              <w:right w:w="110" w:type="dxa"/>
            </w:tcMar>
            <w:vAlign w:val="center"/>
          </w:tcPr>
          <w:p w14:paraId="3807F0A6" w14:textId="3AFCDC3D" w:rsidR="008A0525" w:rsidRDefault="008A0525" w:rsidP="007258C1">
            <w:pPr>
              <w:spacing w:after="20"/>
            </w:pPr>
            <w:r>
              <w:rPr>
                <w:sz w:val="17"/>
              </w:rPr>
              <w:t xml:space="preserve">Section 5; </w:t>
            </w:r>
            <w:r w:rsidR="0051490E">
              <w:rPr>
                <w:sz w:val="17"/>
              </w:rPr>
              <w:t>13</w:t>
            </w:r>
          </w:p>
        </w:tc>
        <w:tc>
          <w:tcPr>
            <w:tcW w:w="4176" w:type="dxa"/>
            <w:tcMar>
              <w:top w:w="100" w:type="dxa"/>
              <w:left w:w="110" w:type="dxa"/>
              <w:bottom w:w="100" w:type="dxa"/>
              <w:right w:w="110" w:type="dxa"/>
            </w:tcMar>
            <w:vAlign w:val="center"/>
          </w:tcPr>
          <w:p w14:paraId="23A7DB89" w14:textId="77777777" w:rsidR="008A0525" w:rsidRDefault="008A0525" w:rsidP="007258C1">
            <w:pPr>
              <w:spacing w:after="20"/>
            </w:pPr>
            <w:r>
              <w:rPr>
                <w:sz w:val="17"/>
              </w:rPr>
              <w:t>Shared fraud intelligence, mule detection, confirmation services, risk-based controls and redress standards.</w:t>
            </w:r>
          </w:p>
        </w:tc>
      </w:tr>
      <w:tr w:rsidR="008A0525" w14:paraId="7090C26E" w14:textId="77777777" w:rsidTr="007258C1">
        <w:trPr>
          <w:jc w:val="center"/>
        </w:trPr>
        <w:tc>
          <w:tcPr>
            <w:tcW w:w="2880" w:type="dxa"/>
            <w:tcMar>
              <w:top w:w="100" w:type="dxa"/>
              <w:left w:w="110" w:type="dxa"/>
              <w:bottom w:w="100" w:type="dxa"/>
              <w:right w:w="110" w:type="dxa"/>
            </w:tcMar>
            <w:vAlign w:val="center"/>
          </w:tcPr>
          <w:p w14:paraId="37810C3F" w14:textId="77777777" w:rsidR="008A0525" w:rsidRDefault="008A0525" w:rsidP="007258C1">
            <w:pPr>
              <w:spacing w:after="20"/>
            </w:pPr>
            <w:r>
              <w:rPr>
                <w:sz w:val="17"/>
              </w:rPr>
              <w:lastRenderedPageBreak/>
              <w:t>Cryptography and resilience</w:t>
            </w:r>
          </w:p>
        </w:tc>
        <w:tc>
          <w:tcPr>
            <w:tcW w:w="3024" w:type="dxa"/>
            <w:tcMar>
              <w:top w:w="100" w:type="dxa"/>
              <w:left w:w="110" w:type="dxa"/>
              <w:bottom w:w="100" w:type="dxa"/>
              <w:right w:w="110" w:type="dxa"/>
            </w:tcMar>
            <w:vAlign w:val="center"/>
          </w:tcPr>
          <w:p w14:paraId="6CBF9EEE" w14:textId="54EC1C57" w:rsidR="008A0525" w:rsidRDefault="008A0525" w:rsidP="007258C1">
            <w:pPr>
              <w:spacing w:after="20"/>
            </w:pPr>
            <w:r>
              <w:rPr>
                <w:sz w:val="17"/>
              </w:rPr>
              <w:t xml:space="preserve">Section 10; </w:t>
            </w:r>
            <w:r w:rsidR="0051490E">
              <w:rPr>
                <w:sz w:val="17"/>
              </w:rPr>
              <w:t>12</w:t>
            </w:r>
          </w:p>
        </w:tc>
        <w:tc>
          <w:tcPr>
            <w:tcW w:w="4176" w:type="dxa"/>
            <w:tcMar>
              <w:top w:w="100" w:type="dxa"/>
              <w:left w:w="110" w:type="dxa"/>
              <w:bottom w:w="100" w:type="dxa"/>
              <w:right w:w="110" w:type="dxa"/>
            </w:tcMar>
            <w:vAlign w:val="center"/>
          </w:tcPr>
          <w:p w14:paraId="0E410CB2" w14:textId="77777777" w:rsidR="008A0525" w:rsidRDefault="008A0525" w:rsidP="007258C1">
            <w:pPr>
              <w:spacing w:after="20"/>
            </w:pPr>
            <w:r>
              <w:rPr>
                <w:sz w:val="17"/>
              </w:rPr>
              <w:t>Post-quantum readiness, cryptographic inventory, migration planning and system-level coordination.</w:t>
            </w:r>
          </w:p>
        </w:tc>
      </w:tr>
      <w:tr w:rsidR="008A0525" w14:paraId="4206C2BC" w14:textId="77777777" w:rsidTr="007258C1">
        <w:trPr>
          <w:jc w:val="center"/>
        </w:trPr>
        <w:tc>
          <w:tcPr>
            <w:tcW w:w="2880" w:type="dxa"/>
            <w:tcMar>
              <w:top w:w="100" w:type="dxa"/>
              <w:left w:w="110" w:type="dxa"/>
              <w:bottom w:w="100" w:type="dxa"/>
              <w:right w:w="110" w:type="dxa"/>
            </w:tcMar>
            <w:vAlign w:val="center"/>
          </w:tcPr>
          <w:p w14:paraId="7C7FF7E2" w14:textId="77777777" w:rsidR="008A0525" w:rsidRDefault="008A0525" w:rsidP="007258C1">
            <w:pPr>
              <w:spacing w:after="20"/>
            </w:pPr>
            <w:r>
              <w:rPr>
                <w:sz w:val="17"/>
              </w:rPr>
              <w:t>Technology-neutral future regulation</w:t>
            </w:r>
          </w:p>
        </w:tc>
        <w:tc>
          <w:tcPr>
            <w:tcW w:w="3024" w:type="dxa"/>
            <w:tcMar>
              <w:top w:w="100" w:type="dxa"/>
              <w:left w:w="110" w:type="dxa"/>
              <w:bottom w:w="100" w:type="dxa"/>
              <w:right w:w="110" w:type="dxa"/>
            </w:tcMar>
            <w:vAlign w:val="center"/>
          </w:tcPr>
          <w:p w14:paraId="5455981B" w14:textId="77777777" w:rsidR="008A0525" w:rsidRDefault="008A0525" w:rsidP="007258C1">
            <w:pPr>
              <w:spacing w:after="20"/>
            </w:pPr>
            <w:r>
              <w:rPr>
                <w:sz w:val="17"/>
              </w:rPr>
              <w:t>Sections 3, 4, 9, 12, 13 and 14</w:t>
            </w:r>
          </w:p>
        </w:tc>
        <w:tc>
          <w:tcPr>
            <w:tcW w:w="4176" w:type="dxa"/>
            <w:tcMar>
              <w:top w:w="100" w:type="dxa"/>
              <w:left w:w="110" w:type="dxa"/>
              <w:bottom w:w="100" w:type="dxa"/>
              <w:right w:w="110" w:type="dxa"/>
            </w:tcMar>
            <w:vAlign w:val="center"/>
          </w:tcPr>
          <w:p w14:paraId="72B91926" w14:textId="77777777" w:rsidR="008A0525" w:rsidRDefault="008A0525" w:rsidP="007258C1">
            <w:pPr>
              <w:spacing w:after="20"/>
            </w:pPr>
            <w:r>
              <w:rPr>
                <w:sz w:val="17"/>
              </w:rPr>
              <w:t>Trust Layer, implementation roadmap, emerging digital value forms and measurable trust metrics.</w:t>
            </w:r>
          </w:p>
        </w:tc>
      </w:tr>
      <w:tr w:rsidR="008A0525" w14:paraId="5FF741B4" w14:textId="77777777" w:rsidTr="007258C1">
        <w:trPr>
          <w:jc w:val="center"/>
        </w:trPr>
        <w:tc>
          <w:tcPr>
            <w:tcW w:w="2880" w:type="dxa"/>
            <w:tcMar>
              <w:top w:w="100" w:type="dxa"/>
              <w:left w:w="110" w:type="dxa"/>
              <w:bottom w:w="100" w:type="dxa"/>
              <w:right w:w="110" w:type="dxa"/>
            </w:tcMar>
            <w:vAlign w:val="center"/>
          </w:tcPr>
          <w:p w14:paraId="186990EC" w14:textId="77777777" w:rsidR="008A0525" w:rsidRDefault="008A0525" w:rsidP="007258C1">
            <w:pPr>
              <w:spacing w:after="20"/>
            </w:pPr>
            <w:r>
              <w:rPr>
                <w:sz w:val="17"/>
              </w:rPr>
              <w:t>Merchant choice, LCR, interchange, BNPL and card economics</w:t>
            </w:r>
          </w:p>
        </w:tc>
        <w:tc>
          <w:tcPr>
            <w:tcW w:w="3024" w:type="dxa"/>
            <w:tcMar>
              <w:top w:w="100" w:type="dxa"/>
              <w:left w:w="110" w:type="dxa"/>
              <w:bottom w:w="100" w:type="dxa"/>
              <w:right w:w="110" w:type="dxa"/>
            </w:tcMar>
            <w:vAlign w:val="center"/>
          </w:tcPr>
          <w:p w14:paraId="24E9736B" w14:textId="77777777" w:rsidR="008A0525" w:rsidRDefault="008A0525" w:rsidP="007258C1">
            <w:pPr>
              <w:spacing w:after="20"/>
            </w:pPr>
            <w:r>
              <w:rPr>
                <w:sz w:val="17"/>
              </w:rPr>
              <w:t>Not addressed in detail</w:t>
            </w:r>
          </w:p>
        </w:tc>
        <w:tc>
          <w:tcPr>
            <w:tcW w:w="4176" w:type="dxa"/>
            <w:tcMar>
              <w:top w:w="100" w:type="dxa"/>
              <w:left w:w="110" w:type="dxa"/>
              <w:bottom w:w="100" w:type="dxa"/>
              <w:right w:w="110" w:type="dxa"/>
            </w:tcMar>
            <w:vAlign w:val="center"/>
          </w:tcPr>
          <w:p w14:paraId="2AFDA6DD" w14:textId="77777777" w:rsidR="008A0525" w:rsidRDefault="008A0525" w:rsidP="007258C1">
            <w:pPr>
              <w:spacing w:after="20"/>
            </w:pPr>
            <w:r>
              <w:rPr>
                <w:sz w:val="17"/>
              </w:rPr>
              <w:t xml:space="preserve">Important issues, but not the focus of this submission, which is </w:t>
            </w:r>
            <w:proofErr w:type="spellStart"/>
            <w:r>
              <w:rPr>
                <w:sz w:val="17"/>
              </w:rPr>
              <w:t>centred</w:t>
            </w:r>
            <w:proofErr w:type="spellEnd"/>
            <w:r>
              <w:rPr>
                <w:sz w:val="17"/>
              </w:rPr>
              <w:t xml:space="preserve"> on trust, AI, identity, wallets, A2A, fraud and resilience.</w:t>
            </w:r>
          </w:p>
        </w:tc>
      </w:tr>
    </w:tbl>
    <w:p w14:paraId="1833A277" w14:textId="77777777" w:rsidR="008A0525" w:rsidRDefault="008A0525" w:rsidP="008A0525">
      <w:pPr>
        <w:pStyle w:val="ListNumber"/>
        <w:numPr>
          <w:ilvl w:val="0"/>
          <w:numId w:val="0"/>
        </w:numPr>
        <w:ind w:left="360" w:hanging="360"/>
      </w:pPr>
    </w:p>
    <w:p w14:paraId="735674A5" w14:textId="77777777" w:rsidR="00ED5FB6" w:rsidRDefault="00000000">
      <w:pPr>
        <w:pStyle w:val="Heading1"/>
      </w:pPr>
      <w:r>
        <w:t>1. Introduction and Personal Perspective</w:t>
      </w:r>
    </w:p>
    <w:p w14:paraId="56C5D873" w14:textId="77777777" w:rsidR="00ED5FB6" w:rsidRDefault="00000000">
      <w:r>
        <w:t>This submission is made in response to the Reserve Bank of Australia's Review of Payments System Regulation Issues Paper, published on 25 June 2026.</w:t>
      </w:r>
    </w:p>
    <w:p w14:paraId="7F0D8D03" w14:textId="77777777" w:rsidR="00ED5FB6" w:rsidRDefault="00000000">
      <w:r>
        <w:t>I am submitting this paper in a personal capacity. It does not represent the position of my employer, any client organisation or any industry body. The perspective offered is that of a payments practitioner who has worked across payments operations, payments modernisation, payment hubs, real-time payments, ISO 20022 migration, product strategy and financial services transformation.</w:t>
      </w:r>
    </w:p>
    <w:p w14:paraId="45E7B91B" w14:textId="77777777" w:rsidR="00ED5FB6" w:rsidRDefault="00000000">
      <w:r>
        <w:t>Over more than fourteen years, I have observed that payments ecosystems mature most effectively when infrastructure, regulation, market incentives, customer protection and user experience evolve together. Countries that build world-class rails but fail to build trust, usability and participation often under-realise the public value of those investments.</w:t>
      </w:r>
    </w:p>
    <w:p w14:paraId="65B514F3" w14:textId="77777777" w:rsidR="00ED5FB6" w:rsidRDefault="00000000">
      <w:r>
        <w:t>From practical experience</w:t>
      </w:r>
      <w:r w:rsidRPr="00A95452">
        <w:rPr>
          <w:b/>
          <w:bCs/>
        </w:rPr>
        <w:t>, I have found that payment transformation succeeds when technology, customer trust and operating model change move together</w:t>
      </w:r>
      <w:r>
        <w:t>. A new rail or capability may be technically available, but adoption usually depends on whether customers, merchants and operations teams understand it, trust it and can use it consistently.</w:t>
      </w:r>
    </w:p>
    <w:p w14:paraId="6EF1ADCE" w14:textId="77777777" w:rsidR="00ED5FB6" w:rsidRDefault="00000000">
      <w:r>
        <w:t>Rather than responding to each consultation question individually, this submission presents an integrated strategic perspective on the future of Australia's payments ecosystem, with particular emphasis on AI-enabled payments, digital identity, fraud prevention, wallets, A2A competition, cryptographic resilience and long-term regulatory coordination.</w:t>
      </w:r>
    </w:p>
    <w:p w14:paraId="48A59785" w14:textId="77777777" w:rsidR="00ED5FB6" w:rsidRDefault="00000000">
      <w:pPr>
        <w:pStyle w:val="Heading1"/>
      </w:pPr>
      <w:r>
        <w:t>2. Why Australia Can Lead</w:t>
      </w:r>
    </w:p>
    <w:p w14:paraId="13B2A183" w14:textId="77777777" w:rsidR="00ED5FB6" w:rsidRDefault="00000000">
      <w:r>
        <w:t>Australia is unusually well positioned to lead the next generation of payments regulation because many of the necessary building blocks already exist. The country has real-time payments through the NPP, addressing through PayID, future-dated and mandated payment capabilities through PayTo, open data foundations through CDR, Digital ID initiatives, high digital adoption, mature digital wallets, strong regulatory coordination and an increasingly clear A2A vision.</w:t>
      </w:r>
    </w:p>
    <w:p w14:paraId="46EACA0C" w14:textId="77777777" w:rsidR="00ED5FB6" w:rsidRDefault="00000000">
      <w:r>
        <w:t>Australia also has structural characteristics that make coordinated evolution possible: a relatively concentrated banking market, national payment infrastructure, AP+ as an important industry coordination vehicle, active public-sector engagement and a regulatory tradition focused on competition, efficiency and safety.</w:t>
      </w:r>
    </w:p>
    <w:p w14:paraId="385615B0" w14:textId="77777777" w:rsidR="00ED5FB6" w:rsidRDefault="00000000">
      <w:r>
        <w:t>This combination creates a realistic opportunity for Australia to do more than incrementally improve payment rails. Australia can define what an AI-ready, identity-enabled and trust-led payments ecosystem looks like before autonomous commerce becomes mainstream.</w:t>
      </w:r>
    </w:p>
    <w:p w14:paraId="598AC6EB" w14:textId="77777777" w:rsidR="00ED5FB6" w:rsidRDefault="00000000">
      <w:r w:rsidRPr="00437ED9">
        <w:rPr>
          <w:b/>
          <w:bCs/>
        </w:rPr>
        <w:t xml:space="preserve">In my experience across more than one </w:t>
      </w:r>
      <w:proofErr w:type="gramStart"/>
      <w:r w:rsidRPr="00437ED9">
        <w:rPr>
          <w:b/>
          <w:bCs/>
        </w:rPr>
        <w:t>payments</w:t>
      </w:r>
      <w:proofErr w:type="gramEnd"/>
      <w:r w:rsidRPr="00437ED9">
        <w:rPr>
          <w:b/>
          <w:bCs/>
        </w:rPr>
        <w:t xml:space="preserve"> market, this kind of coordination is difficult to retrofit after customer behaviour has already shifted</w:t>
      </w:r>
      <w:r>
        <w:t>. Australia has an opportunity to set the trust and governance foundations early, while AI-enabled commerce, wallet-based payment choice and A2A retail adoption are still forming.</w:t>
      </w:r>
    </w:p>
    <w:p w14:paraId="68A0CC38" w14:textId="77777777" w:rsidR="00BD6796" w:rsidRDefault="00BD6796"/>
    <w:tbl>
      <w:tblPr>
        <w:tblStyle w:val="TableGrid"/>
        <w:tblW w:w="0" w:type="auto"/>
        <w:jc w:val="center"/>
        <w:tblLook w:val="04A0" w:firstRow="1" w:lastRow="0" w:firstColumn="1" w:lastColumn="0" w:noHBand="0" w:noVBand="1"/>
      </w:tblPr>
      <w:tblGrid>
        <w:gridCol w:w="3168"/>
        <w:gridCol w:w="6912"/>
      </w:tblGrid>
      <w:tr w:rsidR="00ED5FB6" w14:paraId="4CD4F3C1" w14:textId="77777777">
        <w:trPr>
          <w:jc w:val="center"/>
        </w:trPr>
        <w:tc>
          <w:tcPr>
            <w:tcW w:w="3168" w:type="dxa"/>
            <w:shd w:val="clear" w:color="auto" w:fill="1F4E79"/>
            <w:tcMar>
              <w:top w:w="100" w:type="dxa"/>
              <w:left w:w="110" w:type="dxa"/>
              <w:bottom w:w="100" w:type="dxa"/>
              <w:right w:w="110" w:type="dxa"/>
            </w:tcMar>
          </w:tcPr>
          <w:p w14:paraId="3BFE183D" w14:textId="77777777" w:rsidR="00ED5FB6" w:rsidRDefault="00000000">
            <w:r>
              <w:rPr>
                <w:b/>
                <w:color w:val="FFFFFF"/>
                <w:sz w:val="17"/>
              </w:rPr>
              <w:lastRenderedPageBreak/>
              <w:t>Australian foundation</w:t>
            </w:r>
          </w:p>
        </w:tc>
        <w:tc>
          <w:tcPr>
            <w:tcW w:w="6912" w:type="dxa"/>
            <w:shd w:val="clear" w:color="auto" w:fill="1F4E79"/>
            <w:tcMar>
              <w:top w:w="100" w:type="dxa"/>
              <w:left w:w="110" w:type="dxa"/>
              <w:bottom w:w="100" w:type="dxa"/>
              <w:right w:w="110" w:type="dxa"/>
            </w:tcMar>
          </w:tcPr>
          <w:p w14:paraId="1DF4A119" w14:textId="77777777" w:rsidR="00ED5FB6" w:rsidRDefault="00000000">
            <w:r>
              <w:rPr>
                <w:b/>
                <w:color w:val="FFFFFF"/>
                <w:sz w:val="17"/>
              </w:rPr>
              <w:t>Why it matters for future payments</w:t>
            </w:r>
          </w:p>
        </w:tc>
      </w:tr>
      <w:tr w:rsidR="00ED5FB6" w14:paraId="110C2CC0" w14:textId="77777777">
        <w:trPr>
          <w:jc w:val="center"/>
        </w:trPr>
        <w:tc>
          <w:tcPr>
            <w:tcW w:w="3168" w:type="dxa"/>
            <w:tcMar>
              <w:top w:w="100" w:type="dxa"/>
              <w:left w:w="110" w:type="dxa"/>
              <w:bottom w:w="100" w:type="dxa"/>
              <w:right w:w="110" w:type="dxa"/>
            </w:tcMar>
            <w:vAlign w:val="center"/>
          </w:tcPr>
          <w:p w14:paraId="20980B62" w14:textId="77777777" w:rsidR="00ED5FB6" w:rsidRDefault="00000000">
            <w:pPr>
              <w:spacing w:after="20"/>
            </w:pPr>
            <w:r>
              <w:rPr>
                <w:sz w:val="17"/>
              </w:rPr>
              <w:t>NPP, PayID and PayTo</w:t>
            </w:r>
          </w:p>
        </w:tc>
        <w:tc>
          <w:tcPr>
            <w:tcW w:w="6912" w:type="dxa"/>
            <w:tcMar>
              <w:top w:w="100" w:type="dxa"/>
              <w:left w:w="110" w:type="dxa"/>
              <w:bottom w:w="100" w:type="dxa"/>
              <w:right w:w="110" w:type="dxa"/>
            </w:tcMar>
            <w:vAlign w:val="center"/>
          </w:tcPr>
          <w:p w14:paraId="03F96108" w14:textId="77777777" w:rsidR="00ED5FB6" w:rsidRDefault="00000000">
            <w:pPr>
              <w:spacing w:after="20"/>
            </w:pPr>
            <w:r>
              <w:rPr>
                <w:sz w:val="17"/>
              </w:rPr>
              <w:t>Provide real-time, addressable and mandate-capable account-to-account foundations.</w:t>
            </w:r>
          </w:p>
        </w:tc>
      </w:tr>
      <w:tr w:rsidR="00ED5FB6" w14:paraId="0517A5DD" w14:textId="77777777">
        <w:trPr>
          <w:jc w:val="center"/>
        </w:trPr>
        <w:tc>
          <w:tcPr>
            <w:tcW w:w="3168" w:type="dxa"/>
            <w:tcMar>
              <w:top w:w="100" w:type="dxa"/>
              <w:left w:w="110" w:type="dxa"/>
              <w:bottom w:w="100" w:type="dxa"/>
              <w:right w:w="110" w:type="dxa"/>
            </w:tcMar>
            <w:vAlign w:val="center"/>
          </w:tcPr>
          <w:p w14:paraId="1B1D881C" w14:textId="77777777" w:rsidR="00ED5FB6" w:rsidRDefault="00000000">
            <w:pPr>
              <w:spacing w:after="20"/>
            </w:pPr>
            <w:r>
              <w:rPr>
                <w:sz w:val="17"/>
              </w:rPr>
              <w:t>Digital wallets</w:t>
            </w:r>
          </w:p>
        </w:tc>
        <w:tc>
          <w:tcPr>
            <w:tcW w:w="6912" w:type="dxa"/>
            <w:tcMar>
              <w:top w:w="100" w:type="dxa"/>
              <w:left w:w="110" w:type="dxa"/>
              <w:bottom w:w="100" w:type="dxa"/>
              <w:right w:w="110" w:type="dxa"/>
            </w:tcMar>
            <w:vAlign w:val="center"/>
          </w:tcPr>
          <w:p w14:paraId="56FB6327" w14:textId="77777777" w:rsidR="00ED5FB6" w:rsidRDefault="00000000">
            <w:pPr>
              <w:spacing w:after="20"/>
            </w:pPr>
            <w:r>
              <w:rPr>
                <w:sz w:val="17"/>
              </w:rPr>
              <w:t>Provide a consumer interface capable of combining payment credentials, identity credentials and permissions.</w:t>
            </w:r>
          </w:p>
        </w:tc>
      </w:tr>
      <w:tr w:rsidR="00ED5FB6" w14:paraId="45CDF033" w14:textId="77777777">
        <w:trPr>
          <w:jc w:val="center"/>
        </w:trPr>
        <w:tc>
          <w:tcPr>
            <w:tcW w:w="3168" w:type="dxa"/>
            <w:tcMar>
              <w:top w:w="100" w:type="dxa"/>
              <w:left w:w="110" w:type="dxa"/>
              <w:bottom w:w="100" w:type="dxa"/>
              <w:right w:w="110" w:type="dxa"/>
            </w:tcMar>
            <w:vAlign w:val="center"/>
          </w:tcPr>
          <w:p w14:paraId="7742C8D4" w14:textId="77777777" w:rsidR="00ED5FB6" w:rsidRDefault="00000000">
            <w:pPr>
              <w:spacing w:after="20"/>
            </w:pPr>
            <w:r>
              <w:rPr>
                <w:sz w:val="17"/>
              </w:rPr>
              <w:t>Digital ID and CDR</w:t>
            </w:r>
          </w:p>
        </w:tc>
        <w:tc>
          <w:tcPr>
            <w:tcW w:w="6912" w:type="dxa"/>
            <w:tcMar>
              <w:top w:w="100" w:type="dxa"/>
              <w:left w:w="110" w:type="dxa"/>
              <w:bottom w:w="100" w:type="dxa"/>
              <w:right w:w="110" w:type="dxa"/>
            </w:tcMar>
            <w:vAlign w:val="center"/>
          </w:tcPr>
          <w:p w14:paraId="581F5A09" w14:textId="77777777" w:rsidR="00ED5FB6" w:rsidRDefault="00000000">
            <w:pPr>
              <w:spacing w:after="20"/>
            </w:pPr>
            <w:r>
              <w:rPr>
                <w:sz w:val="17"/>
              </w:rPr>
              <w:t>Create foundations for verified identity, consent and controlled data sharing.</w:t>
            </w:r>
          </w:p>
        </w:tc>
      </w:tr>
      <w:tr w:rsidR="00ED5FB6" w14:paraId="1C62F329" w14:textId="77777777">
        <w:trPr>
          <w:jc w:val="center"/>
        </w:trPr>
        <w:tc>
          <w:tcPr>
            <w:tcW w:w="3168" w:type="dxa"/>
            <w:tcMar>
              <w:top w:w="100" w:type="dxa"/>
              <w:left w:w="110" w:type="dxa"/>
              <w:bottom w:w="100" w:type="dxa"/>
              <w:right w:w="110" w:type="dxa"/>
            </w:tcMar>
            <w:vAlign w:val="center"/>
          </w:tcPr>
          <w:p w14:paraId="0884A1B5" w14:textId="77777777" w:rsidR="00ED5FB6" w:rsidRDefault="00000000">
            <w:pPr>
              <w:spacing w:after="20"/>
            </w:pPr>
            <w:r>
              <w:rPr>
                <w:sz w:val="17"/>
              </w:rPr>
              <w:t>AP+ and industry coordination</w:t>
            </w:r>
          </w:p>
        </w:tc>
        <w:tc>
          <w:tcPr>
            <w:tcW w:w="6912" w:type="dxa"/>
            <w:tcMar>
              <w:top w:w="100" w:type="dxa"/>
              <w:left w:w="110" w:type="dxa"/>
              <w:bottom w:w="100" w:type="dxa"/>
              <w:right w:w="110" w:type="dxa"/>
            </w:tcMar>
            <w:vAlign w:val="center"/>
          </w:tcPr>
          <w:p w14:paraId="633C53AD" w14:textId="77777777" w:rsidR="00ED5FB6" w:rsidRDefault="00000000">
            <w:pPr>
              <w:spacing w:after="20"/>
            </w:pPr>
            <w:r>
              <w:rPr>
                <w:sz w:val="17"/>
              </w:rPr>
              <w:t>Support coordinated standards, roadmap development and ecosystem governance.</w:t>
            </w:r>
          </w:p>
        </w:tc>
      </w:tr>
      <w:tr w:rsidR="00ED5FB6" w14:paraId="46A03ED7" w14:textId="77777777">
        <w:trPr>
          <w:jc w:val="center"/>
        </w:trPr>
        <w:tc>
          <w:tcPr>
            <w:tcW w:w="3168" w:type="dxa"/>
            <w:tcMar>
              <w:top w:w="100" w:type="dxa"/>
              <w:left w:w="110" w:type="dxa"/>
              <w:bottom w:w="100" w:type="dxa"/>
              <w:right w:w="110" w:type="dxa"/>
            </w:tcMar>
            <w:vAlign w:val="center"/>
          </w:tcPr>
          <w:p w14:paraId="1B17212C" w14:textId="77777777" w:rsidR="00ED5FB6" w:rsidRDefault="00000000">
            <w:pPr>
              <w:spacing w:after="20"/>
            </w:pPr>
            <w:r>
              <w:rPr>
                <w:sz w:val="17"/>
              </w:rPr>
              <w:t>RBA, Treasury, ASIC, AUSTRAC and ACCC roles</w:t>
            </w:r>
          </w:p>
        </w:tc>
        <w:tc>
          <w:tcPr>
            <w:tcW w:w="6912" w:type="dxa"/>
            <w:tcMar>
              <w:top w:w="100" w:type="dxa"/>
              <w:left w:w="110" w:type="dxa"/>
              <w:bottom w:w="100" w:type="dxa"/>
              <w:right w:w="110" w:type="dxa"/>
            </w:tcMar>
            <w:vAlign w:val="center"/>
          </w:tcPr>
          <w:p w14:paraId="61604E14" w14:textId="77777777" w:rsidR="00ED5FB6" w:rsidRDefault="00000000">
            <w:pPr>
              <w:spacing w:after="20"/>
            </w:pPr>
            <w:r>
              <w:rPr>
                <w:sz w:val="17"/>
              </w:rPr>
              <w:t>Provide regulatory levers across safety, competition, financial services, AML/CTF and market conduct.</w:t>
            </w:r>
          </w:p>
        </w:tc>
      </w:tr>
      <w:tr w:rsidR="00ED5FB6" w14:paraId="27F609B6" w14:textId="77777777">
        <w:trPr>
          <w:jc w:val="center"/>
        </w:trPr>
        <w:tc>
          <w:tcPr>
            <w:tcW w:w="3168" w:type="dxa"/>
            <w:tcMar>
              <w:top w:w="100" w:type="dxa"/>
              <w:left w:w="110" w:type="dxa"/>
              <w:bottom w:w="100" w:type="dxa"/>
              <w:right w:w="110" w:type="dxa"/>
            </w:tcMar>
            <w:vAlign w:val="center"/>
          </w:tcPr>
          <w:p w14:paraId="0C979553" w14:textId="77777777" w:rsidR="00ED5FB6" w:rsidRDefault="00000000">
            <w:pPr>
              <w:spacing w:after="20"/>
            </w:pPr>
            <w:r>
              <w:rPr>
                <w:sz w:val="17"/>
              </w:rPr>
              <w:t>NSW Payments Strategy</w:t>
            </w:r>
          </w:p>
        </w:tc>
        <w:tc>
          <w:tcPr>
            <w:tcW w:w="6912" w:type="dxa"/>
            <w:tcMar>
              <w:top w:w="100" w:type="dxa"/>
              <w:left w:w="110" w:type="dxa"/>
              <w:bottom w:w="100" w:type="dxa"/>
              <w:right w:w="110" w:type="dxa"/>
            </w:tcMar>
            <w:vAlign w:val="center"/>
          </w:tcPr>
          <w:p w14:paraId="2E48551D" w14:textId="77777777" w:rsidR="00ED5FB6" w:rsidRDefault="00000000">
            <w:pPr>
              <w:spacing w:after="20"/>
            </w:pPr>
            <w:r>
              <w:rPr>
                <w:sz w:val="17"/>
              </w:rPr>
              <w:t>Demonstrates public-sector emphasis on safer, faster, simpler and customer-centric payments.</w:t>
            </w:r>
          </w:p>
        </w:tc>
      </w:tr>
    </w:tbl>
    <w:p w14:paraId="24DF4C3B" w14:textId="77777777" w:rsidR="00ED5FB6" w:rsidRDefault="00ED5FB6"/>
    <w:p w14:paraId="257C475B" w14:textId="77777777" w:rsidR="00ED5FB6" w:rsidRDefault="00000000">
      <w:pPr>
        <w:pStyle w:val="Heading1"/>
      </w:pPr>
      <w:r>
        <w:t>3. The Australian Trust Layer</w:t>
      </w:r>
    </w:p>
    <w:p w14:paraId="2BCA3252" w14:textId="77777777" w:rsidR="00ED5FB6" w:rsidRDefault="00000000">
      <w:r>
        <w:t>The next stage of payments advantage will not be defined only by speed. Many jurisdictions now have instant or near-instant payments. Australia's opportunity is to build the most trusted digital commerce ecosystem by combining identity, consent, payments, fraud prevention, wallets and cryptographic resilience into a coherent national trust layer.</w:t>
      </w:r>
    </w:p>
    <w:p w14:paraId="06F9397A" w14:textId="77777777" w:rsidR="00ED5FB6" w:rsidRDefault="00000000">
      <w:r>
        <w:t>A practical lesson from payments delivery is that trust is not a single control. It is the cumulative effect of clear identity, reliable confirmation, sensible authentication, transparent redress and operational accountability. When any one of these elements is weak, customers and merchants experience the payment journey as uncertain, even if the underlying rail is efficient.</w:t>
      </w:r>
    </w:p>
    <w:tbl>
      <w:tblPr>
        <w:tblW w:w="0" w:type="auto"/>
        <w:jc w:val="center"/>
        <w:tblLook w:val="04A0" w:firstRow="1" w:lastRow="0" w:firstColumn="1" w:lastColumn="0" w:noHBand="0" w:noVBand="1"/>
      </w:tblPr>
      <w:tblGrid>
        <w:gridCol w:w="9994"/>
      </w:tblGrid>
      <w:tr w:rsidR="00ED5FB6" w14:paraId="0E0418B3" w14:textId="77777777">
        <w:trPr>
          <w:jc w:val="center"/>
        </w:trPr>
        <w:tc>
          <w:tcPr>
            <w:tcW w:w="9994" w:type="dxa"/>
            <w:shd w:val="clear" w:color="auto" w:fill="EAF2F8"/>
            <w:tcMar>
              <w:top w:w="150" w:type="dxa"/>
              <w:left w:w="170" w:type="dxa"/>
              <w:bottom w:w="150" w:type="dxa"/>
              <w:right w:w="170" w:type="dxa"/>
            </w:tcMar>
          </w:tcPr>
          <w:p w14:paraId="221EADF3" w14:textId="77777777" w:rsidR="00ED5FB6" w:rsidRDefault="00000000">
            <w:pPr>
              <w:pStyle w:val="Box"/>
            </w:pPr>
            <w:r>
              <w:rPr>
                <w:b/>
                <w:color w:val="1F4E79"/>
              </w:rPr>
              <w:t>The Australian Trust Layer is the set of shared capabilities that lets people, businesses, software agents and payment providers know who is acting, what authority exists, whether consent is valid, whether fraud risk is acceptable and whether the payment can be executed safely.</w:t>
            </w:r>
          </w:p>
        </w:tc>
      </w:tr>
    </w:tbl>
    <w:p w14:paraId="4E344133" w14:textId="77777777" w:rsidR="00ED5FB6" w:rsidRDefault="00ED5FB6"/>
    <w:tbl>
      <w:tblPr>
        <w:tblStyle w:val="TableGrid"/>
        <w:tblW w:w="0" w:type="auto"/>
        <w:jc w:val="center"/>
        <w:tblLook w:val="04A0" w:firstRow="1" w:lastRow="0" w:firstColumn="1" w:lastColumn="0" w:noHBand="0" w:noVBand="1"/>
      </w:tblPr>
      <w:tblGrid>
        <w:gridCol w:w="3024"/>
        <w:gridCol w:w="6912"/>
      </w:tblGrid>
      <w:tr w:rsidR="00ED5FB6" w14:paraId="3515836C" w14:textId="77777777">
        <w:trPr>
          <w:jc w:val="center"/>
        </w:trPr>
        <w:tc>
          <w:tcPr>
            <w:tcW w:w="3024" w:type="dxa"/>
            <w:shd w:val="clear" w:color="auto" w:fill="1F4E79"/>
            <w:tcMar>
              <w:top w:w="100" w:type="dxa"/>
              <w:left w:w="110" w:type="dxa"/>
              <w:bottom w:w="100" w:type="dxa"/>
              <w:right w:w="110" w:type="dxa"/>
            </w:tcMar>
          </w:tcPr>
          <w:p w14:paraId="45B627E1" w14:textId="77777777" w:rsidR="00ED5FB6" w:rsidRDefault="00000000">
            <w:r>
              <w:rPr>
                <w:b/>
                <w:color w:val="FFFFFF"/>
                <w:sz w:val="17"/>
              </w:rPr>
              <w:t>Trust-layer element</w:t>
            </w:r>
          </w:p>
        </w:tc>
        <w:tc>
          <w:tcPr>
            <w:tcW w:w="6912" w:type="dxa"/>
            <w:shd w:val="clear" w:color="auto" w:fill="1F4E79"/>
            <w:tcMar>
              <w:top w:w="100" w:type="dxa"/>
              <w:left w:w="110" w:type="dxa"/>
              <w:bottom w:w="100" w:type="dxa"/>
              <w:right w:w="110" w:type="dxa"/>
            </w:tcMar>
          </w:tcPr>
          <w:p w14:paraId="7824C138" w14:textId="77777777" w:rsidR="00ED5FB6" w:rsidRDefault="00000000">
            <w:r>
              <w:rPr>
                <w:b/>
                <w:color w:val="FFFFFF"/>
                <w:sz w:val="17"/>
              </w:rPr>
              <w:t>Role in the payments ecosystem</w:t>
            </w:r>
          </w:p>
        </w:tc>
      </w:tr>
      <w:tr w:rsidR="00ED5FB6" w14:paraId="55A5F867" w14:textId="77777777">
        <w:trPr>
          <w:jc w:val="center"/>
        </w:trPr>
        <w:tc>
          <w:tcPr>
            <w:tcW w:w="3024" w:type="dxa"/>
            <w:tcMar>
              <w:top w:w="100" w:type="dxa"/>
              <w:left w:w="110" w:type="dxa"/>
              <w:bottom w:w="100" w:type="dxa"/>
              <w:right w:w="110" w:type="dxa"/>
            </w:tcMar>
            <w:vAlign w:val="center"/>
          </w:tcPr>
          <w:p w14:paraId="155F864D" w14:textId="77777777" w:rsidR="00ED5FB6" w:rsidRDefault="00000000">
            <w:pPr>
              <w:spacing w:after="20"/>
            </w:pPr>
            <w:r>
              <w:rPr>
                <w:sz w:val="17"/>
              </w:rPr>
              <w:t>Digital ID</w:t>
            </w:r>
          </w:p>
        </w:tc>
        <w:tc>
          <w:tcPr>
            <w:tcW w:w="6912" w:type="dxa"/>
            <w:tcMar>
              <w:top w:w="100" w:type="dxa"/>
              <w:left w:w="110" w:type="dxa"/>
              <w:bottom w:w="100" w:type="dxa"/>
              <w:right w:w="110" w:type="dxa"/>
            </w:tcMar>
            <w:vAlign w:val="center"/>
          </w:tcPr>
          <w:p w14:paraId="0CAFF711" w14:textId="77777777" w:rsidR="00ED5FB6" w:rsidRDefault="00000000">
            <w:pPr>
              <w:spacing w:after="20"/>
            </w:pPr>
            <w:r>
              <w:rPr>
                <w:sz w:val="17"/>
              </w:rPr>
              <w:t>Verifies people, businesses and authorised software agents.</w:t>
            </w:r>
          </w:p>
        </w:tc>
      </w:tr>
      <w:tr w:rsidR="00ED5FB6" w14:paraId="36F132C8" w14:textId="77777777">
        <w:trPr>
          <w:jc w:val="center"/>
        </w:trPr>
        <w:tc>
          <w:tcPr>
            <w:tcW w:w="3024" w:type="dxa"/>
            <w:tcMar>
              <w:top w:w="100" w:type="dxa"/>
              <w:left w:w="110" w:type="dxa"/>
              <w:bottom w:w="100" w:type="dxa"/>
              <w:right w:w="110" w:type="dxa"/>
            </w:tcMar>
            <w:vAlign w:val="center"/>
          </w:tcPr>
          <w:p w14:paraId="5B376E38" w14:textId="77777777" w:rsidR="00ED5FB6" w:rsidRDefault="00000000">
            <w:pPr>
              <w:spacing w:after="20"/>
            </w:pPr>
            <w:r>
              <w:rPr>
                <w:sz w:val="17"/>
              </w:rPr>
              <w:t>PayID and confirmation services</w:t>
            </w:r>
          </w:p>
        </w:tc>
        <w:tc>
          <w:tcPr>
            <w:tcW w:w="6912" w:type="dxa"/>
            <w:tcMar>
              <w:top w:w="100" w:type="dxa"/>
              <w:left w:w="110" w:type="dxa"/>
              <w:bottom w:w="100" w:type="dxa"/>
              <w:right w:w="110" w:type="dxa"/>
            </w:tcMar>
            <w:vAlign w:val="center"/>
          </w:tcPr>
          <w:p w14:paraId="788C3C46" w14:textId="77777777" w:rsidR="00ED5FB6" w:rsidRDefault="00000000">
            <w:pPr>
              <w:spacing w:after="20"/>
            </w:pPr>
            <w:r>
              <w:rPr>
                <w:sz w:val="17"/>
              </w:rPr>
              <w:t>Reduces friction and misdirected payments by improving payment addressing and recipient confidence.</w:t>
            </w:r>
          </w:p>
        </w:tc>
      </w:tr>
      <w:tr w:rsidR="00ED5FB6" w14:paraId="219181B4" w14:textId="77777777">
        <w:trPr>
          <w:jc w:val="center"/>
        </w:trPr>
        <w:tc>
          <w:tcPr>
            <w:tcW w:w="3024" w:type="dxa"/>
            <w:tcMar>
              <w:top w:w="100" w:type="dxa"/>
              <w:left w:w="110" w:type="dxa"/>
              <w:bottom w:w="100" w:type="dxa"/>
              <w:right w:w="110" w:type="dxa"/>
            </w:tcMar>
            <w:vAlign w:val="center"/>
          </w:tcPr>
          <w:p w14:paraId="5E35E51E" w14:textId="77777777" w:rsidR="00ED5FB6" w:rsidRDefault="00000000">
            <w:pPr>
              <w:spacing w:after="20"/>
            </w:pPr>
            <w:r>
              <w:rPr>
                <w:sz w:val="17"/>
              </w:rPr>
              <w:t>Consent artefacts</w:t>
            </w:r>
          </w:p>
        </w:tc>
        <w:tc>
          <w:tcPr>
            <w:tcW w:w="6912" w:type="dxa"/>
            <w:tcMar>
              <w:top w:w="100" w:type="dxa"/>
              <w:left w:w="110" w:type="dxa"/>
              <w:bottom w:w="100" w:type="dxa"/>
              <w:right w:w="110" w:type="dxa"/>
            </w:tcMar>
            <w:vAlign w:val="center"/>
          </w:tcPr>
          <w:p w14:paraId="54A38E28" w14:textId="77777777" w:rsidR="00ED5FB6" w:rsidRDefault="00000000">
            <w:pPr>
              <w:spacing w:after="20"/>
            </w:pPr>
            <w:r>
              <w:rPr>
                <w:sz w:val="17"/>
              </w:rPr>
              <w:t>Records what authority has been granted, to whom, for what purpose and for how long.</w:t>
            </w:r>
          </w:p>
        </w:tc>
      </w:tr>
      <w:tr w:rsidR="00ED5FB6" w14:paraId="5B746FC5" w14:textId="77777777">
        <w:trPr>
          <w:jc w:val="center"/>
        </w:trPr>
        <w:tc>
          <w:tcPr>
            <w:tcW w:w="3024" w:type="dxa"/>
            <w:tcMar>
              <w:top w:w="100" w:type="dxa"/>
              <w:left w:w="110" w:type="dxa"/>
              <w:bottom w:w="100" w:type="dxa"/>
              <w:right w:w="110" w:type="dxa"/>
            </w:tcMar>
            <w:vAlign w:val="center"/>
          </w:tcPr>
          <w:p w14:paraId="6629A2D1" w14:textId="77777777" w:rsidR="00ED5FB6" w:rsidRDefault="00000000">
            <w:pPr>
              <w:spacing w:after="20"/>
            </w:pPr>
            <w:r>
              <w:rPr>
                <w:sz w:val="17"/>
              </w:rPr>
              <w:t>Wallet credentials</w:t>
            </w:r>
          </w:p>
        </w:tc>
        <w:tc>
          <w:tcPr>
            <w:tcW w:w="6912" w:type="dxa"/>
            <w:tcMar>
              <w:top w:w="100" w:type="dxa"/>
              <w:left w:w="110" w:type="dxa"/>
              <w:bottom w:w="100" w:type="dxa"/>
              <w:right w:w="110" w:type="dxa"/>
            </w:tcMar>
            <w:vAlign w:val="center"/>
          </w:tcPr>
          <w:p w14:paraId="66581041" w14:textId="77777777" w:rsidR="00ED5FB6" w:rsidRDefault="00000000">
            <w:pPr>
              <w:spacing w:after="20"/>
            </w:pPr>
            <w:r>
              <w:rPr>
                <w:sz w:val="17"/>
              </w:rPr>
              <w:t>Stores payment, identity and permission credentials in a consumer-controlled interface.</w:t>
            </w:r>
          </w:p>
        </w:tc>
      </w:tr>
      <w:tr w:rsidR="00ED5FB6" w14:paraId="32F8A760" w14:textId="77777777">
        <w:trPr>
          <w:jc w:val="center"/>
        </w:trPr>
        <w:tc>
          <w:tcPr>
            <w:tcW w:w="3024" w:type="dxa"/>
            <w:tcMar>
              <w:top w:w="100" w:type="dxa"/>
              <w:left w:w="110" w:type="dxa"/>
              <w:bottom w:w="100" w:type="dxa"/>
              <w:right w:w="110" w:type="dxa"/>
            </w:tcMar>
            <w:vAlign w:val="center"/>
          </w:tcPr>
          <w:p w14:paraId="1CF0B076" w14:textId="77777777" w:rsidR="00ED5FB6" w:rsidRDefault="00000000">
            <w:pPr>
              <w:spacing w:after="20"/>
            </w:pPr>
            <w:r>
              <w:rPr>
                <w:sz w:val="17"/>
              </w:rPr>
              <w:t>Fraud intelligence</w:t>
            </w:r>
          </w:p>
        </w:tc>
        <w:tc>
          <w:tcPr>
            <w:tcW w:w="6912" w:type="dxa"/>
            <w:tcMar>
              <w:top w:w="100" w:type="dxa"/>
              <w:left w:w="110" w:type="dxa"/>
              <w:bottom w:w="100" w:type="dxa"/>
              <w:right w:w="110" w:type="dxa"/>
            </w:tcMar>
            <w:vAlign w:val="center"/>
          </w:tcPr>
          <w:p w14:paraId="58AE54D0" w14:textId="77777777" w:rsidR="00ED5FB6" w:rsidRDefault="00000000">
            <w:pPr>
              <w:spacing w:after="20"/>
            </w:pPr>
            <w:r>
              <w:rPr>
                <w:sz w:val="17"/>
              </w:rPr>
              <w:t>Supports near-real-time detection of scams, mule activity and suspicious behaviour across providers.</w:t>
            </w:r>
          </w:p>
        </w:tc>
      </w:tr>
      <w:tr w:rsidR="00ED5FB6" w14:paraId="3B82B3B8" w14:textId="77777777">
        <w:trPr>
          <w:jc w:val="center"/>
        </w:trPr>
        <w:tc>
          <w:tcPr>
            <w:tcW w:w="3024" w:type="dxa"/>
            <w:tcMar>
              <w:top w:w="100" w:type="dxa"/>
              <w:left w:w="110" w:type="dxa"/>
              <w:bottom w:w="100" w:type="dxa"/>
              <w:right w:w="110" w:type="dxa"/>
            </w:tcMar>
            <w:vAlign w:val="center"/>
          </w:tcPr>
          <w:p w14:paraId="0839D25D" w14:textId="77777777" w:rsidR="00ED5FB6" w:rsidRDefault="00000000">
            <w:pPr>
              <w:spacing w:after="20"/>
            </w:pPr>
            <w:r>
              <w:rPr>
                <w:sz w:val="17"/>
              </w:rPr>
              <w:t>Cryptography</w:t>
            </w:r>
          </w:p>
        </w:tc>
        <w:tc>
          <w:tcPr>
            <w:tcW w:w="6912" w:type="dxa"/>
            <w:tcMar>
              <w:top w:w="100" w:type="dxa"/>
              <w:left w:w="110" w:type="dxa"/>
              <w:bottom w:w="100" w:type="dxa"/>
              <w:right w:w="110" w:type="dxa"/>
            </w:tcMar>
            <w:vAlign w:val="center"/>
          </w:tcPr>
          <w:p w14:paraId="2D47EE03" w14:textId="77777777" w:rsidR="00ED5FB6" w:rsidRDefault="00000000">
            <w:pPr>
              <w:spacing w:after="20"/>
            </w:pPr>
            <w:r>
              <w:rPr>
                <w:sz w:val="17"/>
              </w:rPr>
              <w:t>Protects confidentiality, integrity, authenticity and long-term resilience.</w:t>
            </w:r>
          </w:p>
        </w:tc>
      </w:tr>
      <w:tr w:rsidR="00ED5FB6" w14:paraId="5CAB6116" w14:textId="77777777">
        <w:trPr>
          <w:jc w:val="center"/>
        </w:trPr>
        <w:tc>
          <w:tcPr>
            <w:tcW w:w="3024" w:type="dxa"/>
            <w:tcMar>
              <w:top w:w="100" w:type="dxa"/>
              <w:left w:w="110" w:type="dxa"/>
              <w:bottom w:w="100" w:type="dxa"/>
              <w:right w:w="110" w:type="dxa"/>
            </w:tcMar>
            <w:vAlign w:val="center"/>
          </w:tcPr>
          <w:p w14:paraId="20357063" w14:textId="77777777" w:rsidR="00ED5FB6" w:rsidRDefault="00000000">
            <w:pPr>
              <w:spacing w:after="20"/>
            </w:pPr>
            <w:r>
              <w:rPr>
                <w:sz w:val="17"/>
              </w:rPr>
              <w:t>AI governance</w:t>
            </w:r>
          </w:p>
        </w:tc>
        <w:tc>
          <w:tcPr>
            <w:tcW w:w="6912" w:type="dxa"/>
            <w:tcMar>
              <w:top w:w="100" w:type="dxa"/>
              <w:left w:w="110" w:type="dxa"/>
              <w:bottom w:w="100" w:type="dxa"/>
              <w:right w:w="110" w:type="dxa"/>
            </w:tcMar>
            <w:vAlign w:val="center"/>
          </w:tcPr>
          <w:p w14:paraId="3D2557F0" w14:textId="77777777" w:rsidR="00ED5FB6" w:rsidRDefault="00000000">
            <w:pPr>
              <w:spacing w:after="20"/>
            </w:pPr>
            <w:r>
              <w:rPr>
                <w:sz w:val="17"/>
              </w:rPr>
              <w:t>Provides accountability when software agents recommend, negotiate or initiate payment actions.</w:t>
            </w:r>
          </w:p>
        </w:tc>
      </w:tr>
    </w:tbl>
    <w:p w14:paraId="35B86D19" w14:textId="77777777" w:rsidR="00ED5FB6" w:rsidRDefault="00ED5FB6"/>
    <w:p w14:paraId="7F3E2554" w14:textId="77777777" w:rsidR="00ED5FB6" w:rsidRPr="00955AA7" w:rsidRDefault="00000000">
      <w:pPr>
        <w:rPr>
          <w:b/>
          <w:bCs/>
        </w:rPr>
      </w:pPr>
      <w:r w:rsidRPr="00955AA7">
        <w:rPr>
          <w:b/>
          <w:bCs/>
        </w:rPr>
        <w:lastRenderedPageBreak/>
        <w:t>The Australian Trust Layer is the primary framework proposed by this submission. Other elements in this paper should be read as supporting mechanisms: the principles define design choices, the Intelligent Payments Stack describes implementation layers, the roadmap sequences action and the metrics measure whether trust is improving.</w:t>
      </w:r>
    </w:p>
    <w:p w14:paraId="0E2B1223" w14:textId="77777777" w:rsidR="00ED5FB6" w:rsidRDefault="00000000">
      <w:r w:rsidRPr="00955AA7">
        <w:rPr>
          <w:b/>
          <w:bCs/>
          <w:i/>
          <w:iCs/>
        </w:rPr>
        <w:t>This trust layer should not replace payment rails</w:t>
      </w:r>
      <w:r>
        <w:t>. It should sit above and across them, allowing cards, A2A payments, PayTo, digital wallets, tokenised deposits, regulated stablecoins, CBDCs or future payment mechanisms to operate within a common framework of identity, consent, risk and accountability.</w:t>
      </w:r>
    </w:p>
    <w:p w14:paraId="25637DB1" w14:textId="77777777" w:rsidR="00ED5FB6" w:rsidRDefault="00000000">
      <w:pPr>
        <w:pStyle w:val="Heading1"/>
      </w:pPr>
      <w:r>
        <w:t>4. Intelligent Payments Stack</w:t>
      </w:r>
    </w:p>
    <w:p w14:paraId="74D9B2E2" w14:textId="77777777" w:rsidR="00ED5FB6" w:rsidRDefault="00000000">
      <w:r>
        <w:t xml:space="preserve">The </w:t>
      </w:r>
      <w:r w:rsidRPr="00E1411F">
        <w:rPr>
          <w:b/>
          <w:bCs/>
        </w:rPr>
        <w:t>Intelligent Payments Stack is a supporting implementation view for the Australian Trust Layer</w:t>
      </w:r>
      <w:r>
        <w:t>. It recognises that future payment experiences are delivered through interconnected layers rather than isolated payment instruments.</w:t>
      </w:r>
    </w:p>
    <w:tbl>
      <w:tblPr>
        <w:tblStyle w:val="TableGrid"/>
        <w:tblW w:w="0" w:type="auto"/>
        <w:jc w:val="center"/>
        <w:tblLook w:val="04A0" w:firstRow="1" w:lastRow="0" w:firstColumn="1" w:lastColumn="0" w:noHBand="0" w:noVBand="1"/>
      </w:tblPr>
      <w:tblGrid>
        <w:gridCol w:w="2880"/>
        <w:gridCol w:w="7056"/>
      </w:tblGrid>
      <w:tr w:rsidR="00ED5FB6" w14:paraId="68B81CF3" w14:textId="77777777">
        <w:trPr>
          <w:jc w:val="center"/>
        </w:trPr>
        <w:tc>
          <w:tcPr>
            <w:tcW w:w="2880" w:type="dxa"/>
            <w:shd w:val="clear" w:color="auto" w:fill="1F4E79"/>
            <w:tcMar>
              <w:top w:w="100" w:type="dxa"/>
              <w:left w:w="110" w:type="dxa"/>
              <w:bottom w:w="100" w:type="dxa"/>
              <w:right w:w="110" w:type="dxa"/>
            </w:tcMar>
          </w:tcPr>
          <w:p w14:paraId="5EB08229" w14:textId="77777777" w:rsidR="00ED5FB6" w:rsidRDefault="00000000">
            <w:r>
              <w:rPr>
                <w:b/>
                <w:color w:val="FFFFFF"/>
                <w:sz w:val="17"/>
              </w:rPr>
              <w:t>Layer</w:t>
            </w:r>
          </w:p>
        </w:tc>
        <w:tc>
          <w:tcPr>
            <w:tcW w:w="7056" w:type="dxa"/>
            <w:shd w:val="clear" w:color="auto" w:fill="1F4E79"/>
            <w:tcMar>
              <w:top w:w="100" w:type="dxa"/>
              <w:left w:w="110" w:type="dxa"/>
              <w:bottom w:w="100" w:type="dxa"/>
              <w:right w:w="110" w:type="dxa"/>
            </w:tcMar>
          </w:tcPr>
          <w:p w14:paraId="347E34B0" w14:textId="77777777" w:rsidR="00ED5FB6" w:rsidRDefault="00000000">
            <w:r>
              <w:rPr>
                <w:b/>
                <w:color w:val="FFFFFF"/>
                <w:sz w:val="17"/>
              </w:rPr>
              <w:t>Description</w:t>
            </w:r>
          </w:p>
        </w:tc>
      </w:tr>
      <w:tr w:rsidR="00ED5FB6" w14:paraId="73C6D667" w14:textId="77777777">
        <w:trPr>
          <w:jc w:val="center"/>
        </w:trPr>
        <w:tc>
          <w:tcPr>
            <w:tcW w:w="2880" w:type="dxa"/>
            <w:tcMar>
              <w:top w:w="100" w:type="dxa"/>
              <w:left w:w="110" w:type="dxa"/>
              <w:bottom w:w="100" w:type="dxa"/>
              <w:right w:w="110" w:type="dxa"/>
            </w:tcMar>
            <w:vAlign w:val="center"/>
          </w:tcPr>
          <w:p w14:paraId="7A3B8E62" w14:textId="77777777" w:rsidR="00ED5FB6" w:rsidRDefault="00000000">
            <w:pPr>
              <w:spacing w:after="20"/>
            </w:pPr>
            <w:r>
              <w:rPr>
                <w:sz w:val="17"/>
              </w:rPr>
              <w:t>Experience layer</w:t>
            </w:r>
          </w:p>
        </w:tc>
        <w:tc>
          <w:tcPr>
            <w:tcW w:w="7056" w:type="dxa"/>
            <w:tcMar>
              <w:top w:w="100" w:type="dxa"/>
              <w:left w:w="110" w:type="dxa"/>
              <w:bottom w:w="100" w:type="dxa"/>
              <w:right w:w="110" w:type="dxa"/>
            </w:tcMar>
            <w:vAlign w:val="center"/>
          </w:tcPr>
          <w:p w14:paraId="59D24C52" w14:textId="77777777" w:rsidR="00ED5FB6" w:rsidRDefault="00000000">
            <w:pPr>
              <w:spacing w:after="20"/>
            </w:pPr>
            <w:r>
              <w:rPr>
                <w:sz w:val="17"/>
              </w:rPr>
              <w:t>Consumers, businesses, merchants, platforms, embedded finance environments and AI assistants.</w:t>
            </w:r>
          </w:p>
        </w:tc>
      </w:tr>
      <w:tr w:rsidR="00ED5FB6" w14:paraId="471CBF20" w14:textId="77777777">
        <w:trPr>
          <w:jc w:val="center"/>
        </w:trPr>
        <w:tc>
          <w:tcPr>
            <w:tcW w:w="2880" w:type="dxa"/>
            <w:tcMar>
              <w:top w:w="100" w:type="dxa"/>
              <w:left w:w="110" w:type="dxa"/>
              <w:bottom w:w="100" w:type="dxa"/>
              <w:right w:w="110" w:type="dxa"/>
            </w:tcMar>
            <w:vAlign w:val="center"/>
          </w:tcPr>
          <w:p w14:paraId="2E1C2DD9" w14:textId="77777777" w:rsidR="00ED5FB6" w:rsidRDefault="00000000">
            <w:pPr>
              <w:spacing w:after="20"/>
            </w:pPr>
            <w:r>
              <w:rPr>
                <w:sz w:val="17"/>
              </w:rPr>
              <w:t>Trust layer</w:t>
            </w:r>
          </w:p>
        </w:tc>
        <w:tc>
          <w:tcPr>
            <w:tcW w:w="7056" w:type="dxa"/>
            <w:tcMar>
              <w:top w:w="100" w:type="dxa"/>
              <w:left w:w="110" w:type="dxa"/>
              <w:bottom w:w="100" w:type="dxa"/>
              <w:right w:w="110" w:type="dxa"/>
            </w:tcMar>
            <w:vAlign w:val="center"/>
          </w:tcPr>
          <w:p w14:paraId="0A179E33" w14:textId="77777777" w:rsidR="00ED5FB6" w:rsidRDefault="00000000">
            <w:pPr>
              <w:spacing w:after="20"/>
            </w:pPr>
            <w:r>
              <w:rPr>
                <w:sz w:val="17"/>
              </w:rPr>
              <w:t>Digital ID, consent, PayID, wallet credentials, fraud intelligence, authentication and cryptographic assurance.</w:t>
            </w:r>
          </w:p>
        </w:tc>
      </w:tr>
      <w:tr w:rsidR="00ED5FB6" w14:paraId="06796CAA" w14:textId="77777777">
        <w:trPr>
          <w:jc w:val="center"/>
        </w:trPr>
        <w:tc>
          <w:tcPr>
            <w:tcW w:w="2880" w:type="dxa"/>
            <w:tcMar>
              <w:top w:w="100" w:type="dxa"/>
              <w:left w:w="110" w:type="dxa"/>
              <w:bottom w:w="100" w:type="dxa"/>
              <w:right w:w="110" w:type="dxa"/>
            </w:tcMar>
            <w:vAlign w:val="center"/>
          </w:tcPr>
          <w:p w14:paraId="34DD1C19" w14:textId="77777777" w:rsidR="00ED5FB6" w:rsidRDefault="00000000">
            <w:pPr>
              <w:spacing w:after="20"/>
            </w:pPr>
            <w:r>
              <w:rPr>
                <w:sz w:val="17"/>
              </w:rPr>
              <w:t>Wallet and credential layer</w:t>
            </w:r>
          </w:p>
        </w:tc>
        <w:tc>
          <w:tcPr>
            <w:tcW w:w="7056" w:type="dxa"/>
            <w:tcMar>
              <w:top w:w="100" w:type="dxa"/>
              <w:left w:w="110" w:type="dxa"/>
              <w:bottom w:w="100" w:type="dxa"/>
              <w:right w:w="110" w:type="dxa"/>
            </w:tcMar>
            <w:vAlign w:val="center"/>
          </w:tcPr>
          <w:p w14:paraId="218BAD05" w14:textId="77777777" w:rsidR="00ED5FB6" w:rsidRDefault="00000000">
            <w:pPr>
              <w:spacing w:after="20"/>
            </w:pPr>
            <w:r>
              <w:rPr>
                <w:sz w:val="17"/>
              </w:rPr>
              <w:t>Payment credentials, identity attributes, licences, business credentials, permits, digital receipts, loyalty, age verification and delegated permissions.</w:t>
            </w:r>
          </w:p>
        </w:tc>
      </w:tr>
      <w:tr w:rsidR="00ED5FB6" w14:paraId="30BEA8BC" w14:textId="77777777">
        <w:trPr>
          <w:jc w:val="center"/>
        </w:trPr>
        <w:tc>
          <w:tcPr>
            <w:tcW w:w="2880" w:type="dxa"/>
            <w:tcMar>
              <w:top w:w="100" w:type="dxa"/>
              <w:left w:w="110" w:type="dxa"/>
              <w:bottom w:w="100" w:type="dxa"/>
              <w:right w:w="110" w:type="dxa"/>
            </w:tcMar>
            <w:vAlign w:val="center"/>
          </w:tcPr>
          <w:p w14:paraId="7B4A730C" w14:textId="77777777" w:rsidR="00ED5FB6" w:rsidRDefault="00000000">
            <w:pPr>
              <w:spacing w:after="20"/>
            </w:pPr>
            <w:r>
              <w:rPr>
                <w:sz w:val="17"/>
              </w:rPr>
              <w:t>Orchestration layer</w:t>
            </w:r>
          </w:p>
        </w:tc>
        <w:tc>
          <w:tcPr>
            <w:tcW w:w="7056" w:type="dxa"/>
            <w:tcMar>
              <w:top w:w="100" w:type="dxa"/>
              <w:left w:w="110" w:type="dxa"/>
              <w:bottom w:w="100" w:type="dxa"/>
              <w:right w:w="110" w:type="dxa"/>
            </w:tcMar>
            <w:vAlign w:val="center"/>
          </w:tcPr>
          <w:p w14:paraId="722C8386" w14:textId="77777777" w:rsidR="00ED5FB6" w:rsidRDefault="00000000">
            <w:pPr>
              <w:spacing w:after="20"/>
            </w:pPr>
            <w:r>
              <w:rPr>
                <w:sz w:val="17"/>
              </w:rPr>
              <w:t>Routing decisions based on cost, risk, consumer preference, merchant acceptance, resilience and availability.</w:t>
            </w:r>
          </w:p>
        </w:tc>
      </w:tr>
      <w:tr w:rsidR="00ED5FB6" w14:paraId="67366863" w14:textId="77777777">
        <w:trPr>
          <w:jc w:val="center"/>
        </w:trPr>
        <w:tc>
          <w:tcPr>
            <w:tcW w:w="2880" w:type="dxa"/>
            <w:tcMar>
              <w:top w:w="100" w:type="dxa"/>
              <w:left w:w="110" w:type="dxa"/>
              <w:bottom w:w="100" w:type="dxa"/>
              <w:right w:w="110" w:type="dxa"/>
            </w:tcMar>
            <w:vAlign w:val="center"/>
          </w:tcPr>
          <w:p w14:paraId="1D5C1448" w14:textId="77777777" w:rsidR="00ED5FB6" w:rsidRDefault="00000000">
            <w:pPr>
              <w:spacing w:after="20"/>
            </w:pPr>
            <w:r>
              <w:rPr>
                <w:sz w:val="17"/>
              </w:rPr>
              <w:t>Value layer</w:t>
            </w:r>
          </w:p>
        </w:tc>
        <w:tc>
          <w:tcPr>
            <w:tcW w:w="7056" w:type="dxa"/>
            <w:tcMar>
              <w:top w:w="100" w:type="dxa"/>
              <w:left w:w="110" w:type="dxa"/>
              <w:bottom w:w="100" w:type="dxa"/>
              <w:right w:w="110" w:type="dxa"/>
            </w:tcMar>
            <w:vAlign w:val="center"/>
          </w:tcPr>
          <w:p w14:paraId="7082DBC8" w14:textId="77777777" w:rsidR="00ED5FB6" w:rsidRDefault="00000000">
            <w:pPr>
              <w:spacing w:after="20"/>
            </w:pPr>
            <w:r>
              <w:rPr>
                <w:sz w:val="17"/>
              </w:rPr>
              <w:t>Cards, NPP, PayTo, BECS transition pathways, tokenised deposits, regulated stablecoins, CBDCs and programmable money.</w:t>
            </w:r>
          </w:p>
        </w:tc>
      </w:tr>
      <w:tr w:rsidR="00ED5FB6" w14:paraId="43C897A0" w14:textId="77777777">
        <w:trPr>
          <w:jc w:val="center"/>
        </w:trPr>
        <w:tc>
          <w:tcPr>
            <w:tcW w:w="2880" w:type="dxa"/>
            <w:tcMar>
              <w:top w:w="100" w:type="dxa"/>
              <w:left w:w="110" w:type="dxa"/>
              <w:bottom w:w="100" w:type="dxa"/>
              <w:right w:w="110" w:type="dxa"/>
            </w:tcMar>
            <w:vAlign w:val="center"/>
          </w:tcPr>
          <w:p w14:paraId="2D4F8AFD" w14:textId="77777777" w:rsidR="00ED5FB6" w:rsidRDefault="00000000">
            <w:pPr>
              <w:spacing w:after="20"/>
            </w:pPr>
            <w:r>
              <w:rPr>
                <w:sz w:val="17"/>
              </w:rPr>
              <w:t>Resilience layer</w:t>
            </w:r>
          </w:p>
        </w:tc>
        <w:tc>
          <w:tcPr>
            <w:tcW w:w="7056" w:type="dxa"/>
            <w:tcMar>
              <w:top w:w="100" w:type="dxa"/>
              <w:left w:w="110" w:type="dxa"/>
              <w:bottom w:w="100" w:type="dxa"/>
              <w:right w:w="110" w:type="dxa"/>
            </w:tcMar>
            <w:vAlign w:val="center"/>
          </w:tcPr>
          <w:p w14:paraId="5F93CA66" w14:textId="77777777" w:rsidR="00ED5FB6" w:rsidRDefault="00000000">
            <w:pPr>
              <w:spacing w:after="20"/>
            </w:pPr>
            <w:r>
              <w:rPr>
                <w:sz w:val="17"/>
              </w:rPr>
              <w:t>Operational resilience, cyber controls, cryptographic agility, contingency arrangements and industry-wide recovery planning.</w:t>
            </w:r>
          </w:p>
        </w:tc>
      </w:tr>
    </w:tbl>
    <w:p w14:paraId="016DB689" w14:textId="77777777" w:rsidR="00ED5FB6" w:rsidRDefault="00ED5FB6"/>
    <w:p w14:paraId="69005E57" w14:textId="77777777" w:rsidR="00ED5FB6" w:rsidRDefault="00000000">
      <w:pPr>
        <w:pStyle w:val="Heading1"/>
      </w:pPr>
      <w:r>
        <w:t>5. Trust as Competitive Advantage: Fraud, Scams and Consumer Protection</w:t>
      </w:r>
    </w:p>
    <w:p w14:paraId="4E300EC4" w14:textId="77777777" w:rsidR="00ED5FB6" w:rsidRDefault="00000000">
      <w:r>
        <w:t>Fraud and scams should be treated as central to future payments regulation, not as a supporting operational issue. If consumers do not trust a payment method, adoption will stall regardless of how efficient or innovative the underlying rail may be.</w:t>
      </w:r>
    </w:p>
    <w:p w14:paraId="24B34E5F" w14:textId="77777777" w:rsidR="00ED5FB6" w:rsidRDefault="00000000">
      <w:r>
        <w:t>The RBA Issues Paper highlights fraud and financial safety as a core part of the review, including overseas card-not-present fraud. The same policy logic should be extended to AI-enabled payments, wallet-based payments and account-to-account payments, where scam risk, mule activity, identity fraud and disputed authorisation may become more complex.</w:t>
      </w:r>
    </w:p>
    <w:p w14:paraId="0DD24BD6" w14:textId="77777777" w:rsidR="00ED5FB6" w:rsidRDefault="00000000">
      <w:r>
        <w:t>In operational environments, fraud controls that are too blunt can create friction and abandonment, while controls that are too weak can rapidly undermine confidence. The regulatory objective should therefore be risk-based trust: stronger intervention where risk signals are high, and low-friction experiences where identity, device, behavioural and transaction signals are consistent.</w:t>
      </w:r>
    </w:p>
    <w:tbl>
      <w:tblPr>
        <w:tblStyle w:val="TableGrid"/>
        <w:tblW w:w="0" w:type="auto"/>
        <w:jc w:val="center"/>
        <w:tblLook w:val="04A0" w:firstRow="1" w:lastRow="0" w:firstColumn="1" w:lastColumn="0" w:noHBand="0" w:noVBand="1"/>
      </w:tblPr>
      <w:tblGrid>
        <w:gridCol w:w="3024"/>
        <w:gridCol w:w="6912"/>
      </w:tblGrid>
      <w:tr w:rsidR="00ED5FB6" w14:paraId="6EBDB15B" w14:textId="77777777">
        <w:trPr>
          <w:jc w:val="center"/>
        </w:trPr>
        <w:tc>
          <w:tcPr>
            <w:tcW w:w="3024" w:type="dxa"/>
            <w:shd w:val="clear" w:color="auto" w:fill="1F4E79"/>
            <w:tcMar>
              <w:top w:w="100" w:type="dxa"/>
              <w:left w:w="110" w:type="dxa"/>
              <w:bottom w:w="100" w:type="dxa"/>
              <w:right w:w="110" w:type="dxa"/>
            </w:tcMar>
          </w:tcPr>
          <w:p w14:paraId="57B4027E" w14:textId="77777777" w:rsidR="00ED5FB6" w:rsidRDefault="00000000">
            <w:r>
              <w:rPr>
                <w:b/>
                <w:color w:val="FFFFFF"/>
                <w:sz w:val="17"/>
              </w:rPr>
              <w:t>Priority</w:t>
            </w:r>
          </w:p>
        </w:tc>
        <w:tc>
          <w:tcPr>
            <w:tcW w:w="6912" w:type="dxa"/>
            <w:shd w:val="clear" w:color="auto" w:fill="1F4E79"/>
            <w:tcMar>
              <w:top w:w="100" w:type="dxa"/>
              <w:left w:w="110" w:type="dxa"/>
              <w:bottom w:w="100" w:type="dxa"/>
              <w:right w:w="110" w:type="dxa"/>
            </w:tcMar>
          </w:tcPr>
          <w:p w14:paraId="2FD08CFE" w14:textId="77777777" w:rsidR="00ED5FB6" w:rsidRDefault="00000000">
            <w:r>
              <w:rPr>
                <w:b/>
                <w:color w:val="FFFFFF"/>
                <w:sz w:val="17"/>
              </w:rPr>
              <w:t>Possible regulatory focus</w:t>
            </w:r>
          </w:p>
        </w:tc>
      </w:tr>
      <w:tr w:rsidR="00ED5FB6" w14:paraId="56FFD9F2" w14:textId="77777777">
        <w:trPr>
          <w:jc w:val="center"/>
        </w:trPr>
        <w:tc>
          <w:tcPr>
            <w:tcW w:w="3024" w:type="dxa"/>
            <w:tcMar>
              <w:top w:w="100" w:type="dxa"/>
              <w:left w:w="110" w:type="dxa"/>
              <w:bottom w:w="100" w:type="dxa"/>
              <w:right w:w="110" w:type="dxa"/>
            </w:tcMar>
            <w:vAlign w:val="center"/>
          </w:tcPr>
          <w:p w14:paraId="7E49DC07" w14:textId="77777777" w:rsidR="00ED5FB6" w:rsidRDefault="00000000">
            <w:pPr>
              <w:spacing w:after="20"/>
            </w:pPr>
            <w:r>
              <w:rPr>
                <w:sz w:val="17"/>
              </w:rPr>
              <w:t>Shared fraud intelligence</w:t>
            </w:r>
          </w:p>
        </w:tc>
        <w:tc>
          <w:tcPr>
            <w:tcW w:w="6912" w:type="dxa"/>
            <w:tcMar>
              <w:top w:w="100" w:type="dxa"/>
              <w:left w:w="110" w:type="dxa"/>
              <w:bottom w:w="100" w:type="dxa"/>
              <w:right w:w="110" w:type="dxa"/>
            </w:tcMar>
            <w:vAlign w:val="center"/>
          </w:tcPr>
          <w:p w14:paraId="728AEF00" w14:textId="77777777" w:rsidR="00ED5FB6" w:rsidRDefault="00000000">
            <w:pPr>
              <w:spacing w:after="20"/>
            </w:pPr>
            <w:r>
              <w:rPr>
                <w:sz w:val="17"/>
              </w:rPr>
              <w:t>Timely exchange of scam, mule and compromised account indicators across participants.</w:t>
            </w:r>
          </w:p>
        </w:tc>
      </w:tr>
      <w:tr w:rsidR="00ED5FB6" w14:paraId="012397C2" w14:textId="77777777">
        <w:trPr>
          <w:jc w:val="center"/>
        </w:trPr>
        <w:tc>
          <w:tcPr>
            <w:tcW w:w="3024" w:type="dxa"/>
            <w:tcMar>
              <w:top w:w="100" w:type="dxa"/>
              <w:left w:w="110" w:type="dxa"/>
              <w:bottom w:w="100" w:type="dxa"/>
              <w:right w:w="110" w:type="dxa"/>
            </w:tcMar>
            <w:vAlign w:val="center"/>
          </w:tcPr>
          <w:p w14:paraId="3058F800" w14:textId="77777777" w:rsidR="00ED5FB6" w:rsidRDefault="00000000">
            <w:pPr>
              <w:spacing w:after="20"/>
            </w:pPr>
            <w:r>
              <w:rPr>
                <w:sz w:val="17"/>
              </w:rPr>
              <w:lastRenderedPageBreak/>
              <w:t>Real-time mule detection</w:t>
            </w:r>
          </w:p>
        </w:tc>
        <w:tc>
          <w:tcPr>
            <w:tcW w:w="6912" w:type="dxa"/>
            <w:tcMar>
              <w:top w:w="100" w:type="dxa"/>
              <w:left w:w="110" w:type="dxa"/>
              <w:bottom w:w="100" w:type="dxa"/>
              <w:right w:w="110" w:type="dxa"/>
            </w:tcMar>
            <w:vAlign w:val="center"/>
          </w:tcPr>
          <w:p w14:paraId="602EDEBB" w14:textId="77777777" w:rsidR="00ED5FB6" w:rsidRDefault="00000000">
            <w:pPr>
              <w:spacing w:after="20"/>
            </w:pPr>
            <w:r>
              <w:rPr>
                <w:sz w:val="17"/>
              </w:rPr>
              <w:t>Cross-provider detection of suspicious receiving accounts and rapid intervention pathways.</w:t>
            </w:r>
          </w:p>
        </w:tc>
      </w:tr>
      <w:tr w:rsidR="00ED5FB6" w14:paraId="3E1EC499" w14:textId="77777777">
        <w:trPr>
          <w:jc w:val="center"/>
        </w:trPr>
        <w:tc>
          <w:tcPr>
            <w:tcW w:w="3024" w:type="dxa"/>
            <w:tcMar>
              <w:top w:w="100" w:type="dxa"/>
              <w:left w:w="110" w:type="dxa"/>
              <w:bottom w:w="100" w:type="dxa"/>
              <w:right w:w="110" w:type="dxa"/>
            </w:tcMar>
            <w:vAlign w:val="center"/>
          </w:tcPr>
          <w:p w14:paraId="4D81AF90" w14:textId="77777777" w:rsidR="00ED5FB6" w:rsidRDefault="00000000">
            <w:pPr>
              <w:spacing w:after="20"/>
            </w:pPr>
            <w:r>
              <w:rPr>
                <w:sz w:val="17"/>
              </w:rPr>
              <w:t>Behavioural and device risk signals</w:t>
            </w:r>
          </w:p>
        </w:tc>
        <w:tc>
          <w:tcPr>
            <w:tcW w:w="6912" w:type="dxa"/>
            <w:tcMar>
              <w:top w:w="100" w:type="dxa"/>
              <w:left w:w="110" w:type="dxa"/>
              <w:bottom w:w="100" w:type="dxa"/>
              <w:right w:w="110" w:type="dxa"/>
            </w:tcMar>
            <w:vAlign w:val="center"/>
          </w:tcPr>
          <w:p w14:paraId="03390919" w14:textId="77777777" w:rsidR="00ED5FB6" w:rsidRDefault="00000000">
            <w:pPr>
              <w:spacing w:after="20"/>
            </w:pPr>
            <w:r>
              <w:rPr>
                <w:sz w:val="17"/>
              </w:rPr>
              <w:t>Risk-based authentication without blanket friction on all transactions.</w:t>
            </w:r>
          </w:p>
        </w:tc>
      </w:tr>
      <w:tr w:rsidR="00ED5FB6" w14:paraId="4C5C84F9" w14:textId="77777777">
        <w:trPr>
          <w:jc w:val="center"/>
        </w:trPr>
        <w:tc>
          <w:tcPr>
            <w:tcW w:w="3024" w:type="dxa"/>
            <w:tcMar>
              <w:top w:w="100" w:type="dxa"/>
              <w:left w:w="110" w:type="dxa"/>
              <w:bottom w:w="100" w:type="dxa"/>
              <w:right w:w="110" w:type="dxa"/>
            </w:tcMar>
            <w:vAlign w:val="center"/>
          </w:tcPr>
          <w:p w14:paraId="3D68E41F" w14:textId="77777777" w:rsidR="00ED5FB6" w:rsidRDefault="00000000">
            <w:pPr>
              <w:spacing w:after="20"/>
            </w:pPr>
            <w:r>
              <w:rPr>
                <w:sz w:val="17"/>
              </w:rPr>
              <w:t>Confirmation and alias assurance</w:t>
            </w:r>
          </w:p>
        </w:tc>
        <w:tc>
          <w:tcPr>
            <w:tcW w:w="6912" w:type="dxa"/>
            <w:tcMar>
              <w:top w:w="100" w:type="dxa"/>
              <w:left w:w="110" w:type="dxa"/>
              <w:bottom w:w="100" w:type="dxa"/>
              <w:right w:w="110" w:type="dxa"/>
            </w:tcMar>
            <w:vAlign w:val="center"/>
          </w:tcPr>
          <w:p w14:paraId="7C044F20" w14:textId="77777777" w:rsidR="00ED5FB6" w:rsidRDefault="00000000">
            <w:pPr>
              <w:spacing w:after="20"/>
            </w:pPr>
            <w:r>
              <w:rPr>
                <w:sz w:val="17"/>
              </w:rPr>
              <w:t>Stronger confidence in recipient identity and payment destination before funds move.</w:t>
            </w:r>
          </w:p>
        </w:tc>
      </w:tr>
      <w:tr w:rsidR="00ED5FB6" w14:paraId="0C857043" w14:textId="77777777">
        <w:trPr>
          <w:jc w:val="center"/>
        </w:trPr>
        <w:tc>
          <w:tcPr>
            <w:tcW w:w="3024" w:type="dxa"/>
            <w:tcMar>
              <w:top w:w="100" w:type="dxa"/>
              <w:left w:w="110" w:type="dxa"/>
              <w:bottom w:w="100" w:type="dxa"/>
              <w:right w:w="110" w:type="dxa"/>
            </w:tcMar>
            <w:vAlign w:val="center"/>
          </w:tcPr>
          <w:p w14:paraId="14661229" w14:textId="77777777" w:rsidR="00ED5FB6" w:rsidRDefault="00000000">
            <w:pPr>
              <w:spacing w:after="20"/>
            </w:pPr>
            <w:r>
              <w:rPr>
                <w:sz w:val="17"/>
              </w:rPr>
              <w:t>Delegated AI payment controls</w:t>
            </w:r>
          </w:p>
        </w:tc>
        <w:tc>
          <w:tcPr>
            <w:tcW w:w="6912" w:type="dxa"/>
            <w:tcMar>
              <w:top w:w="100" w:type="dxa"/>
              <w:left w:w="110" w:type="dxa"/>
              <w:bottom w:w="100" w:type="dxa"/>
              <w:right w:w="110" w:type="dxa"/>
            </w:tcMar>
            <w:vAlign w:val="center"/>
          </w:tcPr>
          <w:p w14:paraId="2AD3703C" w14:textId="77777777" w:rsidR="00ED5FB6" w:rsidRDefault="00000000">
            <w:pPr>
              <w:spacing w:after="20"/>
            </w:pPr>
            <w:r>
              <w:rPr>
                <w:sz w:val="17"/>
              </w:rPr>
              <w:t>Clear limits, audit logs and revocation mechanisms when AI agents act for consumers.</w:t>
            </w:r>
          </w:p>
        </w:tc>
      </w:tr>
      <w:tr w:rsidR="00ED5FB6" w14:paraId="51177A98" w14:textId="77777777">
        <w:trPr>
          <w:jc w:val="center"/>
        </w:trPr>
        <w:tc>
          <w:tcPr>
            <w:tcW w:w="3024" w:type="dxa"/>
            <w:tcMar>
              <w:top w:w="100" w:type="dxa"/>
              <w:left w:w="110" w:type="dxa"/>
              <w:bottom w:w="100" w:type="dxa"/>
              <w:right w:w="110" w:type="dxa"/>
            </w:tcMar>
            <w:vAlign w:val="center"/>
          </w:tcPr>
          <w:p w14:paraId="7630723C" w14:textId="77777777" w:rsidR="00ED5FB6" w:rsidRDefault="00000000">
            <w:pPr>
              <w:spacing w:after="20"/>
            </w:pPr>
            <w:r>
              <w:rPr>
                <w:sz w:val="17"/>
              </w:rPr>
              <w:t>Dispute and redress standards</w:t>
            </w:r>
          </w:p>
        </w:tc>
        <w:tc>
          <w:tcPr>
            <w:tcW w:w="6912" w:type="dxa"/>
            <w:tcMar>
              <w:top w:w="100" w:type="dxa"/>
              <w:left w:w="110" w:type="dxa"/>
              <w:bottom w:w="100" w:type="dxa"/>
              <w:right w:w="110" w:type="dxa"/>
            </w:tcMar>
            <w:vAlign w:val="center"/>
          </w:tcPr>
          <w:p w14:paraId="3B9B54F8" w14:textId="77777777" w:rsidR="00ED5FB6" w:rsidRDefault="00000000">
            <w:pPr>
              <w:spacing w:after="20"/>
            </w:pPr>
            <w:r>
              <w:rPr>
                <w:sz w:val="17"/>
              </w:rPr>
              <w:t>Clear customer outcomes when A2A, wallet or AI-enabled payments go wrong.</w:t>
            </w:r>
          </w:p>
        </w:tc>
      </w:tr>
    </w:tbl>
    <w:p w14:paraId="0CC70485" w14:textId="77777777" w:rsidR="00ED5FB6" w:rsidRDefault="00ED5FB6"/>
    <w:p w14:paraId="4A0519FD" w14:textId="77777777" w:rsidR="00ED5FB6" w:rsidRDefault="00000000">
      <w:pPr>
        <w:pStyle w:val="Heading1"/>
      </w:pPr>
      <w:r>
        <w:t>6. Digital Wallets as Trust Platforms</w:t>
      </w:r>
    </w:p>
    <w:p w14:paraId="40C2D72D" w14:textId="77777777" w:rsidR="00ED5FB6" w:rsidRDefault="00000000">
      <w:r>
        <w:t>Digital wallets should not be viewed only as card containers. They are becoming the practical interface through which consumers manage identity, payments, credentials, permissions and commerce interactions.</w:t>
      </w:r>
    </w:p>
    <w:p w14:paraId="0DC5B224" w14:textId="77777777" w:rsidR="00ED5FB6" w:rsidRDefault="00000000">
      <w:r>
        <w:t>A future Australian wallet ecosystem could support payment credentials, driver's licences, business identity, permits, verified age attributes, loyalty, digital receipts, PayTo permissions, consent records and AI agent permissions.</w:t>
      </w:r>
    </w:p>
    <w:p w14:paraId="744FCBEB" w14:textId="77777777" w:rsidR="00ED5FB6" w:rsidRDefault="00000000">
      <w:r>
        <w:t>Having worked with banks and payment platforms, I have seen that wallet and credential decisions often shape customer behaviour more strongly than pricing signals. Defaults, visibility, authentication flow and confidence messages can materially influence whether a customer chooses a card, an A2A method or another payment option.</w:t>
      </w:r>
    </w:p>
    <w:tbl>
      <w:tblPr>
        <w:tblStyle w:val="TableGrid"/>
        <w:tblW w:w="0" w:type="auto"/>
        <w:jc w:val="center"/>
        <w:tblLook w:val="04A0" w:firstRow="1" w:lastRow="0" w:firstColumn="1" w:lastColumn="0" w:noHBand="0" w:noVBand="1"/>
      </w:tblPr>
      <w:tblGrid>
        <w:gridCol w:w="2880"/>
        <w:gridCol w:w="7056"/>
      </w:tblGrid>
      <w:tr w:rsidR="00ED5FB6" w14:paraId="0B0B0198" w14:textId="77777777">
        <w:trPr>
          <w:jc w:val="center"/>
        </w:trPr>
        <w:tc>
          <w:tcPr>
            <w:tcW w:w="2880" w:type="dxa"/>
            <w:shd w:val="clear" w:color="auto" w:fill="1F4E79"/>
            <w:tcMar>
              <w:top w:w="100" w:type="dxa"/>
              <w:left w:w="110" w:type="dxa"/>
              <w:bottom w:w="100" w:type="dxa"/>
              <w:right w:w="110" w:type="dxa"/>
            </w:tcMar>
          </w:tcPr>
          <w:p w14:paraId="344EE318" w14:textId="77777777" w:rsidR="00ED5FB6" w:rsidRDefault="00000000">
            <w:r>
              <w:rPr>
                <w:b/>
                <w:color w:val="FFFFFF"/>
                <w:sz w:val="17"/>
              </w:rPr>
              <w:t>Wallet capability</w:t>
            </w:r>
          </w:p>
        </w:tc>
        <w:tc>
          <w:tcPr>
            <w:tcW w:w="7056" w:type="dxa"/>
            <w:shd w:val="clear" w:color="auto" w:fill="1F4E79"/>
            <w:tcMar>
              <w:top w:w="100" w:type="dxa"/>
              <w:left w:w="110" w:type="dxa"/>
              <w:bottom w:w="100" w:type="dxa"/>
              <w:right w:w="110" w:type="dxa"/>
            </w:tcMar>
          </w:tcPr>
          <w:p w14:paraId="516AD8C6" w14:textId="77777777" w:rsidR="00ED5FB6" w:rsidRDefault="00000000">
            <w:r>
              <w:rPr>
                <w:b/>
                <w:color w:val="FFFFFF"/>
                <w:sz w:val="17"/>
              </w:rPr>
              <w:t>Payments relevance</w:t>
            </w:r>
          </w:p>
        </w:tc>
      </w:tr>
      <w:tr w:rsidR="00ED5FB6" w14:paraId="313912CA" w14:textId="77777777">
        <w:trPr>
          <w:jc w:val="center"/>
        </w:trPr>
        <w:tc>
          <w:tcPr>
            <w:tcW w:w="2880" w:type="dxa"/>
            <w:tcMar>
              <w:top w:w="100" w:type="dxa"/>
              <w:left w:w="110" w:type="dxa"/>
              <w:bottom w:w="100" w:type="dxa"/>
              <w:right w:w="110" w:type="dxa"/>
            </w:tcMar>
            <w:vAlign w:val="center"/>
          </w:tcPr>
          <w:p w14:paraId="4048D9A5" w14:textId="77777777" w:rsidR="00ED5FB6" w:rsidRDefault="00000000">
            <w:pPr>
              <w:spacing w:after="20"/>
            </w:pPr>
            <w:r>
              <w:rPr>
                <w:sz w:val="17"/>
              </w:rPr>
              <w:t>Payment credentials</w:t>
            </w:r>
          </w:p>
        </w:tc>
        <w:tc>
          <w:tcPr>
            <w:tcW w:w="7056" w:type="dxa"/>
            <w:tcMar>
              <w:top w:w="100" w:type="dxa"/>
              <w:left w:w="110" w:type="dxa"/>
              <w:bottom w:w="100" w:type="dxa"/>
              <w:right w:w="110" w:type="dxa"/>
            </w:tcMar>
            <w:vAlign w:val="center"/>
          </w:tcPr>
          <w:p w14:paraId="45D255F9" w14:textId="77777777" w:rsidR="00ED5FB6" w:rsidRDefault="00000000">
            <w:pPr>
              <w:spacing w:after="20"/>
            </w:pPr>
            <w:r>
              <w:rPr>
                <w:sz w:val="17"/>
              </w:rPr>
              <w:t>Supports card, A2A, PayTo and future payment selection.</w:t>
            </w:r>
          </w:p>
        </w:tc>
      </w:tr>
      <w:tr w:rsidR="00ED5FB6" w14:paraId="06912871" w14:textId="77777777">
        <w:trPr>
          <w:jc w:val="center"/>
        </w:trPr>
        <w:tc>
          <w:tcPr>
            <w:tcW w:w="2880" w:type="dxa"/>
            <w:tcMar>
              <w:top w:w="100" w:type="dxa"/>
              <w:left w:w="110" w:type="dxa"/>
              <w:bottom w:w="100" w:type="dxa"/>
              <w:right w:w="110" w:type="dxa"/>
            </w:tcMar>
            <w:vAlign w:val="center"/>
          </w:tcPr>
          <w:p w14:paraId="7592A758" w14:textId="77777777" w:rsidR="00ED5FB6" w:rsidRDefault="00000000">
            <w:pPr>
              <w:spacing w:after="20"/>
            </w:pPr>
            <w:r>
              <w:rPr>
                <w:sz w:val="17"/>
              </w:rPr>
              <w:t>Verified identity credentials</w:t>
            </w:r>
          </w:p>
        </w:tc>
        <w:tc>
          <w:tcPr>
            <w:tcW w:w="7056" w:type="dxa"/>
            <w:tcMar>
              <w:top w:w="100" w:type="dxa"/>
              <w:left w:w="110" w:type="dxa"/>
              <w:bottom w:w="100" w:type="dxa"/>
              <w:right w:w="110" w:type="dxa"/>
            </w:tcMar>
            <w:vAlign w:val="center"/>
          </w:tcPr>
          <w:p w14:paraId="162AE49D" w14:textId="77777777" w:rsidR="00ED5FB6" w:rsidRDefault="00000000">
            <w:pPr>
              <w:spacing w:after="20"/>
            </w:pPr>
            <w:r>
              <w:rPr>
                <w:sz w:val="17"/>
              </w:rPr>
              <w:t>Improves onboarding, authentication and fraud prevention.</w:t>
            </w:r>
          </w:p>
        </w:tc>
      </w:tr>
      <w:tr w:rsidR="00ED5FB6" w14:paraId="59764251" w14:textId="77777777">
        <w:trPr>
          <w:jc w:val="center"/>
        </w:trPr>
        <w:tc>
          <w:tcPr>
            <w:tcW w:w="2880" w:type="dxa"/>
            <w:tcMar>
              <w:top w:w="100" w:type="dxa"/>
              <w:left w:w="110" w:type="dxa"/>
              <w:bottom w:w="100" w:type="dxa"/>
              <w:right w:w="110" w:type="dxa"/>
            </w:tcMar>
            <w:vAlign w:val="center"/>
          </w:tcPr>
          <w:p w14:paraId="09C91C85" w14:textId="77777777" w:rsidR="00ED5FB6" w:rsidRDefault="00000000">
            <w:pPr>
              <w:spacing w:after="20"/>
            </w:pPr>
            <w:r>
              <w:rPr>
                <w:sz w:val="17"/>
              </w:rPr>
              <w:t>Business credentials</w:t>
            </w:r>
          </w:p>
        </w:tc>
        <w:tc>
          <w:tcPr>
            <w:tcW w:w="7056" w:type="dxa"/>
            <w:tcMar>
              <w:top w:w="100" w:type="dxa"/>
              <w:left w:w="110" w:type="dxa"/>
              <w:bottom w:w="100" w:type="dxa"/>
              <w:right w:w="110" w:type="dxa"/>
            </w:tcMar>
            <w:vAlign w:val="center"/>
          </w:tcPr>
          <w:p w14:paraId="0357C6E7" w14:textId="77777777" w:rsidR="00ED5FB6" w:rsidRDefault="00000000">
            <w:pPr>
              <w:spacing w:after="20"/>
            </w:pPr>
            <w:r>
              <w:rPr>
                <w:sz w:val="17"/>
              </w:rPr>
              <w:t>Supports trusted B2B and government payment interactions.</w:t>
            </w:r>
          </w:p>
        </w:tc>
      </w:tr>
      <w:tr w:rsidR="00ED5FB6" w14:paraId="73E2987A" w14:textId="77777777">
        <w:trPr>
          <w:jc w:val="center"/>
        </w:trPr>
        <w:tc>
          <w:tcPr>
            <w:tcW w:w="2880" w:type="dxa"/>
            <w:tcMar>
              <w:top w:w="100" w:type="dxa"/>
              <w:left w:w="110" w:type="dxa"/>
              <w:bottom w:w="100" w:type="dxa"/>
              <w:right w:w="110" w:type="dxa"/>
            </w:tcMar>
            <w:vAlign w:val="center"/>
          </w:tcPr>
          <w:p w14:paraId="28DAF252" w14:textId="77777777" w:rsidR="00ED5FB6" w:rsidRDefault="00000000">
            <w:pPr>
              <w:spacing w:after="20"/>
            </w:pPr>
            <w:r>
              <w:rPr>
                <w:sz w:val="17"/>
              </w:rPr>
              <w:t>Digital receipts and dispute records</w:t>
            </w:r>
          </w:p>
        </w:tc>
        <w:tc>
          <w:tcPr>
            <w:tcW w:w="7056" w:type="dxa"/>
            <w:tcMar>
              <w:top w:w="100" w:type="dxa"/>
              <w:left w:w="110" w:type="dxa"/>
              <w:bottom w:w="100" w:type="dxa"/>
              <w:right w:w="110" w:type="dxa"/>
            </w:tcMar>
            <w:vAlign w:val="center"/>
          </w:tcPr>
          <w:p w14:paraId="728F05E8" w14:textId="77777777" w:rsidR="00ED5FB6" w:rsidRDefault="00000000">
            <w:pPr>
              <w:spacing w:after="20"/>
            </w:pPr>
            <w:r>
              <w:rPr>
                <w:sz w:val="17"/>
              </w:rPr>
              <w:t>Improves post-payment evidence, reconciliation and consumer protection.</w:t>
            </w:r>
          </w:p>
        </w:tc>
      </w:tr>
      <w:tr w:rsidR="00ED5FB6" w14:paraId="15CCD8E6" w14:textId="77777777">
        <w:trPr>
          <w:jc w:val="center"/>
        </w:trPr>
        <w:tc>
          <w:tcPr>
            <w:tcW w:w="2880" w:type="dxa"/>
            <w:tcMar>
              <w:top w:w="100" w:type="dxa"/>
              <w:left w:w="110" w:type="dxa"/>
              <w:bottom w:w="100" w:type="dxa"/>
              <w:right w:w="110" w:type="dxa"/>
            </w:tcMar>
            <w:vAlign w:val="center"/>
          </w:tcPr>
          <w:p w14:paraId="5700829F" w14:textId="77777777" w:rsidR="00ED5FB6" w:rsidRDefault="00000000">
            <w:pPr>
              <w:spacing w:after="20"/>
            </w:pPr>
            <w:r>
              <w:rPr>
                <w:sz w:val="17"/>
              </w:rPr>
              <w:t>Delegated permissions</w:t>
            </w:r>
          </w:p>
        </w:tc>
        <w:tc>
          <w:tcPr>
            <w:tcW w:w="7056" w:type="dxa"/>
            <w:tcMar>
              <w:top w:w="100" w:type="dxa"/>
              <w:left w:w="110" w:type="dxa"/>
              <w:bottom w:w="100" w:type="dxa"/>
              <w:right w:w="110" w:type="dxa"/>
            </w:tcMar>
            <w:vAlign w:val="center"/>
          </w:tcPr>
          <w:p w14:paraId="499FE2CE" w14:textId="77777777" w:rsidR="00ED5FB6" w:rsidRDefault="00000000">
            <w:pPr>
              <w:spacing w:after="20"/>
            </w:pPr>
            <w:r>
              <w:rPr>
                <w:sz w:val="17"/>
              </w:rPr>
              <w:t>Allows controlled access for AI agents, carers, employees or business software.</w:t>
            </w:r>
          </w:p>
        </w:tc>
      </w:tr>
      <w:tr w:rsidR="00ED5FB6" w14:paraId="1A1981D0" w14:textId="77777777">
        <w:trPr>
          <w:jc w:val="center"/>
        </w:trPr>
        <w:tc>
          <w:tcPr>
            <w:tcW w:w="2880" w:type="dxa"/>
            <w:tcMar>
              <w:top w:w="100" w:type="dxa"/>
              <w:left w:w="110" w:type="dxa"/>
              <w:bottom w:w="100" w:type="dxa"/>
              <w:right w:w="110" w:type="dxa"/>
            </w:tcMar>
            <w:vAlign w:val="center"/>
          </w:tcPr>
          <w:p w14:paraId="6EA99DC8" w14:textId="77777777" w:rsidR="00ED5FB6" w:rsidRDefault="00000000">
            <w:pPr>
              <w:spacing w:after="20"/>
            </w:pPr>
            <w:r>
              <w:rPr>
                <w:sz w:val="17"/>
              </w:rPr>
              <w:t>Selective disclosure</w:t>
            </w:r>
          </w:p>
        </w:tc>
        <w:tc>
          <w:tcPr>
            <w:tcW w:w="7056" w:type="dxa"/>
            <w:tcMar>
              <w:top w:w="100" w:type="dxa"/>
              <w:left w:w="110" w:type="dxa"/>
              <w:bottom w:w="100" w:type="dxa"/>
              <w:right w:w="110" w:type="dxa"/>
            </w:tcMar>
            <w:vAlign w:val="center"/>
          </w:tcPr>
          <w:p w14:paraId="7C1704A1" w14:textId="77777777" w:rsidR="00ED5FB6" w:rsidRDefault="00000000">
            <w:pPr>
              <w:spacing w:after="20"/>
            </w:pPr>
            <w:r>
              <w:rPr>
                <w:sz w:val="17"/>
              </w:rPr>
              <w:t>Allows customers to prove attributes without over-sharing personal information.</w:t>
            </w:r>
          </w:p>
        </w:tc>
      </w:tr>
    </w:tbl>
    <w:p w14:paraId="5F95BCA3" w14:textId="77777777" w:rsidR="00ED5FB6" w:rsidRDefault="00ED5FB6"/>
    <w:p w14:paraId="0E729C46" w14:textId="77777777" w:rsidR="00ED5FB6" w:rsidRDefault="00000000">
      <w:pPr>
        <w:pStyle w:val="Heading1"/>
      </w:pPr>
      <w:r>
        <w:t>7. AI, Agentic Commerce and Negotiated Payments</w:t>
      </w:r>
    </w:p>
    <w:p w14:paraId="5DE1E1D9" w14:textId="77777777" w:rsidR="00ED5FB6" w:rsidRDefault="00000000">
      <w:r>
        <w:t>AI will not merely initiate payments. AI may compare products, negotiate discounts, optimise payment method selection, redeem loyalty points, request instalment options, choose between card and PayTo, dispute transactions, request refunds and manage subscriptions. In this sense, AI agents may increasingly act as economic participants within digital commerce.</w:t>
      </w:r>
    </w:p>
    <w:p w14:paraId="3DA2396B" w14:textId="77777777" w:rsidR="00ED5FB6" w:rsidRDefault="00000000">
      <w:r>
        <w:t>Australia is already establishing responsible AI foundations through the National AI Plan, Australia's AI Ethics Principles, the National Framework for the Assurance of AI in Government and the AI Investment Blueprint. The next step is to apply those principles to payments, where AI decisions have immediate financial consequences.</w:t>
      </w:r>
    </w:p>
    <w:p w14:paraId="138193D1" w14:textId="77777777" w:rsidR="00ED5FB6" w:rsidRDefault="00000000">
      <w:r>
        <w:t>From a delivery perspective, the challenge is unlikely to be only technical integration. The harder questions will be operational and legal: how exceptions are handled, how consent is evidenced, how disputes are reconstructed and how participants explain an AI-assisted payment decision in plain terms.</w:t>
      </w:r>
    </w:p>
    <w:tbl>
      <w:tblPr>
        <w:tblStyle w:val="TableGrid"/>
        <w:tblW w:w="0" w:type="auto"/>
        <w:jc w:val="center"/>
        <w:tblLook w:val="04A0" w:firstRow="1" w:lastRow="0" w:firstColumn="1" w:lastColumn="0" w:noHBand="0" w:noVBand="1"/>
      </w:tblPr>
      <w:tblGrid>
        <w:gridCol w:w="3024"/>
        <w:gridCol w:w="6912"/>
      </w:tblGrid>
      <w:tr w:rsidR="00ED5FB6" w14:paraId="5DBD17AF" w14:textId="77777777">
        <w:trPr>
          <w:jc w:val="center"/>
        </w:trPr>
        <w:tc>
          <w:tcPr>
            <w:tcW w:w="3024" w:type="dxa"/>
            <w:shd w:val="clear" w:color="auto" w:fill="1F4E79"/>
            <w:tcMar>
              <w:top w:w="100" w:type="dxa"/>
              <w:left w:w="110" w:type="dxa"/>
              <w:bottom w:w="100" w:type="dxa"/>
              <w:right w:w="110" w:type="dxa"/>
            </w:tcMar>
          </w:tcPr>
          <w:p w14:paraId="6D107983" w14:textId="77777777" w:rsidR="00ED5FB6" w:rsidRDefault="00000000">
            <w:r>
              <w:rPr>
                <w:b/>
                <w:color w:val="FFFFFF"/>
                <w:sz w:val="17"/>
              </w:rPr>
              <w:t>AI payment scenario</w:t>
            </w:r>
          </w:p>
        </w:tc>
        <w:tc>
          <w:tcPr>
            <w:tcW w:w="6912" w:type="dxa"/>
            <w:shd w:val="clear" w:color="auto" w:fill="1F4E79"/>
            <w:tcMar>
              <w:top w:w="100" w:type="dxa"/>
              <w:left w:w="110" w:type="dxa"/>
              <w:bottom w:w="100" w:type="dxa"/>
              <w:right w:w="110" w:type="dxa"/>
            </w:tcMar>
          </w:tcPr>
          <w:p w14:paraId="2C128676" w14:textId="77777777" w:rsidR="00ED5FB6" w:rsidRDefault="00000000">
            <w:r>
              <w:rPr>
                <w:b/>
                <w:color w:val="FFFFFF"/>
                <w:sz w:val="17"/>
              </w:rPr>
              <w:t>Policy question</w:t>
            </w:r>
          </w:p>
        </w:tc>
      </w:tr>
      <w:tr w:rsidR="00ED5FB6" w14:paraId="3B620131" w14:textId="77777777">
        <w:trPr>
          <w:jc w:val="center"/>
        </w:trPr>
        <w:tc>
          <w:tcPr>
            <w:tcW w:w="3024" w:type="dxa"/>
            <w:tcMar>
              <w:top w:w="100" w:type="dxa"/>
              <w:left w:w="110" w:type="dxa"/>
              <w:bottom w:w="100" w:type="dxa"/>
              <w:right w:w="110" w:type="dxa"/>
            </w:tcMar>
            <w:vAlign w:val="center"/>
          </w:tcPr>
          <w:p w14:paraId="3A4284F8" w14:textId="77777777" w:rsidR="00ED5FB6" w:rsidRDefault="00000000">
            <w:pPr>
              <w:spacing w:after="20"/>
            </w:pPr>
            <w:r>
              <w:rPr>
                <w:sz w:val="17"/>
              </w:rPr>
              <w:lastRenderedPageBreak/>
              <w:t>AI shops and compares</w:t>
            </w:r>
          </w:p>
        </w:tc>
        <w:tc>
          <w:tcPr>
            <w:tcW w:w="6912" w:type="dxa"/>
            <w:tcMar>
              <w:top w:w="100" w:type="dxa"/>
              <w:left w:w="110" w:type="dxa"/>
              <w:bottom w:w="100" w:type="dxa"/>
              <w:right w:w="110" w:type="dxa"/>
            </w:tcMar>
            <w:vAlign w:val="center"/>
          </w:tcPr>
          <w:p w14:paraId="24F3E341" w14:textId="77777777" w:rsidR="00ED5FB6" w:rsidRDefault="00000000">
            <w:pPr>
              <w:spacing w:after="20"/>
            </w:pPr>
            <w:r>
              <w:rPr>
                <w:sz w:val="17"/>
              </w:rPr>
              <w:t>How should customers know which products or merchants were considered?</w:t>
            </w:r>
          </w:p>
        </w:tc>
      </w:tr>
      <w:tr w:rsidR="00ED5FB6" w14:paraId="2C3AAFFA" w14:textId="77777777">
        <w:trPr>
          <w:jc w:val="center"/>
        </w:trPr>
        <w:tc>
          <w:tcPr>
            <w:tcW w:w="3024" w:type="dxa"/>
            <w:tcMar>
              <w:top w:w="100" w:type="dxa"/>
              <w:left w:w="110" w:type="dxa"/>
              <w:bottom w:w="100" w:type="dxa"/>
              <w:right w:w="110" w:type="dxa"/>
            </w:tcMar>
            <w:vAlign w:val="center"/>
          </w:tcPr>
          <w:p w14:paraId="39D480B4" w14:textId="77777777" w:rsidR="00ED5FB6" w:rsidRDefault="00000000">
            <w:pPr>
              <w:spacing w:after="20"/>
            </w:pPr>
            <w:r>
              <w:rPr>
                <w:sz w:val="17"/>
              </w:rPr>
              <w:t>AI negotiates price or fulfilment terms</w:t>
            </w:r>
          </w:p>
        </w:tc>
        <w:tc>
          <w:tcPr>
            <w:tcW w:w="6912" w:type="dxa"/>
            <w:tcMar>
              <w:top w:w="100" w:type="dxa"/>
              <w:left w:w="110" w:type="dxa"/>
              <w:bottom w:w="100" w:type="dxa"/>
              <w:right w:w="110" w:type="dxa"/>
            </w:tcMar>
            <w:vAlign w:val="center"/>
          </w:tcPr>
          <w:p w14:paraId="285A534E" w14:textId="77777777" w:rsidR="00ED5FB6" w:rsidRDefault="00000000">
            <w:pPr>
              <w:spacing w:after="20"/>
            </w:pPr>
            <w:r>
              <w:rPr>
                <w:sz w:val="17"/>
              </w:rPr>
              <w:t>How should negotiated evidence be retained for dispute handling?</w:t>
            </w:r>
          </w:p>
        </w:tc>
      </w:tr>
      <w:tr w:rsidR="00ED5FB6" w14:paraId="7D0FD63B" w14:textId="77777777">
        <w:trPr>
          <w:jc w:val="center"/>
        </w:trPr>
        <w:tc>
          <w:tcPr>
            <w:tcW w:w="3024" w:type="dxa"/>
            <w:tcMar>
              <w:top w:w="100" w:type="dxa"/>
              <w:left w:w="110" w:type="dxa"/>
              <w:bottom w:w="100" w:type="dxa"/>
              <w:right w:w="110" w:type="dxa"/>
            </w:tcMar>
            <w:vAlign w:val="center"/>
          </w:tcPr>
          <w:p w14:paraId="627DDF16" w14:textId="77777777" w:rsidR="00ED5FB6" w:rsidRDefault="00000000">
            <w:pPr>
              <w:spacing w:after="20"/>
            </w:pPr>
            <w:r>
              <w:rPr>
                <w:sz w:val="17"/>
              </w:rPr>
              <w:t>AI selects a payment rail</w:t>
            </w:r>
          </w:p>
        </w:tc>
        <w:tc>
          <w:tcPr>
            <w:tcW w:w="6912" w:type="dxa"/>
            <w:tcMar>
              <w:top w:w="100" w:type="dxa"/>
              <w:left w:w="110" w:type="dxa"/>
              <w:bottom w:w="100" w:type="dxa"/>
              <w:right w:w="110" w:type="dxa"/>
            </w:tcMar>
            <w:vAlign w:val="center"/>
          </w:tcPr>
          <w:p w14:paraId="11E443F5" w14:textId="77777777" w:rsidR="00ED5FB6" w:rsidRDefault="00000000">
            <w:pPr>
              <w:spacing w:after="20"/>
            </w:pPr>
            <w:r>
              <w:rPr>
                <w:sz w:val="17"/>
              </w:rPr>
              <w:t>How should the agent avoid routing bias or hidden incentives?</w:t>
            </w:r>
          </w:p>
        </w:tc>
      </w:tr>
      <w:tr w:rsidR="00ED5FB6" w14:paraId="649AC30A" w14:textId="77777777">
        <w:trPr>
          <w:jc w:val="center"/>
        </w:trPr>
        <w:tc>
          <w:tcPr>
            <w:tcW w:w="3024" w:type="dxa"/>
            <w:tcMar>
              <w:top w:w="100" w:type="dxa"/>
              <w:left w:w="110" w:type="dxa"/>
              <w:bottom w:w="100" w:type="dxa"/>
              <w:right w:w="110" w:type="dxa"/>
            </w:tcMar>
            <w:vAlign w:val="center"/>
          </w:tcPr>
          <w:p w14:paraId="639A9988" w14:textId="77777777" w:rsidR="00ED5FB6" w:rsidRDefault="00000000">
            <w:pPr>
              <w:spacing w:after="20"/>
            </w:pPr>
            <w:r>
              <w:rPr>
                <w:sz w:val="17"/>
              </w:rPr>
              <w:t>AI uses loyalty, credit or instalments</w:t>
            </w:r>
          </w:p>
        </w:tc>
        <w:tc>
          <w:tcPr>
            <w:tcW w:w="6912" w:type="dxa"/>
            <w:tcMar>
              <w:top w:w="100" w:type="dxa"/>
              <w:left w:w="110" w:type="dxa"/>
              <w:bottom w:w="100" w:type="dxa"/>
              <w:right w:w="110" w:type="dxa"/>
            </w:tcMar>
            <w:vAlign w:val="center"/>
          </w:tcPr>
          <w:p w14:paraId="3D00D93D" w14:textId="77777777" w:rsidR="00ED5FB6" w:rsidRDefault="00000000">
            <w:pPr>
              <w:spacing w:after="20"/>
            </w:pPr>
            <w:r>
              <w:rPr>
                <w:sz w:val="17"/>
              </w:rPr>
              <w:t>How should customer consent and suitability controls apply?</w:t>
            </w:r>
          </w:p>
        </w:tc>
      </w:tr>
      <w:tr w:rsidR="00ED5FB6" w14:paraId="6C8C9F69" w14:textId="77777777">
        <w:trPr>
          <w:jc w:val="center"/>
        </w:trPr>
        <w:tc>
          <w:tcPr>
            <w:tcW w:w="3024" w:type="dxa"/>
            <w:tcMar>
              <w:top w:w="100" w:type="dxa"/>
              <w:left w:w="110" w:type="dxa"/>
              <w:bottom w:w="100" w:type="dxa"/>
              <w:right w:w="110" w:type="dxa"/>
            </w:tcMar>
            <w:vAlign w:val="center"/>
          </w:tcPr>
          <w:p w14:paraId="20393438" w14:textId="77777777" w:rsidR="00ED5FB6" w:rsidRDefault="00000000">
            <w:pPr>
              <w:spacing w:after="20"/>
            </w:pPr>
            <w:r>
              <w:rPr>
                <w:sz w:val="17"/>
              </w:rPr>
              <w:t>AI requests refunds or disputes</w:t>
            </w:r>
          </w:p>
        </w:tc>
        <w:tc>
          <w:tcPr>
            <w:tcW w:w="6912" w:type="dxa"/>
            <w:tcMar>
              <w:top w:w="100" w:type="dxa"/>
              <w:left w:w="110" w:type="dxa"/>
              <w:bottom w:w="100" w:type="dxa"/>
              <w:right w:w="110" w:type="dxa"/>
            </w:tcMar>
            <w:vAlign w:val="center"/>
          </w:tcPr>
          <w:p w14:paraId="4D951D29" w14:textId="77777777" w:rsidR="00ED5FB6" w:rsidRDefault="00000000">
            <w:pPr>
              <w:spacing w:after="20"/>
            </w:pPr>
            <w:r>
              <w:rPr>
                <w:sz w:val="17"/>
              </w:rPr>
              <w:t>How should accountability be allocated between agent provider, merchant, PSP and customer?</w:t>
            </w:r>
          </w:p>
        </w:tc>
      </w:tr>
    </w:tbl>
    <w:p w14:paraId="69CC6019" w14:textId="77777777" w:rsidR="00ED5FB6" w:rsidRDefault="00ED5FB6"/>
    <w:p w14:paraId="608FA115" w14:textId="77777777" w:rsidR="00ED5FB6" w:rsidRDefault="00000000">
      <w:r>
        <w:t>The RBA should support development of an AI Payments Governance Framework covering agent identity, delegated payment authority, consent artefacts, liability allocation, auditability, rail neutrality and consumer redress.</w:t>
      </w:r>
    </w:p>
    <w:p w14:paraId="01238217" w14:textId="77777777" w:rsidR="00ED5FB6" w:rsidRDefault="00000000">
      <w:pPr>
        <w:pStyle w:val="Heading1"/>
      </w:pPr>
      <w:r>
        <w:t>8. Account-to-Account Payments: From Capability to Habit</w:t>
      </w:r>
    </w:p>
    <w:p w14:paraId="4A426F91" w14:textId="77777777" w:rsidR="00ED5FB6" w:rsidRDefault="00000000">
      <w:r>
        <w:t>Australia has world-class A2A foundations, but real-time capability does not automatically become everyday utility. The A2A Payments Vision provides an important national direction by framing A2A as a trusted system that supports resilience, competition, innovation and productivity.</w:t>
      </w:r>
    </w:p>
    <w:p w14:paraId="71BEE4E4" w14:textId="77777777" w:rsidR="00ED5FB6" w:rsidRDefault="00000000">
      <w:r>
        <w:t>My previous A2A consultation response argued that Australia's A2A ecosystem should move from real-time capable to real-time remarkable. The practical priorities remain relevant: make A2A payment options visible and trusted, define golden-path user experiences, improve scam and performance transparency, and explore controlled cross-border instant payment pilots.</w:t>
      </w:r>
    </w:p>
    <w:p w14:paraId="435FF49E" w14:textId="77777777" w:rsidR="00ED5FB6" w:rsidRDefault="00000000">
      <w:r>
        <w:t>A recurring lesson from payment modernisation programmes is that infrastructure capability is only the first milestone. The more difficult milestone is turning that capability into customer habit and merchant confidence. That requires consistent user journeys, clear confirmation, predictable exception handling and visible consumer protection.</w:t>
      </w:r>
    </w:p>
    <w:p w14:paraId="5338198E" w14:textId="77777777" w:rsidR="00ED5FB6" w:rsidRDefault="00000000">
      <w:r>
        <w:t>During payment transformation programmes, I have frequently seen customers abandon new payment methods not because the technology failed, but because they were uncertain about recipient identity, dispute rights or what would happen if something went wrong.</w:t>
      </w:r>
    </w:p>
    <w:p w14:paraId="2A39335B" w14:textId="77777777" w:rsidR="00ED5FB6" w:rsidRDefault="00000000">
      <w:r>
        <w:t>In multiple implementations, operational teams became the determining factor in customer confidence because inconsistent exception handling reduced trust in otherwise technically successful platforms.</w:t>
      </w:r>
    </w:p>
    <w:p w14:paraId="6F73EA92" w14:textId="77777777" w:rsidR="00ED5FB6" w:rsidRDefault="00000000">
      <w:pPr>
        <w:pStyle w:val="Heading1"/>
      </w:pPr>
      <w:r>
        <w:t>9. Technology Neutrality and Emerging Forms of Digital Value</w:t>
      </w:r>
    </w:p>
    <w:p w14:paraId="4CFACBF0" w14:textId="77777777" w:rsidR="00ED5FB6" w:rsidRDefault="00000000">
      <w:r>
        <w:t>A technology-neutral regulatory framework should be capable of accommodating emerging forms of digital value without requiring fundamental redesign each time new instruments mature. This includes CBDCs, regulated stablecoins, tokenised deposits and programmable money.</w:t>
      </w:r>
    </w:p>
    <w:p w14:paraId="4C6E9B6A" w14:textId="77777777" w:rsidR="00ED5FB6" w:rsidRDefault="00000000">
      <w:r>
        <w:t>This submission does not recommend preferential treatment for any digital asset or settlement model. Rather, it recommends that future payments regulation be sufficiently adaptable so that new forms of value can be assessed against consistent principles: safety, consumer protection, interoperability, financial crime controls, operational resilience and competition.</w:t>
      </w:r>
    </w:p>
    <w:p w14:paraId="4A4D1A8F" w14:textId="77777777" w:rsidR="00ED5FB6" w:rsidRDefault="00000000">
      <w:pPr>
        <w:pStyle w:val="Heading1"/>
      </w:pPr>
      <w:r>
        <w:t>10. Cryptographic Readiness and the Post-Quantum Transition</w:t>
      </w:r>
    </w:p>
    <w:p w14:paraId="0B00ACC1" w14:textId="77777777" w:rsidR="00ED5FB6" w:rsidRDefault="00000000">
      <w:r w:rsidRPr="00AE37F6">
        <w:rPr>
          <w:i/>
          <w:iCs/>
        </w:rPr>
        <w:t>Quantum readiness should become Australia's equivalent of Y2K planning for payments</w:t>
      </w:r>
      <w:r>
        <w:t>. Not because Q-Day is tomorrow, but because migration across payments infrastructure can take a decade.</w:t>
      </w:r>
    </w:p>
    <w:p w14:paraId="33F0228F" w14:textId="77777777" w:rsidR="00ED5FB6" w:rsidRDefault="00000000">
      <w:r>
        <w:t>Payment ecosystems depend on cryptography for authentication, confidentiality, digital signatures, transaction integrity and secure communications. The transition to quantum-resistant cryptography will require inventory, standards alignment, vendor readiness, testing, sequencing and coordinated execution across banks, schemes, processors, terminals, ATMs, wallets and gateways.</w:t>
      </w:r>
    </w:p>
    <w:p w14:paraId="1E6A9581" w14:textId="77777777" w:rsidR="00ED5FB6" w:rsidRDefault="00000000">
      <w:r>
        <w:lastRenderedPageBreak/>
        <w:t>The RBA should not duplicate existing cyber or prudential frameworks. Its most useful role would be to support coordination, prioritisation and system-level assurance for payments infrastructure where fragmented migration could create resilience gaps.</w:t>
      </w:r>
    </w:p>
    <w:p w14:paraId="79F62943" w14:textId="0D7F70F0" w:rsidR="00ED5FB6" w:rsidRDefault="00000000">
      <w:pPr>
        <w:pStyle w:val="Heading1"/>
      </w:pPr>
      <w:r>
        <w:t xml:space="preserve">11. International </w:t>
      </w:r>
      <w:r w:rsidR="00962CA6">
        <w:t>Comparisons</w:t>
      </w:r>
      <w:r>
        <w:t xml:space="preserve"> and Lessons for Australia</w:t>
      </w:r>
    </w:p>
    <w:p w14:paraId="7399E067" w14:textId="77777777" w:rsidR="00ED5FB6" w:rsidRDefault="00000000">
      <w:r>
        <w:t>Australia should not copy another jurisdiction wholesale. The following shortened examples are included only to support the Australian policy argument, not to present a global survey.</w:t>
      </w:r>
    </w:p>
    <w:tbl>
      <w:tblPr>
        <w:tblStyle w:val="TableGrid"/>
        <w:tblW w:w="0" w:type="auto"/>
        <w:jc w:val="center"/>
        <w:tblLook w:val="04A0" w:firstRow="1" w:lastRow="0" w:firstColumn="1" w:lastColumn="0" w:noHBand="0" w:noVBand="1"/>
      </w:tblPr>
      <w:tblGrid>
        <w:gridCol w:w="2592"/>
        <w:gridCol w:w="7344"/>
      </w:tblGrid>
      <w:tr w:rsidR="00ED5FB6" w14:paraId="22F68232" w14:textId="77777777">
        <w:trPr>
          <w:jc w:val="center"/>
        </w:trPr>
        <w:tc>
          <w:tcPr>
            <w:tcW w:w="2592" w:type="dxa"/>
            <w:shd w:val="clear" w:color="auto" w:fill="1F4E79"/>
            <w:tcMar>
              <w:top w:w="100" w:type="dxa"/>
              <w:left w:w="110" w:type="dxa"/>
              <w:bottom w:w="100" w:type="dxa"/>
              <w:right w:w="110" w:type="dxa"/>
            </w:tcMar>
          </w:tcPr>
          <w:p w14:paraId="7142D35D" w14:textId="77777777" w:rsidR="00ED5FB6" w:rsidRDefault="00000000">
            <w:r>
              <w:rPr>
                <w:b/>
                <w:color w:val="FFFFFF"/>
                <w:sz w:val="17"/>
              </w:rPr>
              <w:t>Jurisdiction</w:t>
            </w:r>
          </w:p>
        </w:tc>
        <w:tc>
          <w:tcPr>
            <w:tcW w:w="7344" w:type="dxa"/>
            <w:shd w:val="clear" w:color="auto" w:fill="1F4E79"/>
            <w:tcMar>
              <w:top w:w="100" w:type="dxa"/>
              <w:left w:w="110" w:type="dxa"/>
              <w:bottom w:w="100" w:type="dxa"/>
              <w:right w:w="110" w:type="dxa"/>
            </w:tcMar>
          </w:tcPr>
          <w:p w14:paraId="2BB3920B" w14:textId="77777777" w:rsidR="00ED5FB6" w:rsidRDefault="00000000">
            <w:r>
              <w:rPr>
                <w:b/>
                <w:color w:val="FFFFFF"/>
                <w:sz w:val="17"/>
              </w:rPr>
              <w:t>Relevant lesson for Australia</w:t>
            </w:r>
          </w:p>
        </w:tc>
      </w:tr>
      <w:tr w:rsidR="00ED5FB6" w14:paraId="73A72818" w14:textId="77777777">
        <w:trPr>
          <w:jc w:val="center"/>
        </w:trPr>
        <w:tc>
          <w:tcPr>
            <w:tcW w:w="2592" w:type="dxa"/>
            <w:tcMar>
              <w:top w:w="100" w:type="dxa"/>
              <w:left w:w="110" w:type="dxa"/>
              <w:bottom w:w="100" w:type="dxa"/>
              <w:right w:w="110" w:type="dxa"/>
            </w:tcMar>
            <w:vAlign w:val="center"/>
          </w:tcPr>
          <w:p w14:paraId="65ED759A" w14:textId="77777777" w:rsidR="00ED5FB6" w:rsidRDefault="00000000">
            <w:pPr>
              <w:spacing w:after="20"/>
            </w:pPr>
            <w:r>
              <w:rPr>
                <w:sz w:val="17"/>
              </w:rPr>
              <w:t>United States / FedNow</w:t>
            </w:r>
          </w:p>
        </w:tc>
        <w:tc>
          <w:tcPr>
            <w:tcW w:w="7344" w:type="dxa"/>
            <w:tcMar>
              <w:top w:w="100" w:type="dxa"/>
              <w:left w:w="110" w:type="dxa"/>
              <w:bottom w:w="100" w:type="dxa"/>
              <w:right w:w="110" w:type="dxa"/>
            </w:tcMar>
            <w:vAlign w:val="center"/>
          </w:tcPr>
          <w:p w14:paraId="61C5930C" w14:textId="77777777" w:rsidR="00ED5FB6" w:rsidRDefault="00000000">
            <w:pPr>
              <w:spacing w:after="20"/>
            </w:pPr>
            <w:r>
              <w:rPr>
                <w:sz w:val="17"/>
              </w:rPr>
              <w:t>Central-bank instant payments infrastructure can provide neutral 24x7x365 settlement while industry builds customer-facing services on top.</w:t>
            </w:r>
          </w:p>
        </w:tc>
      </w:tr>
      <w:tr w:rsidR="00ED5FB6" w14:paraId="7FD0AE55" w14:textId="77777777">
        <w:trPr>
          <w:jc w:val="center"/>
        </w:trPr>
        <w:tc>
          <w:tcPr>
            <w:tcW w:w="2592" w:type="dxa"/>
            <w:tcMar>
              <w:top w:w="100" w:type="dxa"/>
              <w:left w:w="110" w:type="dxa"/>
              <w:bottom w:w="100" w:type="dxa"/>
              <w:right w:w="110" w:type="dxa"/>
            </w:tcMar>
            <w:vAlign w:val="center"/>
          </w:tcPr>
          <w:p w14:paraId="6EBA20C5" w14:textId="77777777" w:rsidR="00ED5FB6" w:rsidRDefault="00000000">
            <w:pPr>
              <w:spacing w:after="20"/>
            </w:pPr>
            <w:r>
              <w:rPr>
                <w:sz w:val="17"/>
              </w:rPr>
              <w:t>Sweden / Swish and Riksbank</w:t>
            </w:r>
          </w:p>
        </w:tc>
        <w:tc>
          <w:tcPr>
            <w:tcW w:w="7344" w:type="dxa"/>
            <w:tcMar>
              <w:top w:w="100" w:type="dxa"/>
              <w:left w:w="110" w:type="dxa"/>
              <w:bottom w:w="100" w:type="dxa"/>
              <w:right w:w="110" w:type="dxa"/>
            </w:tcMar>
            <w:vAlign w:val="center"/>
          </w:tcPr>
          <w:p w14:paraId="75880FBD" w14:textId="77777777" w:rsidR="00ED5FB6" w:rsidRDefault="00000000">
            <w:pPr>
              <w:spacing w:after="20"/>
            </w:pPr>
            <w:r>
              <w:rPr>
                <w:sz w:val="17"/>
              </w:rPr>
              <w:t>Mass mobile account-based payments can scale when the experience is simple and trusted; as usage grows, resilience, fraud, accessibility and central-bank settlement become key policy issues.</w:t>
            </w:r>
          </w:p>
        </w:tc>
      </w:tr>
      <w:tr w:rsidR="00ED5FB6" w14:paraId="43ABAB02" w14:textId="77777777">
        <w:trPr>
          <w:jc w:val="center"/>
        </w:trPr>
        <w:tc>
          <w:tcPr>
            <w:tcW w:w="2592" w:type="dxa"/>
            <w:tcMar>
              <w:top w:w="100" w:type="dxa"/>
              <w:left w:w="110" w:type="dxa"/>
              <w:bottom w:w="100" w:type="dxa"/>
              <w:right w:w="110" w:type="dxa"/>
            </w:tcMar>
            <w:vAlign w:val="center"/>
          </w:tcPr>
          <w:p w14:paraId="03BCE9A5" w14:textId="77777777" w:rsidR="00ED5FB6" w:rsidRDefault="00000000">
            <w:pPr>
              <w:spacing w:after="20"/>
            </w:pPr>
            <w:r>
              <w:rPr>
                <w:sz w:val="17"/>
              </w:rPr>
              <w:t>European Union</w:t>
            </w:r>
          </w:p>
        </w:tc>
        <w:tc>
          <w:tcPr>
            <w:tcW w:w="7344" w:type="dxa"/>
            <w:tcMar>
              <w:top w:w="100" w:type="dxa"/>
              <w:left w:w="110" w:type="dxa"/>
              <w:bottom w:w="100" w:type="dxa"/>
              <w:right w:w="110" w:type="dxa"/>
            </w:tcMar>
            <w:vAlign w:val="center"/>
          </w:tcPr>
          <w:p w14:paraId="015C0EAD" w14:textId="77777777" w:rsidR="00ED5FB6" w:rsidRDefault="00000000">
            <w:pPr>
              <w:spacing w:after="20"/>
            </w:pPr>
            <w:r>
              <w:rPr>
                <w:sz w:val="17"/>
              </w:rPr>
              <w:t>Digital euro and European wallet developments show the convergence of payments, identity, wallets, privacy, resilience and strategic autonomy.</w:t>
            </w:r>
          </w:p>
        </w:tc>
      </w:tr>
      <w:tr w:rsidR="00ED5FB6" w14:paraId="091620D2" w14:textId="77777777">
        <w:trPr>
          <w:jc w:val="center"/>
        </w:trPr>
        <w:tc>
          <w:tcPr>
            <w:tcW w:w="2592" w:type="dxa"/>
            <w:tcMar>
              <w:top w:w="100" w:type="dxa"/>
              <w:left w:w="110" w:type="dxa"/>
              <w:bottom w:w="100" w:type="dxa"/>
              <w:right w:w="110" w:type="dxa"/>
            </w:tcMar>
            <w:vAlign w:val="center"/>
          </w:tcPr>
          <w:p w14:paraId="2BCC535B" w14:textId="77777777" w:rsidR="00ED5FB6" w:rsidRDefault="00000000">
            <w:pPr>
              <w:spacing w:after="20"/>
            </w:pPr>
            <w:r>
              <w:rPr>
                <w:sz w:val="17"/>
              </w:rPr>
              <w:t>Middle East: KSA Sarie and UAE Aani</w:t>
            </w:r>
          </w:p>
        </w:tc>
        <w:tc>
          <w:tcPr>
            <w:tcW w:w="7344" w:type="dxa"/>
            <w:tcMar>
              <w:top w:w="100" w:type="dxa"/>
              <w:left w:w="110" w:type="dxa"/>
              <w:bottom w:w="100" w:type="dxa"/>
              <w:right w:w="110" w:type="dxa"/>
            </w:tcMar>
            <w:vAlign w:val="center"/>
          </w:tcPr>
          <w:p w14:paraId="58A69104" w14:textId="77777777" w:rsidR="00ED5FB6" w:rsidRDefault="00000000">
            <w:pPr>
              <w:spacing w:after="20"/>
            </w:pPr>
            <w:r>
              <w:rPr>
                <w:sz w:val="17"/>
              </w:rPr>
              <w:t>National instant payment platforms can support digital transformation, alias payments, QR payments, request-to-pay features and financial inclusion.</w:t>
            </w:r>
          </w:p>
        </w:tc>
      </w:tr>
    </w:tbl>
    <w:p w14:paraId="30F5CE04" w14:textId="77777777" w:rsidR="00ED5FB6" w:rsidRDefault="00ED5FB6"/>
    <w:p w14:paraId="60ED2BFE" w14:textId="77777777" w:rsidR="00ED5FB6" w:rsidRDefault="00000000">
      <w:pPr>
        <w:pStyle w:val="Heading1"/>
      </w:pPr>
      <w:r>
        <w:t>12. Suggested Implementation Roadmap</w:t>
      </w:r>
    </w:p>
    <w:tbl>
      <w:tblPr>
        <w:tblStyle w:val="TableGrid"/>
        <w:tblW w:w="0" w:type="auto"/>
        <w:jc w:val="center"/>
        <w:tblLook w:val="04A0" w:firstRow="1" w:lastRow="0" w:firstColumn="1" w:lastColumn="0" w:noHBand="0" w:noVBand="1"/>
      </w:tblPr>
      <w:tblGrid>
        <w:gridCol w:w="1584"/>
        <w:gridCol w:w="4752"/>
        <w:gridCol w:w="3456"/>
      </w:tblGrid>
      <w:tr w:rsidR="00ED5FB6" w14:paraId="71C160A6" w14:textId="77777777">
        <w:trPr>
          <w:jc w:val="center"/>
        </w:trPr>
        <w:tc>
          <w:tcPr>
            <w:tcW w:w="1584" w:type="dxa"/>
            <w:shd w:val="clear" w:color="auto" w:fill="1F4E79"/>
            <w:tcMar>
              <w:top w:w="100" w:type="dxa"/>
              <w:left w:w="110" w:type="dxa"/>
              <w:bottom w:w="100" w:type="dxa"/>
              <w:right w:w="110" w:type="dxa"/>
            </w:tcMar>
          </w:tcPr>
          <w:p w14:paraId="05BDA67D" w14:textId="77777777" w:rsidR="00ED5FB6" w:rsidRDefault="00000000">
            <w:r>
              <w:rPr>
                <w:b/>
                <w:color w:val="FFFFFF"/>
                <w:sz w:val="17"/>
              </w:rPr>
              <w:t>Horizon</w:t>
            </w:r>
          </w:p>
        </w:tc>
        <w:tc>
          <w:tcPr>
            <w:tcW w:w="4752" w:type="dxa"/>
            <w:shd w:val="clear" w:color="auto" w:fill="1F4E79"/>
            <w:tcMar>
              <w:top w:w="100" w:type="dxa"/>
              <w:left w:w="110" w:type="dxa"/>
              <w:bottom w:w="100" w:type="dxa"/>
              <w:right w:w="110" w:type="dxa"/>
            </w:tcMar>
          </w:tcPr>
          <w:p w14:paraId="57A8BC83" w14:textId="77777777" w:rsidR="00ED5FB6" w:rsidRDefault="00000000">
            <w:r>
              <w:rPr>
                <w:b/>
                <w:color w:val="FFFFFF"/>
                <w:sz w:val="17"/>
              </w:rPr>
              <w:t>Priority action</w:t>
            </w:r>
          </w:p>
        </w:tc>
        <w:tc>
          <w:tcPr>
            <w:tcW w:w="3456" w:type="dxa"/>
            <w:shd w:val="clear" w:color="auto" w:fill="1F4E79"/>
            <w:tcMar>
              <w:top w:w="100" w:type="dxa"/>
              <w:left w:w="110" w:type="dxa"/>
              <w:bottom w:w="100" w:type="dxa"/>
              <w:right w:w="110" w:type="dxa"/>
            </w:tcMar>
          </w:tcPr>
          <w:p w14:paraId="7F54C2C8" w14:textId="77777777" w:rsidR="00ED5FB6" w:rsidRDefault="00000000">
            <w:r>
              <w:rPr>
                <w:b/>
                <w:color w:val="FFFFFF"/>
                <w:sz w:val="17"/>
              </w:rPr>
              <w:t>Outcome</w:t>
            </w:r>
          </w:p>
        </w:tc>
      </w:tr>
      <w:tr w:rsidR="00ED5FB6" w14:paraId="61939388" w14:textId="77777777">
        <w:trPr>
          <w:jc w:val="center"/>
        </w:trPr>
        <w:tc>
          <w:tcPr>
            <w:tcW w:w="1584" w:type="dxa"/>
            <w:tcMar>
              <w:top w:w="100" w:type="dxa"/>
              <w:left w:w="110" w:type="dxa"/>
              <w:bottom w:w="100" w:type="dxa"/>
              <w:right w:w="110" w:type="dxa"/>
            </w:tcMar>
            <w:vAlign w:val="center"/>
          </w:tcPr>
          <w:p w14:paraId="22A5B306" w14:textId="77777777" w:rsidR="00ED5FB6" w:rsidRDefault="00000000">
            <w:pPr>
              <w:spacing w:after="20"/>
            </w:pPr>
            <w:r>
              <w:rPr>
                <w:sz w:val="17"/>
              </w:rPr>
              <w:t>1-2 years</w:t>
            </w:r>
          </w:p>
        </w:tc>
        <w:tc>
          <w:tcPr>
            <w:tcW w:w="4752" w:type="dxa"/>
            <w:tcMar>
              <w:top w:w="100" w:type="dxa"/>
              <w:left w:w="110" w:type="dxa"/>
              <w:bottom w:w="100" w:type="dxa"/>
              <w:right w:w="110" w:type="dxa"/>
            </w:tcMar>
            <w:vAlign w:val="center"/>
          </w:tcPr>
          <w:p w14:paraId="49D1A440" w14:textId="77777777" w:rsidR="00ED5FB6" w:rsidRDefault="00000000">
            <w:pPr>
              <w:spacing w:after="20"/>
            </w:pPr>
            <w:r>
              <w:rPr>
                <w:sz w:val="17"/>
              </w:rPr>
              <w:t>Publish AI payments governance principles and delegated authority guardrails.</w:t>
            </w:r>
          </w:p>
        </w:tc>
        <w:tc>
          <w:tcPr>
            <w:tcW w:w="3456" w:type="dxa"/>
            <w:tcMar>
              <w:top w:w="100" w:type="dxa"/>
              <w:left w:w="110" w:type="dxa"/>
              <w:bottom w:w="100" w:type="dxa"/>
              <w:right w:w="110" w:type="dxa"/>
            </w:tcMar>
            <w:vAlign w:val="center"/>
          </w:tcPr>
          <w:p w14:paraId="0A971880" w14:textId="77777777" w:rsidR="00ED5FB6" w:rsidRDefault="00000000">
            <w:pPr>
              <w:spacing w:after="20"/>
            </w:pPr>
            <w:r>
              <w:rPr>
                <w:sz w:val="17"/>
              </w:rPr>
              <w:t>Early clarity before AI payment agents scale.</w:t>
            </w:r>
          </w:p>
        </w:tc>
      </w:tr>
      <w:tr w:rsidR="00ED5FB6" w14:paraId="1F031FF0" w14:textId="77777777">
        <w:trPr>
          <w:jc w:val="center"/>
        </w:trPr>
        <w:tc>
          <w:tcPr>
            <w:tcW w:w="1584" w:type="dxa"/>
            <w:tcMar>
              <w:top w:w="100" w:type="dxa"/>
              <w:left w:w="110" w:type="dxa"/>
              <w:bottom w:w="100" w:type="dxa"/>
              <w:right w:w="110" w:type="dxa"/>
            </w:tcMar>
            <w:vAlign w:val="center"/>
          </w:tcPr>
          <w:p w14:paraId="758FA89C" w14:textId="77777777" w:rsidR="00ED5FB6" w:rsidRDefault="00000000">
            <w:pPr>
              <w:spacing w:after="20"/>
            </w:pPr>
            <w:r>
              <w:rPr>
                <w:sz w:val="17"/>
              </w:rPr>
              <w:t>1-2 years</w:t>
            </w:r>
          </w:p>
        </w:tc>
        <w:tc>
          <w:tcPr>
            <w:tcW w:w="4752" w:type="dxa"/>
            <w:tcMar>
              <w:top w:w="100" w:type="dxa"/>
              <w:left w:w="110" w:type="dxa"/>
              <w:bottom w:w="100" w:type="dxa"/>
              <w:right w:w="110" w:type="dxa"/>
            </w:tcMar>
            <w:vAlign w:val="center"/>
          </w:tcPr>
          <w:p w14:paraId="23447191" w14:textId="77777777" w:rsidR="00ED5FB6" w:rsidRDefault="00000000">
            <w:pPr>
              <w:spacing w:after="20"/>
            </w:pPr>
            <w:r>
              <w:rPr>
                <w:sz w:val="17"/>
              </w:rPr>
              <w:t>Define trust-layer taxonomy covering identity, consent, wallet credentials, fraud intelligence and auditability.</w:t>
            </w:r>
          </w:p>
        </w:tc>
        <w:tc>
          <w:tcPr>
            <w:tcW w:w="3456" w:type="dxa"/>
            <w:tcMar>
              <w:top w:w="100" w:type="dxa"/>
              <w:left w:w="110" w:type="dxa"/>
              <w:bottom w:w="100" w:type="dxa"/>
              <w:right w:w="110" w:type="dxa"/>
            </w:tcMar>
            <w:vAlign w:val="center"/>
          </w:tcPr>
          <w:p w14:paraId="13C59C1F" w14:textId="77777777" w:rsidR="00ED5FB6" w:rsidRDefault="00000000">
            <w:pPr>
              <w:spacing w:after="20"/>
            </w:pPr>
            <w:r>
              <w:rPr>
                <w:sz w:val="17"/>
              </w:rPr>
              <w:t>Common language for cross-regulator and industry coordination.</w:t>
            </w:r>
          </w:p>
        </w:tc>
      </w:tr>
      <w:tr w:rsidR="00ED5FB6" w14:paraId="3CE49AF2" w14:textId="77777777">
        <w:trPr>
          <w:jc w:val="center"/>
        </w:trPr>
        <w:tc>
          <w:tcPr>
            <w:tcW w:w="1584" w:type="dxa"/>
            <w:tcMar>
              <w:top w:w="100" w:type="dxa"/>
              <w:left w:w="110" w:type="dxa"/>
              <w:bottom w:w="100" w:type="dxa"/>
              <w:right w:w="110" w:type="dxa"/>
            </w:tcMar>
            <w:vAlign w:val="center"/>
          </w:tcPr>
          <w:p w14:paraId="55ED0963" w14:textId="77777777" w:rsidR="00ED5FB6" w:rsidRDefault="00000000">
            <w:pPr>
              <w:spacing w:after="20"/>
            </w:pPr>
            <w:r>
              <w:rPr>
                <w:sz w:val="17"/>
              </w:rPr>
              <w:t>2-4 years</w:t>
            </w:r>
          </w:p>
        </w:tc>
        <w:tc>
          <w:tcPr>
            <w:tcW w:w="4752" w:type="dxa"/>
            <w:tcMar>
              <w:top w:w="100" w:type="dxa"/>
              <w:left w:w="110" w:type="dxa"/>
              <w:bottom w:w="100" w:type="dxa"/>
              <w:right w:w="110" w:type="dxa"/>
            </w:tcMar>
            <w:vAlign w:val="center"/>
          </w:tcPr>
          <w:p w14:paraId="018DF495" w14:textId="77777777" w:rsidR="00ED5FB6" w:rsidRDefault="00000000">
            <w:pPr>
              <w:spacing w:after="20"/>
            </w:pPr>
            <w:r>
              <w:rPr>
                <w:sz w:val="17"/>
              </w:rPr>
              <w:t>Promote wallet, identity and PayTo interoperability standards.</w:t>
            </w:r>
          </w:p>
        </w:tc>
        <w:tc>
          <w:tcPr>
            <w:tcW w:w="3456" w:type="dxa"/>
            <w:tcMar>
              <w:top w:w="100" w:type="dxa"/>
              <w:left w:w="110" w:type="dxa"/>
              <w:bottom w:w="100" w:type="dxa"/>
              <w:right w:w="110" w:type="dxa"/>
            </w:tcMar>
            <w:vAlign w:val="center"/>
          </w:tcPr>
          <w:p w14:paraId="3DECB4E5" w14:textId="77777777" w:rsidR="00ED5FB6" w:rsidRDefault="00000000">
            <w:pPr>
              <w:spacing w:after="20"/>
            </w:pPr>
            <w:r>
              <w:rPr>
                <w:sz w:val="17"/>
              </w:rPr>
              <w:t>Practical foundations for trusted A2A and wallet-based commerce.</w:t>
            </w:r>
          </w:p>
        </w:tc>
      </w:tr>
      <w:tr w:rsidR="00ED5FB6" w14:paraId="07FAFEED" w14:textId="77777777">
        <w:trPr>
          <w:jc w:val="center"/>
        </w:trPr>
        <w:tc>
          <w:tcPr>
            <w:tcW w:w="1584" w:type="dxa"/>
            <w:tcMar>
              <w:top w:w="100" w:type="dxa"/>
              <w:left w:w="110" w:type="dxa"/>
              <w:bottom w:w="100" w:type="dxa"/>
              <w:right w:w="110" w:type="dxa"/>
            </w:tcMar>
            <w:vAlign w:val="center"/>
          </w:tcPr>
          <w:p w14:paraId="29190E7B" w14:textId="77777777" w:rsidR="00ED5FB6" w:rsidRDefault="00000000">
            <w:pPr>
              <w:spacing w:after="20"/>
            </w:pPr>
            <w:r>
              <w:rPr>
                <w:sz w:val="17"/>
              </w:rPr>
              <w:t>2-4 years</w:t>
            </w:r>
          </w:p>
        </w:tc>
        <w:tc>
          <w:tcPr>
            <w:tcW w:w="4752" w:type="dxa"/>
            <w:tcMar>
              <w:top w:w="100" w:type="dxa"/>
              <w:left w:w="110" w:type="dxa"/>
              <w:bottom w:w="100" w:type="dxa"/>
              <w:right w:w="110" w:type="dxa"/>
            </w:tcMar>
            <w:vAlign w:val="center"/>
          </w:tcPr>
          <w:p w14:paraId="414D52FC" w14:textId="77777777" w:rsidR="00ED5FB6" w:rsidRDefault="00000000">
            <w:pPr>
              <w:spacing w:after="20"/>
            </w:pPr>
            <w:r>
              <w:rPr>
                <w:sz w:val="17"/>
              </w:rPr>
              <w:t>Establish ecosystem-level fraud intelligence and mule detection uplift priorities.</w:t>
            </w:r>
          </w:p>
        </w:tc>
        <w:tc>
          <w:tcPr>
            <w:tcW w:w="3456" w:type="dxa"/>
            <w:tcMar>
              <w:top w:w="100" w:type="dxa"/>
              <w:left w:w="110" w:type="dxa"/>
              <w:bottom w:w="100" w:type="dxa"/>
              <w:right w:w="110" w:type="dxa"/>
            </w:tcMar>
            <w:vAlign w:val="center"/>
          </w:tcPr>
          <w:p w14:paraId="4E756044" w14:textId="77777777" w:rsidR="00ED5FB6" w:rsidRDefault="00000000">
            <w:pPr>
              <w:spacing w:after="20"/>
            </w:pPr>
            <w:r>
              <w:rPr>
                <w:sz w:val="17"/>
              </w:rPr>
              <w:t>Improved consumer protection and trust in real-time payments.</w:t>
            </w:r>
          </w:p>
        </w:tc>
      </w:tr>
      <w:tr w:rsidR="00ED5FB6" w14:paraId="42508B8C" w14:textId="77777777">
        <w:trPr>
          <w:jc w:val="center"/>
        </w:trPr>
        <w:tc>
          <w:tcPr>
            <w:tcW w:w="1584" w:type="dxa"/>
            <w:tcMar>
              <w:top w:w="100" w:type="dxa"/>
              <w:left w:w="110" w:type="dxa"/>
              <w:bottom w:w="100" w:type="dxa"/>
              <w:right w:w="110" w:type="dxa"/>
            </w:tcMar>
            <w:vAlign w:val="center"/>
          </w:tcPr>
          <w:p w14:paraId="431284FE" w14:textId="77777777" w:rsidR="00ED5FB6" w:rsidRDefault="00000000">
            <w:pPr>
              <w:spacing w:after="20"/>
            </w:pPr>
            <w:r>
              <w:rPr>
                <w:sz w:val="17"/>
              </w:rPr>
              <w:t>3-5 years</w:t>
            </w:r>
          </w:p>
        </w:tc>
        <w:tc>
          <w:tcPr>
            <w:tcW w:w="4752" w:type="dxa"/>
            <w:tcMar>
              <w:top w:w="100" w:type="dxa"/>
              <w:left w:w="110" w:type="dxa"/>
              <w:bottom w:w="100" w:type="dxa"/>
              <w:right w:w="110" w:type="dxa"/>
            </w:tcMar>
            <w:vAlign w:val="center"/>
          </w:tcPr>
          <w:p w14:paraId="3884D546" w14:textId="77777777" w:rsidR="00ED5FB6" w:rsidRDefault="00000000">
            <w:pPr>
              <w:spacing w:after="20"/>
            </w:pPr>
            <w:r>
              <w:rPr>
                <w:sz w:val="17"/>
              </w:rPr>
              <w:t>Complete payments cryptographic inventory and post-quantum migration planning.</w:t>
            </w:r>
          </w:p>
        </w:tc>
        <w:tc>
          <w:tcPr>
            <w:tcW w:w="3456" w:type="dxa"/>
            <w:tcMar>
              <w:top w:w="100" w:type="dxa"/>
              <w:left w:w="110" w:type="dxa"/>
              <w:bottom w:w="100" w:type="dxa"/>
              <w:right w:w="110" w:type="dxa"/>
            </w:tcMar>
            <w:vAlign w:val="center"/>
          </w:tcPr>
          <w:p w14:paraId="5AF69F77" w14:textId="77777777" w:rsidR="00ED5FB6" w:rsidRDefault="00000000">
            <w:pPr>
              <w:spacing w:after="20"/>
            </w:pPr>
            <w:r>
              <w:rPr>
                <w:sz w:val="17"/>
              </w:rPr>
              <w:t>Sequenced, risk-based quantum readiness.</w:t>
            </w:r>
          </w:p>
        </w:tc>
      </w:tr>
      <w:tr w:rsidR="00ED5FB6" w14:paraId="6AC4B6D9" w14:textId="77777777">
        <w:trPr>
          <w:jc w:val="center"/>
        </w:trPr>
        <w:tc>
          <w:tcPr>
            <w:tcW w:w="1584" w:type="dxa"/>
            <w:tcMar>
              <w:top w:w="100" w:type="dxa"/>
              <w:left w:w="110" w:type="dxa"/>
              <w:bottom w:w="100" w:type="dxa"/>
              <w:right w:w="110" w:type="dxa"/>
            </w:tcMar>
            <w:vAlign w:val="center"/>
          </w:tcPr>
          <w:p w14:paraId="2706423E" w14:textId="77777777" w:rsidR="00ED5FB6" w:rsidRDefault="00000000">
            <w:pPr>
              <w:spacing w:after="20"/>
            </w:pPr>
            <w:r>
              <w:rPr>
                <w:sz w:val="17"/>
              </w:rPr>
              <w:t>5 years</w:t>
            </w:r>
          </w:p>
        </w:tc>
        <w:tc>
          <w:tcPr>
            <w:tcW w:w="4752" w:type="dxa"/>
            <w:tcMar>
              <w:top w:w="100" w:type="dxa"/>
              <w:left w:w="110" w:type="dxa"/>
              <w:bottom w:w="100" w:type="dxa"/>
              <w:right w:w="110" w:type="dxa"/>
            </w:tcMar>
            <w:vAlign w:val="center"/>
          </w:tcPr>
          <w:p w14:paraId="362809D5" w14:textId="77777777" w:rsidR="00ED5FB6" w:rsidRDefault="00000000">
            <w:pPr>
              <w:spacing w:after="20"/>
            </w:pPr>
            <w:r>
              <w:rPr>
                <w:sz w:val="17"/>
              </w:rPr>
              <w:t>Pilot governed AI payment agents with auditable consent and liability models.</w:t>
            </w:r>
          </w:p>
        </w:tc>
        <w:tc>
          <w:tcPr>
            <w:tcW w:w="3456" w:type="dxa"/>
            <w:tcMar>
              <w:top w:w="100" w:type="dxa"/>
              <w:left w:w="110" w:type="dxa"/>
              <w:bottom w:w="100" w:type="dxa"/>
              <w:right w:w="110" w:type="dxa"/>
            </w:tcMar>
            <w:vAlign w:val="center"/>
          </w:tcPr>
          <w:p w14:paraId="390E0AE5" w14:textId="77777777" w:rsidR="00ED5FB6" w:rsidRDefault="00000000">
            <w:pPr>
              <w:spacing w:after="20"/>
            </w:pPr>
            <w:r>
              <w:rPr>
                <w:sz w:val="17"/>
              </w:rPr>
              <w:t>Safe experimentation before mainstream autonomous commerce.</w:t>
            </w:r>
          </w:p>
        </w:tc>
      </w:tr>
      <w:tr w:rsidR="00ED5FB6" w14:paraId="3484E502" w14:textId="77777777">
        <w:trPr>
          <w:jc w:val="center"/>
        </w:trPr>
        <w:tc>
          <w:tcPr>
            <w:tcW w:w="1584" w:type="dxa"/>
            <w:tcMar>
              <w:top w:w="100" w:type="dxa"/>
              <w:left w:w="110" w:type="dxa"/>
              <w:bottom w:w="100" w:type="dxa"/>
              <w:right w:w="110" w:type="dxa"/>
            </w:tcMar>
            <w:vAlign w:val="center"/>
          </w:tcPr>
          <w:p w14:paraId="17A7A3DD" w14:textId="77777777" w:rsidR="00ED5FB6" w:rsidRDefault="00000000">
            <w:pPr>
              <w:spacing w:after="20"/>
            </w:pPr>
            <w:r>
              <w:rPr>
                <w:sz w:val="17"/>
              </w:rPr>
              <w:t>5-10 years</w:t>
            </w:r>
          </w:p>
        </w:tc>
        <w:tc>
          <w:tcPr>
            <w:tcW w:w="4752" w:type="dxa"/>
            <w:tcMar>
              <w:top w:w="100" w:type="dxa"/>
              <w:left w:w="110" w:type="dxa"/>
              <w:bottom w:w="100" w:type="dxa"/>
              <w:right w:w="110" w:type="dxa"/>
            </w:tcMar>
            <w:vAlign w:val="center"/>
          </w:tcPr>
          <w:p w14:paraId="15460086" w14:textId="77777777" w:rsidR="00ED5FB6" w:rsidRDefault="00000000">
            <w:pPr>
              <w:spacing w:after="20"/>
            </w:pPr>
            <w:r>
              <w:rPr>
                <w:sz w:val="17"/>
              </w:rPr>
              <w:t>Evolve toward the Australian Trust Layer and technology-neutral value layer.</w:t>
            </w:r>
          </w:p>
        </w:tc>
        <w:tc>
          <w:tcPr>
            <w:tcW w:w="3456" w:type="dxa"/>
            <w:tcMar>
              <w:top w:w="100" w:type="dxa"/>
              <w:left w:w="110" w:type="dxa"/>
              <w:bottom w:w="100" w:type="dxa"/>
              <w:right w:w="110" w:type="dxa"/>
            </w:tcMar>
            <w:vAlign w:val="center"/>
          </w:tcPr>
          <w:p w14:paraId="398EC0BD" w14:textId="77777777" w:rsidR="00ED5FB6" w:rsidRDefault="00000000">
            <w:pPr>
              <w:spacing w:after="20"/>
            </w:pPr>
            <w:r>
              <w:rPr>
                <w:sz w:val="17"/>
              </w:rPr>
              <w:t>Regulation remains adaptable to new rails and digital value forms.</w:t>
            </w:r>
          </w:p>
        </w:tc>
      </w:tr>
    </w:tbl>
    <w:p w14:paraId="6952491A" w14:textId="77777777" w:rsidR="00ED5FB6" w:rsidRDefault="00ED5FB6"/>
    <w:p w14:paraId="14CB604F" w14:textId="77777777" w:rsidR="00ED5FB6" w:rsidRDefault="00000000">
      <w:pPr>
        <w:pStyle w:val="Heading1"/>
      </w:pPr>
      <w:r>
        <w:t>13. Measuring Success: National Payments Trust Metrics</w:t>
      </w:r>
    </w:p>
    <w:p w14:paraId="593A85D3" w14:textId="77777777" w:rsidR="00ED5FB6" w:rsidRDefault="00000000">
      <w:r>
        <w:t>A future regulatory agenda should include measurable outcomes. Without metrics, it will be difficult to know whether strategic investment in trust, interoperability and AI governance is improving the payments ecosystem.</w:t>
      </w:r>
    </w:p>
    <w:tbl>
      <w:tblPr>
        <w:tblStyle w:val="TableGrid"/>
        <w:tblW w:w="0" w:type="auto"/>
        <w:jc w:val="center"/>
        <w:tblLook w:val="04A0" w:firstRow="1" w:lastRow="0" w:firstColumn="1" w:lastColumn="0" w:noHBand="0" w:noVBand="1"/>
      </w:tblPr>
      <w:tblGrid>
        <w:gridCol w:w="3024"/>
        <w:gridCol w:w="6912"/>
      </w:tblGrid>
      <w:tr w:rsidR="00ED5FB6" w14:paraId="175B114D" w14:textId="77777777">
        <w:trPr>
          <w:jc w:val="center"/>
        </w:trPr>
        <w:tc>
          <w:tcPr>
            <w:tcW w:w="3024" w:type="dxa"/>
            <w:shd w:val="clear" w:color="auto" w:fill="1F4E79"/>
            <w:tcMar>
              <w:top w:w="100" w:type="dxa"/>
              <w:left w:w="110" w:type="dxa"/>
              <w:bottom w:w="100" w:type="dxa"/>
              <w:right w:w="110" w:type="dxa"/>
            </w:tcMar>
          </w:tcPr>
          <w:p w14:paraId="352CC24D" w14:textId="77777777" w:rsidR="00ED5FB6" w:rsidRDefault="00000000">
            <w:r>
              <w:rPr>
                <w:b/>
                <w:color w:val="FFFFFF"/>
                <w:sz w:val="17"/>
              </w:rPr>
              <w:lastRenderedPageBreak/>
              <w:t>Metric category</w:t>
            </w:r>
          </w:p>
        </w:tc>
        <w:tc>
          <w:tcPr>
            <w:tcW w:w="6912" w:type="dxa"/>
            <w:shd w:val="clear" w:color="auto" w:fill="1F4E79"/>
            <w:tcMar>
              <w:top w:w="100" w:type="dxa"/>
              <w:left w:w="110" w:type="dxa"/>
              <w:bottom w:w="100" w:type="dxa"/>
              <w:right w:w="110" w:type="dxa"/>
            </w:tcMar>
          </w:tcPr>
          <w:p w14:paraId="1126C4DD" w14:textId="77777777" w:rsidR="00ED5FB6" w:rsidRDefault="00000000">
            <w:r>
              <w:rPr>
                <w:b/>
                <w:color w:val="FFFFFF"/>
                <w:sz w:val="17"/>
              </w:rPr>
              <w:t>Illustrative KPI</w:t>
            </w:r>
          </w:p>
        </w:tc>
      </w:tr>
      <w:tr w:rsidR="00ED5FB6" w14:paraId="4715EFA2" w14:textId="77777777">
        <w:trPr>
          <w:jc w:val="center"/>
        </w:trPr>
        <w:tc>
          <w:tcPr>
            <w:tcW w:w="3024" w:type="dxa"/>
            <w:tcMar>
              <w:top w:w="100" w:type="dxa"/>
              <w:left w:w="110" w:type="dxa"/>
              <w:bottom w:w="100" w:type="dxa"/>
              <w:right w:w="110" w:type="dxa"/>
            </w:tcMar>
            <w:vAlign w:val="center"/>
          </w:tcPr>
          <w:p w14:paraId="1BB38799" w14:textId="77777777" w:rsidR="00ED5FB6" w:rsidRDefault="00000000">
            <w:pPr>
              <w:spacing w:after="20"/>
            </w:pPr>
            <w:r>
              <w:rPr>
                <w:sz w:val="17"/>
              </w:rPr>
              <w:t>Consumer trust and safety</w:t>
            </w:r>
          </w:p>
        </w:tc>
        <w:tc>
          <w:tcPr>
            <w:tcW w:w="6912" w:type="dxa"/>
            <w:tcMar>
              <w:top w:w="100" w:type="dxa"/>
              <w:left w:w="110" w:type="dxa"/>
              <w:bottom w:w="100" w:type="dxa"/>
              <w:right w:w="110" w:type="dxa"/>
            </w:tcMar>
            <w:vAlign w:val="center"/>
          </w:tcPr>
          <w:p w14:paraId="5165BD24" w14:textId="77777777" w:rsidR="00ED5FB6" w:rsidRDefault="00000000">
            <w:pPr>
              <w:spacing w:after="20"/>
            </w:pPr>
            <w:r>
              <w:rPr>
                <w:sz w:val="17"/>
              </w:rPr>
              <w:t>Fraud losses, scam reimbursement outcomes, dispute resolution timeframes, prevented mule account activity.</w:t>
            </w:r>
          </w:p>
        </w:tc>
      </w:tr>
      <w:tr w:rsidR="00ED5FB6" w14:paraId="552FA013" w14:textId="77777777">
        <w:trPr>
          <w:jc w:val="center"/>
        </w:trPr>
        <w:tc>
          <w:tcPr>
            <w:tcW w:w="3024" w:type="dxa"/>
            <w:tcMar>
              <w:top w:w="100" w:type="dxa"/>
              <w:left w:w="110" w:type="dxa"/>
              <w:bottom w:w="100" w:type="dxa"/>
              <w:right w:w="110" w:type="dxa"/>
            </w:tcMar>
            <w:vAlign w:val="center"/>
          </w:tcPr>
          <w:p w14:paraId="2F9706B9" w14:textId="77777777" w:rsidR="00ED5FB6" w:rsidRDefault="00000000">
            <w:pPr>
              <w:spacing w:after="20"/>
            </w:pPr>
            <w:r>
              <w:rPr>
                <w:sz w:val="17"/>
              </w:rPr>
              <w:t>A2A adoption and usability</w:t>
            </w:r>
          </w:p>
        </w:tc>
        <w:tc>
          <w:tcPr>
            <w:tcW w:w="6912" w:type="dxa"/>
            <w:tcMar>
              <w:top w:w="100" w:type="dxa"/>
              <w:left w:w="110" w:type="dxa"/>
              <w:bottom w:w="100" w:type="dxa"/>
              <w:right w:w="110" w:type="dxa"/>
            </w:tcMar>
            <w:vAlign w:val="center"/>
          </w:tcPr>
          <w:p w14:paraId="4FE9BE20" w14:textId="77777777" w:rsidR="00ED5FB6" w:rsidRDefault="00000000">
            <w:pPr>
              <w:spacing w:after="20"/>
            </w:pPr>
            <w:r>
              <w:rPr>
                <w:sz w:val="17"/>
              </w:rPr>
              <w:t>PayID usage, PayTo usage, retail A2A share, payment abandonment rates and merchant acceptance.</w:t>
            </w:r>
          </w:p>
        </w:tc>
      </w:tr>
      <w:tr w:rsidR="00ED5FB6" w14:paraId="2FD5EE1B" w14:textId="77777777">
        <w:trPr>
          <w:jc w:val="center"/>
        </w:trPr>
        <w:tc>
          <w:tcPr>
            <w:tcW w:w="3024" w:type="dxa"/>
            <w:tcMar>
              <w:top w:w="100" w:type="dxa"/>
              <w:left w:w="110" w:type="dxa"/>
              <w:bottom w:w="100" w:type="dxa"/>
              <w:right w:w="110" w:type="dxa"/>
            </w:tcMar>
            <w:vAlign w:val="center"/>
          </w:tcPr>
          <w:p w14:paraId="1F1CD990" w14:textId="77777777" w:rsidR="00ED5FB6" w:rsidRDefault="00000000">
            <w:pPr>
              <w:spacing w:after="20"/>
            </w:pPr>
            <w:r>
              <w:rPr>
                <w:sz w:val="17"/>
              </w:rPr>
              <w:t>Wallet interoperability</w:t>
            </w:r>
          </w:p>
        </w:tc>
        <w:tc>
          <w:tcPr>
            <w:tcW w:w="6912" w:type="dxa"/>
            <w:tcMar>
              <w:top w:w="100" w:type="dxa"/>
              <w:left w:w="110" w:type="dxa"/>
              <w:bottom w:w="100" w:type="dxa"/>
              <w:right w:w="110" w:type="dxa"/>
            </w:tcMar>
            <w:vAlign w:val="center"/>
          </w:tcPr>
          <w:p w14:paraId="30D328EE" w14:textId="77777777" w:rsidR="00ED5FB6" w:rsidRDefault="00000000">
            <w:pPr>
              <w:spacing w:after="20"/>
            </w:pPr>
            <w:r>
              <w:rPr>
                <w:sz w:val="17"/>
              </w:rPr>
              <w:t>Number of wallet providers supporting multiple rails, verified credentials and delegated permissions.</w:t>
            </w:r>
          </w:p>
        </w:tc>
      </w:tr>
      <w:tr w:rsidR="00ED5FB6" w14:paraId="0D4C5F65" w14:textId="77777777">
        <w:trPr>
          <w:jc w:val="center"/>
        </w:trPr>
        <w:tc>
          <w:tcPr>
            <w:tcW w:w="3024" w:type="dxa"/>
            <w:tcMar>
              <w:top w:w="100" w:type="dxa"/>
              <w:left w:w="110" w:type="dxa"/>
              <w:bottom w:w="100" w:type="dxa"/>
              <w:right w:w="110" w:type="dxa"/>
            </w:tcMar>
            <w:vAlign w:val="center"/>
          </w:tcPr>
          <w:p w14:paraId="3D1C4BC3" w14:textId="77777777" w:rsidR="00ED5FB6" w:rsidRDefault="00000000">
            <w:pPr>
              <w:spacing w:after="20"/>
            </w:pPr>
            <w:r>
              <w:rPr>
                <w:sz w:val="17"/>
              </w:rPr>
              <w:t>AI payment governance</w:t>
            </w:r>
          </w:p>
        </w:tc>
        <w:tc>
          <w:tcPr>
            <w:tcW w:w="6912" w:type="dxa"/>
            <w:tcMar>
              <w:top w:w="100" w:type="dxa"/>
              <w:left w:w="110" w:type="dxa"/>
              <w:bottom w:w="100" w:type="dxa"/>
              <w:right w:w="110" w:type="dxa"/>
            </w:tcMar>
            <w:vAlign w:val="center"/>
          </w:tcPr>
          <w:p w14:paraId="01935C66" w14:textId="77777777" w:rsidR="00ED5FB6" w:rsidRDefault="00000000">
            <w:pPr>
              <w:spacing w:after="20"/>
            </w:pPr>
            <w:r>
              <w:rPr>
                <w:sz w:val="17"/>
              </w:rPr>
              <w:t>Number of governed AI payment pilots, audit success rates and AI-related dispute volumes.</w:t>
            </w:r>
          </w:p>
        </w:tc>
      </w:tr>
      <w:tr w:rsidR="00ED5FB6" w14:paraId="41C889B4" w14:textId="77777777">
        <w:trPr>
          <w:jc w:val="center"/>
        </w:trPr>
        <w:tc>
          <w:tcPr>
            <w:tcW w:w="3024" w:type="dxa"/>
            <w:tcMar>
              <w:top w:w="100" w:type="dxa"/>
              <w:left w:w="110" w:type="dxa"/>
              <w:bottom w:w="100" w:type="dxa"/>
              <w:right w:w="110" w:type="dxa"/>
            </w:tcMar>
            <w:vAlign w:val="center"/>
          </w:tcPr>
          <w:p w14:paraId="45F44ADB" w14:textId="77777777" w:rsidR="00ED5FB6" w:rsidRDefault="00000000">
            <w:pPr>
              <w:spacing w:after="20"/>
            </w:pPr>
            <w:r>
              <w:rPr>
                <w:sz w:val="17"/>
              </w:rPr>
              <w:t>Digital identity utilisation</w:t>
            </w:r>
          </w:p>
        </w:tc>
        <w:tc>
          <w:tcPr>
            <w:tcW w:w="6912" w:type="dxa"/>
            <w:tcMar>
              <w:top w:w="100" w:type="dxa"/>
              <w:left w:w="110" w:type="dxa"/>
              <w:bottom w:w="100" w:type="dxa"/>
              <w:right w:w="110" w:type="dxa"/>
            </w:tcMar>
            <w:vAlign w:val="center"/>
          </w:tcPr>
          <w:p w14:paraId="47E89C7F" w14:textId="77777777" w:rsidR="00ED5FB6" w:rsidRDefault="00000000">
            <w:pPr>
              <w:spacing w:after="20"/>
            </w:pPr>
            <w:r>
              <w:rPr>
                <w:sz w:val="17"/>
              </w:rPr>
              <w:t>Use of verified identity credentials in payments, onboarding and consent journeys.</w:t>
            </w:r>
          </w:p>
        </w:tc>
      </w:tr>
      <w:tr w:rsidR="00ED5FB6" w14:paraId="4F1375ED" w14:textId="77777777">
        <w:trPr>
          <w:jc w:val="center"/>
        </w:trPr>
        <w:tc>
          <w:tcPr>
            <w:tcW w:w="3024" w:type="dxa"/>
            <w:tcMar>
              <w:top w:w="100" w:type="dxa"/>
              <w:left w:w="110" w:type="dxa"/>
              <w:bottom w:w="100" w:type="dxa"/>
              <w:right w:w="110" w:type="dxa"/>
            </w:tcMar>
            <w:vAlign w:val="center"/>
          </w:tcPr>
          <w:p w14:paraId="4557A8DD" w14:textId="77777777" w:rsidR="00ED5FB6" w:rsidRDefault="00000000">
            <w:pPr>
              <w:spacing w:after="20"/>
            </w:pPr>
            <w:r>
              <w:rPr>
                <w:sz w:val="17"/>
              </w:rPr>
              <w:t>Resilience</w:t>
            </w:r>
          </w:p>
        </w:tc>
        <w:tc>
          <w:tcPr>
            <w:tcW w:w="6912" w:type="dxa"/>
            <w:tcMar>
              <w:top w:w="100" w:type="dxa"/>
              <w:left w:w="110" w:type="dxa"/>
              <w:bottom w:w="100" w:type="dxa"/>
              <w:right w:w="110" w:type="dxa"/>
            </w:tcMar>
            <w:vAlign w:val="center"/>
          </w:tcPr>
          <w:p w14:paraId="4EF60465" w14:textId="77777777" w:rsidR="00ED5FB6" w:rsidRDefault="00000000">
            <w:pPr>
              <w:spacing w:after="20"/>
            </w:pPr>
            <w:r>
              <w:rPr>
                <w:sz w:val="17"/>
              </w:rPr>
              <w:t>Payment rail availability, failover readiness, cryptographic migration progress and incident recovery performance.</w:t>
            </w:r>
          </w:p>
        </w:tc>
      </w:tr>
      <w:tr w:rsidR="00ED5FB6" w14:paraId="1F073CDC" w14:textId="77777777">
        <w:trPr>
          <w:jc w:val="center"/>
        </w:trPr>
        <w:tc>
          <w:tcPr>
            <w:tcW w:w="3024" w:type="dxa"/>
            <w:tcMar>
              <w:top w:w="100" w:type="dxa"/>
              <w:left w:w="110" w:type="dxa"/>
              <w:bottom w:w="100" w:type="dxa"/>
              <w:right w:w="110" w:type="dxa"/>
            </w:tcMar>
            <w:vAlign w:val="center"/>
          </w:tcPr>
          <w:p w14:paraId="389FD9C4" w14:textId="77777777" w:rsidR="00ED5FB6" w:rsidRDefault="00000000">
            <w:pPr>
              <w:spacing w:after="20"/>
            </w:pPr>
            <w:r>
              <w:rPr>
                <w:sz w:val="17"/>
              </w:rPr>
              <w:t>Competition</w:t>
            </w:r>
          </w:p>
        </w:tc>
        <w:tc>
          <w:tcPr>
            <w:tcW w:w="6912" w:type="dxa"/>
            <w:tcMar>
              <w:top w:w="100" w:type="dxa"/>
              <w:left w:w="110" w:type="dxa"/>
              <w:bottom w:w="100" w:type="dxa"/>
              <w:right w:w="110" w:type="dxa"/>
            </w:tcMar>
            <w:vAlign w:val="center"/>
          </w:tcPr>
          <w:p w14:paraId="677217C8" w14:textId="77777777" w:rsidR="00ED5FB6" w:rsidRDefault="00000000">
            <w:pPr>
              <w:spacing w:after="20"/>
            </w:pPr>
            <w:r>
              <w:rPr>
                <w:sz w:val="17"/>
              </w:rPr>
              <w:t>Provider participation, switching friction, merchant choice and cost transparency indicators.</w:t>
            </w:r>
          </w:p>
        </w:tc>
      </w:tr>
    </w:tbl>
    <w:p w14:paraId="73B6784B" w14:textId="77777777" w:rsidR="00ED5FB6" w:rsidRDefault="00ED5FB6"/>
    <w:p w14:paraId="3A31D42D" w14:textId="77777777" w:rsidR="00ED5FB6" w:rsidRDefault="00000000">
      <w:pPr>
        <w:pStyle w:val="Heading1"/>
      </w:pPr>
      <w:r>
        <w:t>14. Recommendations for the Reserve Bank of Australia</w:t>
      </w:r>
    </w:p>
    <w:tbl>
      <w:tblPr>
        <w:tblStyle w:val="TableGrid"/>
        <w:tblW w:w="0" w:type="auto"/>
        <w:jc w:val="center"/>
        <w:tblLook w:val="04A0" w:firstRow="1" w:lastRow="0" w:firstColumn="1" w:lastColumn="0" w:noHBand="0" w:noVBand="1"/>
      </w:tblPr>
      <w:tblGrid>
        <w:gridCol w:w="3168"/>
        <w:gridCol w:w="2016"/>
        <w:gridCol w:w="4752"/>
      </w:tblGrid>
      <w:tr w:rsidR="00ED5FB6" w14:paraId="75AF29CA" w14:textId="77777777">
        <w:trPr>
          <w:jc w:val="center"/>
        </w:trPr>
        <w:tc>
          <w:tcPr>
            <w:tcW w:w="3168" w:type="dxa"/>
            <w:shd w:val="clear" w:color="auto" w:fill="1F4E79"/>
            <w:tcMar>
              <w:top w:w="100" w:type="dxa"/>
              <w:left w:w="110" w:type="dxa"/>
              <w:bottom w:w="100" w:type="dxa"/>
              <w:right w:w="110" w:type="dxa"/>
            </w:tcMar>
          </w:tcPr>
          <w:p w14:paraId="24A590CD" w14:textId="77777777" w:rsidR="00ED5FB6" w:rsidRDefault="00000000">
            <w:r>
              <w:rPr>
                <w:b/>
                <w:color w:val="FFFFFF"/>
                <w:sz w:val="17"/>
              </w:rPr>
              <w:t>Recommendation</w:t>
            </w:r>
          </w:p>
        </w:tc>
        <w:tc>
          <w:tcPr>
            <w:tcW w:w="2016" w:type="dxa"/>
            <w:shd w:val="clear" w:color="auto" w:fill="1F4E79"/>
            <w:tcMar>
              <w:top w:w="100" w:type="dxa"/>
              <w:left w:w="110" w:type="dxa"/>
              <w:bottom w:w="100" w:type="dxa"/>
              <w:right w:w="110" w:type="dxa"/>
            </w:tcMar>
          </w:tcPr>
          <w:p w14:paraId="7EB0C2C3" w14:textId="77777777" w:rsidR="00ED5FB6" w:rsidRDefault="00000000">
            <w:r>
              <w:rPr>
                <w:b/>
                <w:color w:val="FFFFFF"/>
                <w:sz w:val="17"/>
              </w:rPr>
              <w:t>Primary objective</w:t>
            </w:r>
          </w:p>
        </w:tc>
        <w:tc>
          <w:tcPr>
            <w:tcW w:w="4752" w:type="dxa"/>
            <w:shd w:val="clear" w:color="auto" w:fill="1F4E79"/>
            <w:tcMar>
              <w:top w:w="100" w:type="dxa"/>
              <w:left w:w="110" w:type="dxa"/>
              <w:bottom w:w="100" w:type="dxa"/>
              <w:right w:w="110" w:type="dxa"/>
            </w:tcMar>
          </w:tcPr>
          <w:p w14:paraId="5E2CBF2E" w14:textId="77777777" w:rsidR="00ED5FB6" w:rsidRDefault="00000000">
            <w:r>
              <w:rPr>
                <w:b/>
                <w:color w:val="FFFFFF"/>
                <w:sz w:val="17"/>
              </w:rPr>
              <w:t>Rationale</w:t>
            </w:r>
          </w:p>
        </w:tc>
      </w:tr>
      <w:tr w:rsidR="00ED5FB6" w14:paraId="340AF867" w14:textId="77777777">
        <w:trPr>
          <w:jc w:val="center"/>
        </w:trPr>
        <w:tc>
          <w:tcPr>
            <w:tcW w:w="3168" w:type="dxa"/>
            <w:tcMar>
              <w:top w:w="100" w:type="dxa"/>
              <w:left w:w="110" w:type="dxa"/>
              <w:bottom w:w="100" w:type="dxa"/>
              <w:right w:w="110" w:type="dxa"/>
            </w:tcMar>
            <w:vAlign w:val="center"/>
          </w:tcPr>
          <w:p w14:paraId="5BE321AB" w14:textId="77777777" w:rsidR="00ED5FB6" w:rsidRDefault="00000000">
            <w:pPr>
              <w:spacing w:after="20"/>
            </w:pPr>
            <w:r>
              <w:rPr>
                <w:sz w:val="17"/>
              </w:rPr>
              <w:t>Recognise the Australian Trust Layer as a strategic policy objective.</w:t>
            </w:r>
          </w:p>
        </w:tc>
        <w:tc>
          <w:tcPr>
            <w:tcW w:w="2016" w:type="dxa"/>
            <w:tcMar>
              <w:top w:w="100" w:type="dxa"/>
              <w:left w:w="110" w:type="dxa"/>
              <w:bottom w:w="100" w:type="dxa"/>
              <w:right w:w="110" w:type="dxa"/>
            </w:tcMar>
            <w:vAlign w:val="center"/>
          </w:tcPr>
          <w:p w14:paraId="338F7D8E" w14:textId="77777777" w:rsidR="00ED5FB6" w:rsidRDefault="00000000">
            <w:pPr>
              <w:spacing w:after="20"/>
            </w:pPr>
            <w:r>
              <w:rPr>
                <w:sz w:val="17"/>
              </w:rPr>
              <w:t>Safety and efficiency</w:t>
            </w:r>
          </w:p>
        </w:tc>
        <w:tc>
          <w:tcPr>
            <w:tcW w:w="4752" w:type="dxa"/>
            <w:tcMar>
              <w:top w:w="100" w:type="dxa"/>
              <w:left w:w="110" w:type="dxa"/>
              <w:bottom w:w="100" w:type="dxa"/>
              <w:right w:w="110" w:type="dxa"/>
            </w:tcMar>
            <w:vAlign w:val="center"/>
          </w:tcPr>
          <w:p w14:paraId="22D081A9" w14:textId="77777777" w:rsidR="00ED5FB6" w:rsidRDefault="00000000">
            <w:pPr>
              <w:spacing w:after="20"/>
            </w:pPr>
            <w:r>
              <w:rPr>
                <w:sz w:val="17"/>
              </w:rPr>
              <w:t>Brings identity, consent, fraud, wallets, AI and cryptography into a coherent payments framework.</w:t>
            </w:r>
          </w:p>
        </w:tc>
      </w:tr>
      <w:tr w:rsidR="00ED5FB6" w14:paraId="6A6D93DC" w14:textId="77777777">
        <w:trPr>
          <w:jc w:val="center"/>
        </w:trPr>
        <w:tc>
          <w:tcPr>
            <w:tcW w:w="3168" w:type="dxa"/>
            <w:tcMar>
              <w:top w:w="100" w:type="dxa"/>
              <w:left w:w="110" w:type="dxa"/>
              <w:bottom w:w="100" w:type="dxa"/>
              <w:right w:w="110" w:type="dxa"/>
            </w:tcMar>
            <w:vAlign w:val="center"/>
          </w:tcPr>
          <w:p w14:paraId="23E85040" w14:textId="77777777" w:rsidR="00ED5FB6" w:rsidRDefault="00000000">
            <w:pPr>
              <w:spacing w:after="20"/>
            </w:pPr>
            <w:r>
              <w:rPr>
                <w:sz w:val="17"/>
              </w:rPr>
              <w:t>Establish an AI Payments Governance Framework.</w:t>
            </w:r>
          </w:p>
        </w:tc>
        <w:tc>
          <w:tcPr>
            <w:tcW w:w="2016" w:type="dxa"/>
            <w:tcMar>
              <w:top w:w="100" w:type="dxa"/>
              <w:left w:w="110" w:type="dxa"/>
              <w:bottom w:w="100" w:type="dxa"/>
              <w:right w:w="110" w:type="dxa"/>
            </w:tcMar>
            <w:vAlign w:val="center"/>
          </w:tcPr>
          <w:p w14:paraId="225B7002" w14:textId="77777777" w:rsidR="00ED5FB6" w:rsidRDefault="00000000">
            <w:pPr>
              <w:spacing w:after="20"/>
            </w:pPr>
            <w:r>
              <w:rPr>
                <w:sz w:val="17"/>
              </w:rPr>
              <w:t>Safety</w:t>
            </w:r>
          </w:p>
        </w:tc>
        <w:tc>
          <w:tcPr>
            <w:tcW w:w="4752" w:type="dxa"/>
            <w:tcMar>
              <w:top w:w="100" w:type="dxa"/>
              <w:left w:w="110" w:type="dxa"/>
              <w:bottom w:w="100" w:type="dxa"/>
              <w:right w:w="110" w:type="dxa"/>
            </w:tcMar>
            <w:vAlign w:val="center"/>
          </w:tcPr>
          <w:p w14:paraId="28E4BE84" w14:textId="77777777" w:rsidR="00ED5FB6" w:rsidRDefault="00000000">
            <w:pPr>
              <w:spacing w:after="20"/>
            </w:pPr>
            <w:r>
              <w:rPr>
                <w:sz w:val="17"/>
              </w:rPr>
              <w:t>Defines agent identity, delegated authority, rail neutrality, auditability, liability and redress.</w:t>
            </w:r>
          </w:p>
        </w:tc>
      </w:tr>
      <w:tr w:rsidR="00ED5FB6" w14:paraId="261D306D" w14:textId="77777777">
        <w:trPr>
          <w:jc w:val="center"/>
        </w:trPr>
        <w:tc>
          <w:tcPr>
            <w:tcW w:w="3168" w:type="dxa"/>
            <w:tcMar>
              <w:top w:w="100" w:type="dxa"/>
              <w:left w:w="110" w:type="dxa"/>
              <w:bottom w:w="100" w:type="dxa"/>
              <w:right w:w="110" w:type="dxa"/>
            </w:tcMar>
            <w:vAlign w:val="center"/>
          </w:tcPr>
          <w:p w14:paraId="08CE4AD3" w14:textId="77777777" w:rsidR="00ED5FB6" w:rsidRDefault="00000000">
            <w:pPr>
              <w:spacing w:after="20"/>
            </w:pPr>
            <w:r>
              <w:rPr>
                <w:sz w:val="17"/>
              </w:rPr>
              <w:t>Promote wallet, identity and payment interoperability.</w:t>
            </w:r>
          </w:p>
        </w:tc>
        <w:tc>
          <w:tcPr>
            <w:tcW w:w="2016" w:type="dxa"/>
            <w:tcMar>
              <w:top w:w="100" w:type="dxa"/>
              <w:left w:w="110" w:type="dxa"/>
              <w:bottom w:w="100" w:type="dxa"/>
              <w:right w:w="110" w:type="dxa"/>
            </w:tcMar>
            <w:vAlign w:val="center"/>
          </w:tcPr>
          <w:p w14:paraId="6D192357" w14:textId="77777777" w:rsidR="00ED5FB6" w:rsidRDefault="00000000">
            <w:pPr>
              <w:spacing w:after="20"/>
            </w:pPr>
            <w:r>
              <w:rPr>
                <w:sz w:val="17"/>
              </w:rPr>
              <w:t>Competition and efficiency</w:t>
            </w:r>
          </w:p>
        </w:tc>
        <w:tc>
          <w:tcPr>
            <w:tcW w:w="4752" w:type="dxa"/>
            <w:tcMar>
              <w:top w:w="100" w:type="dxa"/>
              <w:left w:w="110" w:type="dxa"/>
              <w:bottom w:w="100" w:type="dxa"/>
              <w:right w:w="110" w:type="dxa"/>
            </w:tcMar>
            <w:vAlign w:val="center"/>
          </w:tcPr>
          <w:p w14:paraId="786DC4A0" w14:textId="77777777" w:rsidR="00ED5FB6" w:rsidRDefault="00000000">
            <w:pPr>
              <w:spacing w:after="20"/>
            </w:pPr>
            <w:r>
              <w:rPr>
                <w:sz w:val="17"/>
              </w:rPr>
              <w:t>Ensures wallets support consumer choice across cards, A2A, PayTo and future payment mechanisms.</w:t>
            </w:r>
          </w:p>
        </w:tc>
      </w:tr>
      <w:tr w:rsidR="00ED5FB6" w14:paraId="0D2ECBD0" w14:textId="77777777">
        <w:trPr>
          <w:jc w:val="center"/>
        </w:trPr>
        <w:tc>
          <w:tcPr>
            <w:tcW w:w="3168" w:type="dxa"/>
            <w:tcMar>
              <w:top w:w="100" w:type="dxa"/>
              <w:left w:w="110" w:type="dxa"/>
              <w:bottom w:w="100" w:type="dxa"/>
              <w:right w:w="110" w:type="dxa"/>
            </w:tcMar>
            <w:vAlign w:val="center"/>
          </w:tcPr>
          <w:p w14:paraId="48D79AA4" w14:textId="77777777" w:rsidR="00ED5FB6" w:rsidRDefault="00000000">
            <w:pPr>
              <w:spacing w:after="20"/>
            </w:pPr>
            <w:r>
              <w:rPr>
                <w:sz w:val="17"/>
              </w:rPr>
              <w:t>Strengthen fraud intelligence and consumer protection for real-time payments.</w:t>
            </w:r>
          </w:p>
        </w:tc>
        <w:tc>
          <w:tcPr>
            <w:tcW w:w="2016" w:type="dxa"/>
            <w:tcMar>
              <w:top w:w="100" w:type="dxa"/>
              <w:left w:w="110" w:type="dxa"/>
              <w:bottom w:w="100" w:type="dxa"/>
              <w:right w:w="110" w:type="dxa"/>
            </w:tcMar>
            <w:vAlign w:val="center"/>
          </w:tcPr>
          <w:p w14:paraId="125465A4" w14:textId="77777777" w:rsidR="00ED5FB6" w:rsidRDefault="00000000">
            <w:pPr>
              <w:spacing w:after="20"/>
            </w:pPr>
            <w:r>
              <w:rPr>
                <w:sz w:val="17"/>
              </w:rPr>
              <w:t>Safety</w:t>
            </w:r>
          </w:p>
        </w:tc>
        <w:tc>
          <w:tcPr>
            <w:tcW w:w="4752" w:type="dxa"/>
            <w:tcMar>
              <w:top w:w="100" w:type="dxa"/>
              <w:left w:w="110" w:type="dxa"/>
              <w:bottom w:w="100" w:type="dxa"/>
              <w:right w:w="110" w:type="dxa"/>
            </w:tcMar>
            <w:vAlign w:val="center"/>
          </w:tcPr>
          <w:p w14:paraId="4ACBF2CF" w14:textId="77777777" w:rsidR="00ED5FB6" w:rsidRDefault="00000000">
            <w:pPr>
              <w:spacing w:after="20"/>
            </w:pPr>
            <w:r>
              <w:rPr>
                <w:sz w:val="17"/>
              </w:rPr>
              <w:t>Addresses scams, mule accounts, delegated AI risk and disputed authorisation.</w:t>
            </w:r>
          </w:p>
        </w:tc>
      </w:tr>
      <w:tr w:rsidR="00ED5FB6" w14:paraId="41E89684" w14:textId="77777777">
        <w:trPr>
          <w:jc w:val="center"/>
        </w:trPr>
        <w:tc>
          <w:tcPr>
            <w:tcW w:w="3168" w:type="dxa"/>
            <w:tcMar>
              <w:top w:w="100" w:type="dxa"/>
              <w:left w:w="110" w:type="dxa"/>
              <w:bottom w:w="100" w:type="dxa"/>
              <w:right w:w="110" w:type="dxa"/>
            </w:tcMar>
            <w:vAlign w:val="center"/>
          </w:tcPr>
          <w:p w14:paraId="574DB185" w14:textId="77777777" w:rsidR="00ED5FB6" w:rsidRDefault="00000000">
            <w:pPr>
              <w:spacing w:after="20"/>
            </w:pPr>
            <w:r>
              <w:rPr>
                <w:sz w:val="17"/>
              </w:rPr>
              <w:t>Support A2A adoption through customer experience standards.</w:t>
            </w:r>
          </w:p>
        </w:tc>
        <w:tc>
          <w:tcPr>
            <w:tcW w:w="2016" w:type="dxa"/>
            <w:tcMar>
              <w:top w:w="100" w:type="dxa"/>
              <w:left w:w="110" w:type="dxa"/>
              <w:bottom w:w="100" w:type="dxa"/>
              <w:right w:w="110" w:type="dxa"/>
            </w:tcMar>
            <w:vAlign w:val="center"/>
          </w:tcPr>
          <w:p w14:paraId="5AA015AE" w14:textId="77777777" w:rsidR="00ED5FB6" w:rsidRDefault="00000000">
            <w:pPr>
              <w:spacing w:after="20"/>
            </w:pPr>
            <w:r>
              <w:rPr>
                <w:sz w:val="17"/>
              </w:rPr>
              <w:t>Competition</w:t>
            </w:r>
          </w:p>
        </w:tc>
        <w:tc>
          <w:tcPr>
            <w:tcW w:w="4752" w:type="dxa"/>
            <w:tcMar>
              <w:top w:w="100" w:type="dxa"/>
              <w:left w:w="110" w:type="dxa"/>
              <w:bottom w:w="100" w:type="dxa"/>
              <w:right w:w="110" w:type="dxa"/>
            </w:tcMar>
            <w:vAlign w:val="center"/>
          </w:tcPr>
          <w:p w14:paraId="4A6C904C" w14:textId="77777777" w:rsidR="00ED5FB6" w:rsidRDefault="00000000">
            <w:pPr>
              <w:spacing w:after="20"/>
            </w:pPr>
            <w:r>
              <w:rPr>
                <w:sz w:val="17"/>
              </w:rPr>
              <w:t>Moves Australia from infrastructure capability to practical retail and business utility.</w:t>
            </w:r>
          </w:p>
        </w:tc>
      </w:tr>
      <w:tr w:rsidR="00ED5FB6" w14:paraId="51FEDA3B" w14:textId="77777777">
        <w:trPr>
          <w:jc w:val="center"/>
        </w:trPr>
        <w:tc>
          <w:tcPr>
            <w:tcW w:w="3168" w:type="dxa"/>
            <w:tcMar>
              <w:top w:w="100" w:type="dxa"/>
              <w:left w:w="110" w:type="dxa"/>
              <w:bottom w:w="100" w:type="dxa"/>
              <w:right w:w="110" w:type="dxa"/>
            </w:tcMar>
            <w:vAlign w:val="center"/>
          </w:tcPr>
          <w:p w14:paraId="12E316CE" w14:textId="77777777" w:rsidR="00ED5FB6" w:rsidRDefault="00000000">
            <w:pPr>
              <w:spacing w:after="20"/>
            </w:pPr>
            <w:r>
              <w:rPr>
                <w:sz w:val="17"/>
              </w:rPr>
              <w:t>Coordinate a post-quantum payments readiness roadmap.</w:t>
            </w:r>
          </w:p>
        </w:tc>
        <w:tc>
          <w:tcPr>
            <w:tcW w:w="2016" w:type="dxa"/>
            <w:tcMar>
              <w:top w:w="100" w:type="dxa"/>
              <w:left w:w="110" w:type="dxa"/>
              <w:bottom w:w="100" w:type="dxa"/>
              <w:right w:w="110" w:type="dxa"/>
            </w:tcMar>
            <w:vAlign w:val="center"/>
          </w:tcPr>
          <w:p w14:paraId="2CEE8FF0" w14:textId="77777777" w:rsidR="00ED5FB6" w:rsidRDefault="00000000">
            <w:pPr>
              <w:spacing w:after="20"/>
            </w:pPr>
            <w:r>
              <w:rPr>
                <w:sz w:val="17"/>
              </w:rPr>
              <w:t>Safety</w:t>
            </w:r>
          </w:p>
        </w:tc>
        <w:tc>
          <w:tcPr>
            <w:tcW w:w="4752" w:type="dxa"/>
            <w:tcMar>
              <w:top w:w="100" w:type="dxa"/>
              <w:left w:w="110" w:type="dxa"/>
              <w:bottom w:w="100" w:type="dxa"/>
              <w:right w:w="110" w:type="dxa"/>
            </w:tcMar>
            <w:vAlign w:val="center"/>
          </w:tcPr>
          <w:p w14:paraId="5714BF61" w14:textId="77777777" w:rsidR="00ED5FB6" w:rsidRDefault="00000000">
            <w:pPr>
              <w:spacing w:after="20"/>
            </w:pPr>
            <w:r>
              <w:rPr>
                <w:sz w:val="17"/>
              </w:rPr>
              <w:t>Supports long-term cryptographic resilience across interconnected payment systems.</w:t>
            </w:r>
          </w:p>
        </w:tc>
      </w:tr>
      <w:tr w:rsidR="00ED5FB6" w14:paraId="36885F49" w14:textId="77777777">
        <w:trPr>
          <w:jc w:val="center"/>
        </w:trPr>
        <w:tc>
          <w:tcPr>
            <w:tcW w:w="3168" w:type="dxa"/>
            <w:tcMar>
              <w:top w:w="100" w:type="dxa"/>
              <w:left w:w="110" w:type="dxa"/>
              <w:bottom w:w="100" w:type="dxa"/>
              <w:right w:w="110" w:type="dxa"/>
            </w:tcMar>
            <w:vAlign w:val="center"/>
          </w:tcPr>
          <w:p w14:paraId="3906FC26" w14:textId="77777777" w:rsidR="00ED5FB6" w:rsidRDefault="00000000">
            <w:pPr>
              <w:spacing w:after="20"/>
            </w:pPr>
            <w:r>
              <w:rPr>
                <w:sz w:val="17"/>
              </w:rPr>
              <w:t>Preserve technology neutrality for digital value forms.</w:t>
            </w:r>
          </w:p>
        </w:tc>
        <w:tc>
          <w:tcPr>
            <w:tcW w:w="2016" w:type="dxa"/>
            <w:tcMar>
              <w:top w:w="100" w:type="dxa"/>
              <w:left w:w="110" w:type="dxa"/>
              <w:bottom w:w="100" w:type="dxa"/>
              <w:right w:w="110" w:type="dxa"/>
            </w:tcMar>
            <w:vAlign w:val="center"/>
          </w:tcPr>
          <w:p w14:paraId="5C041B2A" w14:textId="77777777" w:rsidR="00ED5FB6" w:rsidRDefault="00000000">
            <w:pPr>
              <w:spacing w:after="20"/>
            </w:pPr>
            <w:r>
              <w:rPr>
                <w:sz w:val="17"/>
              </w:rPr>
              <w:t>Competition and innovation</w:t>
            </w:r>
          </w:p>
        </w:tc>
        <w:tc>
          <w:tcPr>
            <w:tcW w:w="4752" w:type="dxa"/>
            <w:tcMar>
              <w:top w:w="100" w:type="dxa"/>
              <w:left w:w="110" w:type="dxa"/>
              <w:bottom w:w="100" w:type="dxa"/>
              <w:right w:w="110" w:type="dxa"/>
            </w:tcMar>
            <w:vAlign w:val="center"/>
          </w:tcPr>
          <w:p w14:paraId="24930089" w14:textId="77777777" w:rsidR="00ED5FB6" w:rsidRDefault="00000000">
            <w:pPr>
              <w:spacing w:after="20"/>
            </w:pPr>
            <w:r>
              <w:rPr>
                <w:sz w:val="17"/>
              </w:rPr>
              <w:t>Allows CBDCs, regulated stablecoins, tokenised deposits and programmable money to be assessed consistently.</w:t>
            </w:r>
          </w:p>
        </w:tc>
      </w:tr>
      <w:tr w:rsidR="00ED5FB6" w14:paraId="58F7AE9E" w14:textId="77777777">
        <w:trPr>
          <w:jc w:val="center"/>
        </w:trPr>
        <w:tc>
          <w:tcPr>
            <w:tcW w:w="3168" w:type="dxa"/>
            <w:tcMar>
              <w:top w:w="100" w:type="dxa"/>
              <w:left w:w="110" w:type="dxa"/>
              <w:bottom w:w="100" w:type="dxa"/>
              <w:right w:w="110" w:type="dxa"/>
            </w:tcMar>
            <w:vAlign w:val="center"/>
          </w:tcPr>
          <w:p w14:paraId="28BC535B" w14:textId="77777777" w:rsidR="00ED5FB6" w:rsidRDefault="00000000">
            <w:pPr>
              <w:spacing w:after="20"/>
            </w:pPr>
            <w:r>
              <w:rPr>
                <w:sz w:val="17"/>
              </w:rPr>
              <w:t>Publish national payments trust metrics.</w:t>
            </w:r>
          </w:p>
        </w:tc>
        <w:tc>
          <w:tcPr>
            <w:tcW w:w="2016" w:type="dxa"/>
            <w:tcMar>
              <w:top w:w="100" w:type="dxa"/>
              <w:left w:w="110" w:type="dxa"/>
              <w:bottom w:w="100" w:type="dxa"/>
              <w:right w:w="110" w:type="dxa"/>
            </w:tcMar>
            <w:vAlign w:val="center"/>
          </w:tcPr>
          <w:p w14:paraId="5BD689BF" w14:textId="77777777" w:rsidR="00ED5FB6" w:rsidRDefault="00000000">
            <w:pPr>
              <w:spacing w:after="20"/>
            </w:pPr>
            <w:r>
              <w:rPr>
                <w:sz w:val="17"/>
              </w:rPr>
              <w:t>Accountability</w:t>
            </w:r>
          </w:p>
        </w:tc>
        <w:tc>
          <w:tcPr>
            <w:tcW w:w="4752" w:type="dxa"/>
            <w:tcMar>
              <w:top w:w="100" w:type="dxa"/>
              <w:left w:w="110" w:type="dxa"/>
              <w:bottom w:w="100" w:type="dxa"/>
              <w:right w:w="110" w:type="dxa"/>
            </w:tcMar>
            <w:vAlign w:val="center"/>
          </w:tcPr>
          <w:p w14:paraId="506F4D5C" w14:textId="77777777" w:rsidR="00ED5FB6" w:rsidRDefault="00000000">
            <w:pPr>
              <w:spacing w:after="20"/>
            </w:pPr>
            <w:r>
              <w:rPr>
                <w:sz w:val="17"/>
              </w:rPr>
              <w:t>Makes progress measurable across trust, adoption, fraud, resilience and competition.</w:t>
            </w:r>
          </w:p>
        </w:tc>
      </w:tr>
    </w:tbl>
    <w:p w14:paraId="30F2C854" w14:textId="77777777" w:rsidR="00ED5FB6" w:rsidRDefault="00ED5FB6"/>
    <w:p w14:paraId="55D04A12" w14:textId="77777777" w:rsidR="007525F1" w:rsidRDefault="007525F1"/>
    <w:p w14:paraId="6CFC0BB0" w14:textId="77777777" w:rsidR="00ED5FB6" w:rsidRDefault="00000000">
      <w:pPr>
        <w:pStyle w:val="Heading1"/>
      </w:pPr>
      <w:r>
        <w:lastRenderedPageBreak/>
        <w:t>15. Conclusion</w:t>
      </w:r>
    </w:p>
    <w:p w14:paraId="1C596297" w14:textId="77777777" w:rsidR="00ED5FB6" w:rsidRDefault="00000000">
      <w:r>
        <w:t>Australia has many of the building blocks required to become a global leader in trusted, intelligent and resilient digital payments. The next stage of leadership will not come from faster payments alone. It will come from the ability to combine payments, identity, consent, fraud prevention, wallets, AI governance and cryptographic resilience into a coherent trust-led ecosystem.</w:t>
      </w:r>
    </w:p>
    <w:p w14:paraId="2C27F3E1" w14:textId="77777777" w:rsidR="00ED5FB6" w:rsidRDefault="00000000">
      <w:r>
        <w:t>The RBA's future regulatory agenda should therefore look beyond individual payment rails and consider the broader architecture within which those rails operate. A technology-neutral and trust-led approach can promote competition, efficiency and safety while preserving flexibility for innovations that have not yet matured.</w:t>
      </w:r>
    </w:p>
    <w:p w14:paraId="13C3BAFC" w14:textId="77777777" w:rsidR="00ED5FB6" w:rsidRDefault="00000000">
      <w:r>
        <w:t>Australia has repeatedly demonstrated an ability to modernise payments infrastructure. The next opportunity is to lead in the governance of intelligent payments, ensuring that trust becomes a strategic national asset rather than merely an operational outcome.</w:t>
      </w:r>
    </w:p>
    <w:p w14:paraId="56E90A85" w14:textId="77777777" w:rsidR="00ED5FB6" w:rsidRDefault="00000000">
      <w:r>
        <w:t>The opportunity is not simply to regulate payments more effectively. It is to position Australia as one of the world's first AI-ready payments ecosystems and a global leader in trusted digital commerce.</w:t>
      </w:r>
    </w:p>
    <w:p w14:paraId="719B2510" w14:textId="77777777" w:rsidR="00ED5FB6" w:rsidRDefault="00ED5FB6"/>
    <w:p w14:paraId="67E9B90B" w14:textId="77777777" w:rsidR="00ED5FB6" w:rsidRDefault="00000000">
      <w:pPr>
        <w:pStyle w:val="Heading1"/>
      </w:pPr>
      <w:r>
        <w:t>Acknowledgements</w:t>
      </w:r>
    </w:p>
    <w:p w14:paraId="0C6CB9EF" w14:textId="77777777" w:rsidR="00ED5FB6" w:rsidRDefault="00000000">
      <w:r>
        <w:t>This submission acknowledges selected international public-sector and central-bank work in shaping the future of payments, including the Federal Reserve's FedNow Service, Sveriges Riksbank material on Swish and Swedish payments, the European Central Bank's digital euro work, European digital wallet developments, Saudi Central Bank initiatives including Sarie, and the Central Bank of the UAE / Al Etihad Payments work on Aani. These references are used to inform the Australian policy perspective while recognising that Australia's regulatory design should reflect its own market structure, public policy objectives and consumer needs.</w:t>
      </w:r>
    </w:p>
    <w:p w14:paraId="4225BE9F" w14:textId="77777777" w:rsidR="00ED5FB6" w:rsidRDefault="00000000">
      <w:r>
        <w:t>The submission also acknowledges Australian reference points including the Reserve Bank of Australia's Issues Paper, Australia's AI policy and assurance materials, the NSW Payments Strategy, the A2A Payments Vision, and the author's prior A2A consultation response.</w:t>
      </w:r>
    </w:p>
    <w:p w14:paraId="3D0EA776" w14:textId="77777777" w:rsidR="00ED5FB6" w:rsidRDefault="00000000">
      <w:pPr>
        <w:pStyle w:val="Heading1"/>
      </w:pPr>
      <w:r>
        <w:t>Appendix B: About the Author</w:t>
      </w:r>
    </w:p>
    <w:p w14:paraId="763B4191" w14:textId="77777777" w:rsidR="00ED5FB6" w:rsidRDefault="00000000">
      <w:r>
        <w:t>Sudip Kar is a payments practitioner based in Sydney, with more than fourteen years of experience across Europe, the Middle East and Asia-Pacific. His experience spans payments operations, payment modernisation, payment hubs, real-time payments, ISO 20022 migration, payment product strategy, financial services transformation and large-scale technology delivery.</w:t>
      </w:r>
    </w:p>
    <w:p w14:paraId="5A4F4080" w14:textId="77777777" w:rsidR="00ED5FB6" w:rsidRDefault="00000000">
      <w:r>
        <w:t>The author has participated in Australian payments industry consultation activity, including a submission to the Future Vision for Account-to-Account Payments in Australia consultation. That submission advocated for moving Australia's A2A ecosystem from real-time capable to real-time remarkable through stronger customer experience, increased use of PayID, clearer scam and performance transparency, and targeted cross-border experimentation.</w:t>
      </w:r>
    </w:p>
    <w:p w14:paraId="24FA886F" w14:textId="1567439B" w:rsidR="001D26D5" w:rsidRDefault="00000000" w:rsidP="001D26D5">
      <w:r>
        <w:t xml:space="preserve">This submission is made in a personal capacity and reflects the author's professional experience and independent views. It does not represent the formal position of any employer, client, industry body or affiliated </w:t>
      </w:r>
      <w:proofErr w:type="spellStart"/>
      <w:r>
        <w:t>organisation</w:t>
      </w:r>
      <w:proofErr w:type="spellEnd"/>
      <w:r>
        <w:t>.</w:t>
      </w:r>
    </w:p>
    <w:p w14:paraId="57E7570A" w14:textId="77777777" w:rsidR="001D26D5" w:rsidRDefault="001D26D5" w:rsidP="001D26D5"/>
    <w:p w14:paraId="49CE331A" w14:textId="77777777" w:rsidR="001D26D5" w:rsidRDefault="001D26D5" w:rsidP="001D26D5"/>
    <w:p w14:paraId="29648110" w14:textId="77777777" w:rsidR="001D26D5" w:rsidRDefault="001D26D5" w:rsidP="001D26D5"/>
    <w:p w14:paraId="21DA4AC0" w14:textId="77777777" w:rsidR="001D26D5" w:rsidRDefault="001D26D5" w:rsidP="001D26D5"/>
    <w:p w14:paraId="194436A5" w14:textId="77777777" w:rsidR="001D26D5" w:rsidRDefault="001D26D5" w:rsidP="001D26D5"/>
    <w:p w14:paraId="01B78067" w14:textId="77777777" w:rsidR="001D26D5" w:rsidRDefault="001D26D5" w:rsidP="001D26D5"/>
    <w:p w14:paraId="723271F1" w14:textId="77777777" w:rsidR="001D26D5" w:rsidRDefault="001D26D5" w:rsidP="001D26D5"/>
    <w:p w14:paraId="62127B84" w14:textId="3A50C2E5" w:rsidR="00ED5FB6" w:rsidRDefault="00000000">
      <w:pPr>
        <w:pStyle w:val="Heading1"/>
      </w:pPr>
      <w:r>
        <w:lastRenderedPageBreak/>
        <w:t>References</w:t>
      </w:r>
    </w:p>
    <w:p w14:paraId="7A19659E" w14:textId="5EA404D0" w:rsidR="00ED5FB6" w:rsidRDefault="00000000">
      <w:pPr>
        <w:spacing w:after="60"/>
        <w:ind w:left="360" w:hanging="360"/>
      </w:pPr>
      <w:r>
        <w:rPr>
          <w:b/>
        </w:rPr>
        <w:t xml:space="preserve">[1] Reserve Bank of Australia. </w:t>
      </w:r>
      <w:r>
        <w:t xml:space="preserve">Review of Payments System Regulation: Issues Paper. 25 June 2026. </w:t>
      </w:r>
      <w:hyperlink r:id="rId9" w:history="1">
        <w:r w:rsidR="006B2648" w:rsidRPr="003A68D2">
          <w:rPr>
            <w:rStyle w:val="Hyperlink"/>
          </w:rPr>
          <w:t>https://www.rba.gov.au/payments-and-infrastructure/regulatory-reviews/review-of-payments-system-regulation-2026/2026-06/</w:t>
        </w:r>
      </w:hyperlink>
    </w:p>
    <w:p w14:paraId="3B5C6977" w14:textId="77777777" w:rsidR="00ED5FB6" w:rsidRDefault="00000000">
      <w:pPr>
        <w:spacing w:after="60"/>
        <w:ind w:left="360" w:hanging="360"/>
      </w:pPr>
      <w:r>
        <w:rPr>
          <w:b/>
        </w:rPr>
        <w:t xml:space="preserve">[2] Australian Government Department of Industry, Science and Resources. </w:t>
      </w:r>
      <w:r>
        <w:t xml:space="preserve">National AI Plan. 2025. </w:t>
      </w:r>
      <w:hyperlink r:id="rId10">
        <w:r w:rsidR="00ED5FB6">
          <w:rPr>
            <w:color w:val="0563C1"/>
            <w:u w:val="single"/>
          </w:rPr>
          <w:t>https://www.industry.gov.au/sites/default/files/2025-12/national-ai-plan.pdf</w:t>
        </w:r>
      </w:hyperlink>
    </w:p>
    <w:p w14:paraId="6346D8DD" w14:textId="77777777" w:rsidR="00ED5FB6" w:rsidRDefault="00000000">
      <w:pPr>
        <w:spacing w:after="60"/>
        <w:ind w:left="360" w:hanging="360"/>
      </w:pPr>
      <w:r>
        <w:rPr>
          <w:b/>
        </w:rPr>
        <w:t xml:space="preserve">[3] Australian Academy of Technological Sciences and Engineering. </w:t>
      </w:r>
      <w:r>
        <w:t xml:space="preserve">Unleashing growth: Australia's AI investment blueprint. 2025. </w:t>
      </w:r>
      <w:hyperlink r:id="rId11">
        <w:r w:rsidR="00ED5FB6">
          <w:rPr>
            <w:color w:val="0563C1"/>
            <w:u w:val="single"/>
          </w:rPr>
          <w:t>https://www.atse.org.au/what-we-do/strategic-advice/unleashing-growth-australias-ai-investment-blueprint/</w:t>
        </w:r>
      </w:hyperlink>
    </w:p>
    <w:p w14:paraId="2FFA7FEF" w14:textId="77777777" w:rsidR="00ED5FB6" w:rsidRDefault="00000000">
      <w:pPr>
        <w:spacing w:after="60"/>
        <w:ind w:left="360" w:hanging="360"/>
      </w:pPr>
      <w:r>
        <w:rPr>
          <w:b/>
        </w:rPr>
        <w:t xml:space="preserve">[4] Australian Government, state and territory governments. </w:t>
      </w:r>
      <w:r>
        <w:t xml:space="preserve">National framework for the assurance of artificial intelligence in government. 2024. </w:t>
      </w:r>
      <w:hyperlink r:id="rId12">
        <w:r w:rsidR="00ED5FB6">
          <w:rPr>
            <w:color w:val="0563C1"/>
            <w:u w:val="single"/>
          </w:rPr>
          <w:t>https://www.finance.gov.au/sites/default/files/2024-06/National-framework-for-the-assurance-of-AI-in-government.pdf</w:t>
        </w:r>
      </w:hyperlink>
    </w:p>
    <w:p w14:paraId="12277CEF" w14:textId="5EA5BD11" w:rsidR="00ED5FB6" w:rsidRDefault="00000000">
      <w:pPr>
        <w:spacing w:after="60"/>
        <w:ind w:left="360" w:hanging="360"/>
      </w:pPr>
      <w:r>
        <w:rPr>
          <w:b/>
        </w:rPr>
        <w:t>[</w:t>
      </w:r>
      <w:r w:rsidR="005734B6">
        <w:rPr>
          <w:b/>
        </w:rPr>
        <w:t>5</w:t>
      </w:r>
      <w:r>
        <w:rPr>
          <w:b/>
        </w:rPr>
        <w:t xml:space="preserve">] NSW Treasury. </w:t>
      </w:r>
      <w:r>
        <w:t xml:space="preserve">NSW Payments Strategy. 30 June 2026. </w:t>
      </w:r>
      <w:hyperlink r:id="rId13">
        <w:r w:rsidR="00ED5FB6">
          <w:rPr>
            <w:color w:val="0563C1"/>
            <w:u w:val="single"/>
          </w:rPr>
          <w:t>https://www.nsw.gov.au/departments-and-agencies/nsw-treasury/documents-library/nsw-payments-strategy</w:t>
        </w:r>
      </w:hyperlink>
    </w:p>
    <w:p w14:paraId="0FF08703" w14:textId="6D5645DE" w:rsidR="00ED5FB6" w:rsidRDefault="00000000">
      <w:pPr>
        <w:spacing w:after="60"/>
        <w:ind w:left="360" w:hanging="360"/>
      </w:pPr>
      <w:r>
        <w:rPr>
          <w:b/>
        </w:rPr>
        <w:t>[</w:t>
      </w:r>
      <w:r w:rsidR="005734B6">
        <w:rPr>
          <w:b/>
        </w:rPr>
        <w:t>6</w:t>
      </w:r>
      <w:r>
        <w:rPr>
          <w:b/>
        </w:rPr>
        <w:t xml:space="preserve">] Account-to-Account Payments Roundtable. </w:t>
      </w:r>
      <w:r>
        <w:t xml:space="preserve">The vision for account-to-account payments in Australia. July 2026. </w:t>
      </w:r>
      <w:hyperlink r:id="rId14">
        <w:r w:rsidR="00ED5FB6">
          <w:rPr>
            <w:color w:val="0563C1"/>
            <w:u w:val="single"/>
          </w:rPr>
          <w:t>https://www.a2apaymentsaustralia.com.au/wp-content/uploads/2026/07/a2a-payments-vision.pdf</w:t>
        </w:r>
      </w:hyperlink>
    </w:p>
    <w:p w14:paraId="19783BAF" w14:textId="597FEEE1" w:rsidR="00ED5FB6" w:rsidRDefault="00000000">
      <w:pPr>
        <w:spacing w:after="60"/>
        <w:ind w:left="360" w:hanging="360"/>
      </w:pPr>
      <w:r>
        <w:rPr>
          <w:b/>
        </w:rPr>
        <w:t>[</w:t>
      </w:r>
      <w:r w:rsidR="005734B6">
        <w:rPr>
          <w:b/>
        </w:rPr>
        <w:t>7</w:t>
      </w:r>
      <w:r>
        <w:rPr>
          <w:b/>
        </w:rPr>
        <w:t xml:space="preserve">] Sudip Kar. </w:t>
      </w:r>
      <w:r>
        <w:t xml:space="preserve">From Real-Time Capable to Real-Time Remarkable: Submission to A2A Vision Consultation. 2025. </w:t>
      </w:r>
    </w:p>
    <w:p w14:paraId="349667E4" w14:textId="32C37C03" w:rsidR="00ED5FB6" w:rsidRDefault="00000000">
      <w:pPr>
        <w:spacing w:after="60"/>
        <w:ind w:left="360" w:hanging="360"/>
      </w:pPr>
      <w:r>
        <w:rPr>
          <w:b/>
        </w:rPr>
        <w:t>[</w:t>
      </w:r>
      <w:r w:rsidR="005734B6">
        <w:rPr>
          <w:b/>
        </w:rPr>
        <w:t>8</w:t>
      </w:r>
      <w:r>
        <w:rPr>
          <w:b/>
        </w:rPr>
        <w:t xml:space="preserve">] Capgemini Research Institute. </w:t>
      </w:r>
      <w:r>
        <w:t xml:space="preserve">World Payments Report 2026: Reinventing Merchant Payment Services. accessed 2026. </w:t>
      </w:r>
      <w:hyperlink r:id="rId15">
        <w:r w:rsidR="00ED5FB6">
          <w:rPr>
            <w:color w:val="0563C1"/>
            <w:u w:val="single"/>
          </w:rPr>
          <w:t>https://www.capgemini.com/insights/research-library/world-payments-report/</w:t>
        </w:r>
      </w:hyperlink>
    </w:p>
    <w:p w14:paraId="2000C6CF" w14:textId="3C45A69D" w:rsidR="00ED5FB6" w:rsidRDefault="00000000">
      <w:pPr>
        <w:spacing w:after="60"/>
        <w:ind w:left="360" w:hanging="360"/>
      </w:pPr>
      <w:r>
        <w:rPr>
          <w:b/>
        </w:rPr>
        <w:t>[</w:t>
      </w:r>
      <w:r w:rsidR="005734B6">
        <w:rPr>
          <w:b/>
        </w:rPr>
        <w:t>9</w:t>
      </w:r>
      <w:r>
        <w:rPr>
          <w:b/>
        </w:rPr>
        <w:t xml:space="preserve">] </w:t>
      </w:r>
      <w:proofErr w:type="spellStart"/>
      <w:r>
        <w:rPr>
          <w:b/>
        </w:rPr>
        <w:t>Sveriges</w:t>
      </w:r>
      <w:proofErr w:type="spellEnd"/>
      <w:r>
        <w:rPr>
          <w:b/>
        </w:rPr>
        <w:t xml:space="preserve"> </w:t>
      </w:r>
      <w:proofErr w:type="spellStart"/>
      <w:r>
        <w:rPr>
          <w:b/>
        </w:rPr>
        <w:t>Riksbank</w:t>
      </w:r>
      <w:proofErr w:type="spellEnd"/>
      <w:r>
        <w:rPr>
          <w:b/>
        </w:rPr>
        <w:t xml:space="preserve">. </w:t>
      </w:r>
      <w:r>
        <w:t xml:space="preserve">Payments Report </w:t>
      </w:r>
      <w:r w:rsidR="00004134">
        <w:t>2026</w:t>
      </w:r>
      <w:r>
        <w:t xml:space="preserve">. </w:t>
      </w:r>
      <w:hyperlink r:id="rId16" w:history="1">
        <w:r w:rsidR="00004134" w:rsidRPr="00004134">
          <w:rPr>
            <w:rStyle w:val="Hyperlink"/>
          </w:rPr>
          <w:t xml:space="preserve">Payments Report 2026 | </w:t>
        </w:r>
        <w:proofErr w:type="spellStart"/>
        <w:r w:rsidR="00004134" w:rsidRPr="00004134">
          <w:rPr>
            <w:rStyle w:val="Hyperlink"/>
          </w:rPr>
          <w:t>Sveriges</w:t>
        </w:r>
        <w:proofErr w:type="spellEnd"/>
        <w:r w:rsidR="00004134" w:rsidRPr="00004134">
          <w:rPr>
            <w:rStyle w:val="Hyperlink"/>
          </w:rPr>
          <w:t xml:space="preserve"> </w:t>
        </w:r>
        <w:proofErr w:type="spellStart"/>
        <w:r w:rsidR="00004134" w:rsidRPr="00004134">
          <w:rPr>
            <w:rStyle w:val="Hyperlink"/>
          </w:rPr>
          <w:t>Riksbank</w:t>
        </w:r>
        <w:proofErr w:type="spellEnd"/>
      </w:hyperlink>
    </w:p>
    <w:p w14:paraId="051C0443" w14:textId="18D1B052" w:rsidR="00ED5FB6" w:rsidRDefault="00000000">
      <w:pPr>
        <w:spacing w:after="60"/>
        <w:ind w:left="360" w:hanging="360"/>
      </w:pPr>
      <w:r>
        <w:rPr>
          <w:b/>
        </w:rPr>
        <w:t>[1</w:t>
      </w:r>
      <w:r w:rsidR="0077770D">
        <w:rPr>
          <w:b/>
        </w:rPr>
        <w:t>0</w:t>
      </w:r>
      <w:r>
        <w:rPr>
          <w:b/>
        </w:rPr>
        <w:t xml:space="preserve">] European Commission. </w:t>
      </w:r>
      <w:r>
        <w:t xml:space="preserve">European Digital Identity Regulation and Wallet materials. 2024-2026. </w:t>
      </w:r>
      <w:hyperlink r:id="rId17">
        <w:r w:rsidR="00ED5FB6">
          <w:rPr>
            <w:color w:val="0563C1"/>
            <w:u w:val="single"/>
          </w:rPr>
          <w:t>https://digital-strategy.ec.europa.eu/en/policies/eudi-regulation</w:t>
        </w:r>
      </w:hyperlink>
    </w:p>
    <w:p w14:paraId="27283237" w14:textId="0F3E947E" w:rsidR="00ED5FB6" w:rsidRDefault="00000000">
      <w:pPr>
        <w:spacing w:after="60"/>
        <w:ind w:left="360" w:hanging="360"/>
      </w:pPr>
      <w:r>
        <w:rPr>
          <w:b/>
        </w:rPr>
        <w:t>[1</w:t>
      </w:r>
      <w:r w:rsidR="00B91093">
        <w:rPr>
          <w:b/>
        </w:rPr>
        <w:t>1</w:t>
      </w:r>
      <w:r>
        <w:rPr>
          <w:b/>
        </w:rPr>
        <w:t xml:space="preserve">] Australian Treasury. </w:t>
      </w:r>
      <w:r>
        <w:t xml:space="preserve">Developing an innovative Australian digital asset industry. 21 March 2025. </w:t>
      </w:r>
      <w:hyperlink r:id="rId18">
        <w:r w:rsidR="00ED5FB6">
          <w:rPr>
            <w:color w:val="0563C1"/>
            <w:u w:val="single"/>
          </w:rPr>
          <w:t>https://treasury.gov.au/publication/p2025-628504</w:t>
        </w:r>
      </w:hyperlink>
    </w:p>
    <w:p w14:paraId="3E447037" w14:textId="77777777" w:rsidR="00B91093" w:rsidRPr="00B91093" w:rsidRDefault="00B91093" w:rsidP="00B91093"/>
    <w:p w14:paraId="1CEC2002" w14:textId="77777777" w:rsidR="00B91093" w:rsidRPr="00B91093" w:rsidRDefault="00B91093" w:rsidP="00B91093"/>
    <w:p w14:paraId="455A01FF" w14:textId="77777777" w:rsidR="00B91093" w:rsidRPr="00B91093" w:rsidRDefault="00B91093" w:rsidP="00B91093"/>
    <w:p w14:paraId="3393D41A" w14:textId="77777777" w:rsidR="00B91093" w:rsidRPr="00B91093" w:rsidRDefault="00B91093" w:rsidP="00B91093"/>
    <w:p w14:paraId="382B7B13" w14:textId="77777777" w:rsidR="00B91093" w:rsidRPr="00B91093" w:rsidRDefault="00B91093" w:rsidP="00B91093"/>
    <w:p w14:paraId="3DFEFEE7" w14:textId="77777777" w:rsidR="00B91093" w:rsidRPr="00B91093" w:rsidRDefault="00B91093" w:rsidP="00B91093"/>
    <w:p w14:paraId="7601A1D6" w14:textId="77777777" w:rsidR="00B91093" w:rsidRPr="00B91093" w:rsidRDefault="00B91093" w:rsidP="00B91093"/>
    <w:p w14:paraId="26431FC4" w14:textId="77777777" w:rsidR="00B91093" w:rsidRPr="00B91093" w:rsidRDefault="00B91093" w:rsidP="00B91093"/>
    <w:p w14:paraId="735852DE" w14:textId="3D7E38C2" w:rsidR="00B91093" w:rsidRPr="00B91093" w:rsidRDefault="00B91093" w:rsidP="00B91093">
      <w:pPr>
        <w:tabs>
          <w:tab w:val="left" w:pos="1482"/>
        </w:tabs>
      </w:pPr>
      <w:r>
        <w:tab/>
      </w:r>
    </w:p>
    <w:p w14:paraId="4D1BC5C0" w14:textId="77777777" w:rsidR="00B91093" w:rsidRPr="00B91093" w:rsidRDefault="00B91093" w:rsidP="00B91093"/>
    <w:sectPr w:rsidR="00B91093" w:rsidRPr="00B91093" w:rsidSect="00034616">
      <w:footerReference w:type="default" r:id="rId19"/>
      <w:pgSz w:w="12240" w:h="15840"/>
      <w:pgMar w:top="1037" w:right="1123" w:bottom="1080" w:left="112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FEA61" w14:textId="77777777" w:rsidR="00087182" w:rsidRDefault="00087182">
      <w:pPr>
        <w:spacing w:after="0" w:line="240" w:lineRule="auto"/>
      </w:pPr>
      <w:r>
        <w:separator/>
      </w:r>
    </w:p>
  </w:endnote>
  <w:endnote w:type="continuationSeparator" w:id="0">
    <w:p w14:paraId="4E2A48EC" w14:textId="77777777" w:rsidR="00087182" w:rsidRDefault="00087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E19E0" w14:textId="08633D22" w:rsidR="00ED5FB6" w:rsidRDefault="001D26D5" w:rsidP="001D26D5">
    <w:pPr>
      <w:pStyle w:val="Footer"/>
    </w:pPr>
    <w:r>
      <w:rPr>
        <w:color w:val="595959"/>
        <w:sz w:val="12"/>
      </w:rPr>
      <w:t>RBA Payments Submission | Sudip Kar | 2026</w:t>
    </w:r>
  </w:p>
  <w:p w14:paraId="6F036071" w14:textId="57511BCC" w:rsidR="00ED5FB6" w:rsidRDefault="00000000">
    <w:pPr>
      <w:jc w:val="center"/>
    </w:pPr>
    <w:r>
      <w:rPr>
        <w:color w:val="595959"/>
        <w:sz w:val="14"/>
      </w:rPr>
      <w:t xml:space="preserve">Page </w:t>
    </w:r>
    <w:r>
      <w:fldChar w:fldCharType="begin"/>
    </w:r>
    <w:r>
      <w:instrText>PAGE</w:instrText>
    </w:r>
    <w:r>
      <w:fldChar w:fldCharType="separate"/>
    </w:r>
    <w:r w:rsidR="00962CA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018A7" w14:textId="77777777" w:rsidR="00087182" w:rsidRDefault="00087182">
      <w:pPr>
        <w:spacing w:after="0" w:line="240" w:lineRule="auto"/>
      </w:pPr>
      <w:r>
        <w:separator/>
      </w:r>
    </w:p>
  </w:footnote>
  <w:footnote w:type="continuationSeparator" w:id="0">
    <w:p w14:paraId="4472ED9F" w14:textId="77777777" w:rsidR="00087182" w:rsidRDefault="000871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6170630">
    <w:abstractNumId w:val="8"/>
  </w:num>
  <w:num w:numId="2" w16cid:durableId="366217524">
    <w:abstractNumId w:val="6"/>
  </w:num>
  <w:num w:numId="3" w16cid:durableId="945308174">
    <w:abstractNumId w:val="5"/>
  </w:num>
  <w:num w:numId="4" w16cid:durableId="2083600054">
    <w:abstractNumId w:val="4"/>
  </w:num>
  <w:num w:numId="5" w16cid:durableId="963581607">
    <w:abstractNumId w:val="7"/>
  </w:num>
  <w:num w:numId="6" w16cid:durableId="1719014875">
    <w:abstractNumId w:val="3"/>
  </w:num>
  <w:num w:numId="7" w16cid:durableId="1613635759">
    <w:abstractNumId w:val="2"/>
  </w:num>
  <w:num w:numId="8" w16cid:durableId="120342416">
    <w:abstractNumId w:val="1"/>
  </w:num>
  <w:num w:numId="9" w16cid:durableId="391466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134"/>
    <w:rsid w:val="00034616"/>
    <w:rsid w:val="0006063C"/>
    <w:rsid w:val="00087182"/>
    <w:rsid w:val="000910B1"/>
    <w:rsid w:val="000F468A"/>
    <w:rsid w:val="0015074B"/>
    <w:rsid w:val="001D26D5"/>
    <w:rsid w:val="001E44E5"/>
    <w:rsid w:val="0029639D"/>
    <w:rsid w:val="002A4AB3"/>
    <w:rsid w:val="00300296"/>
    <w:rsid w:val="00326F90"/>
    <w:rsid w:val="00437ED9"/>
    <w:rsid w:val="0045135B"/>
    <w:rsid w:val="0051490E"/>
    <w:rsid w:val="005734B6"/>
    <w:rsid w:val="005B1535"/>
    <w:rsid w:val="006005DF"/>
    <w:rsid w:val="006638D3"/>
    <w:rsid w:val="006B2648"/>
    <w:rsid w:val="00715626"/>
    <w:rsid w:val="007525F1"/>
    <w:rsid w:val="0077770D"/>
    <w:rsid w:val="007931CF"/>
    <w:rsid w:val="008A0525"/>
    <w:rsid w:val="00955AA7"/>
    <w:rsid w:val="00962CA6"/>
    <w:rsid w:val="00997984"/>
    <w:rsid w:val="00A376AA"/>
    <w:rsid w:val="00A95452"/>
    <w:rsid w:val="00AA1D8D"/>
    <w:rsid w:val="00AE37F6"/>
    <w:rsid w:val="00B419C0"/>
    <w:rsid w:val="00B47730"/>
    <w:rsid w:val="00B91093"/>
    <w:rsid w:val="00B92354"/>
    <w:rsid w:val="00BD6796"/>
    <w:rsid w:val="00CB0664"/>
    <w:rsid w:val="00D10E7E"/>
    <w:rsid w:val="00E1411F"/>
    <w:rsid w:val="00E3555F"/>
    <w:rsid w:val="00ED5FB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872C5AE0-BBFB-4900-9BE2-0C18CDCCF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4" w:lineRule="auto"/>
    </w:pPr>
    <w:rPr>
      <w:rFonts w:ascii="Aptos" w:eastAsia="Aptos" w:hAnsi="Aptos"/>
      <w:sz w:val="20"/>
    </w:rPr>
  </w:style>
  <w:style w:type="paragraph" w:styleId="Heading1">
    <w:name w:val="heading 1"/>
    <w:basedOn w:val="Normal"/>
    <w:next w:val="Normal"/>
    <w:link w:val="Heading1Char"/>
    <w:uiPriority w:val="9"/>
    <w:qFormat/>
    <w:rsid w:val="00FC693F"/>
    <w:pPr>
      <w:keepNext/>
      <w:keepLines/>
      <w:spacing w:before="180" w:after="6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180" w:after="60"/>
      <w:outlineLvl w:val="1"/>
    </w:pPr>
    <w:rPr>
      <w:rFonts w:asciiTheme="majorHAnsi" w:eastAsiaTheme="majorEastAsia" w:hAnsiTheme="majorHAnsi" w:cstheme="majorBidi"/>
      <w:b/>
      <w:bCs/>
      <w:color w:val="2F75B5"/>
      <w:sz w:val="24"/>
      <w:szCs w:val="26"/>
    </w:rPr>
  </w:style>
  <w:style w:type="paragraph" w:styleId="Heading3">
    <w:name w:val="heading 3"/>
    <w:basedOn w:val="Normal"/>
    <w:next w:val="Normal"/>
    <w:link w:val="Heading3Char"/>
    <w:uiPriority w:val="9"/>
    <w:unhideWhenUsed/>
    <w:qFormat/>
    <w:rsid w:val="00FC693F"/>
    <w:pPr>
      <w:keepNext/>
      <w:keepLines/>
      <w:spacing w:before="180" w:after="60"/>
      <w:outlineLvl w:val="2"/>
    </w:pPr>
    <w:rPr>
      <w:rFonts w:asciiTheme="majorHAnsi" w:eastAsiaTheme="majorEastAsia" w:hAnsiTheme="majorHAnsi" w:cstheme="majorBidi"/>
      <w:b/>
      <w:bCs/>
      <w:color w:val="40404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x">
    <w:name w:val="Box"/>
    <w:pPr>
      <w:spacing w:line="252" w:lineRule="auto"/>
    </w:pPr>
    <w:rPr>
      <w:rFonts w:ascii="Aptos" w:hAnsi="Aptos"/>
      <w:color w:val="404040"/>
      <w:sz w:val="20"/>
    </w:rPr>
  </w:style>
  <w:style w:type="paragraph" w:customStyle="1" w:styleId="SmallNote">
    <w:name w:val="SmallNote"/>
    <w:rPr>
      <w:rFonts w:ascii="Aptos" w:hAnsi="Aptos"/>
      <w:i/>
      <w:color w:val="595959"/>
      <w:sz w:val="17"/>
    </w:rPr>
  </w:style>
  <w:style w:type="character" w:styleId="Hyperlink">
    <w:name w:val="Hyperlink"/>
    <w:basedOn w:val="DefaultParagraphFont"/>
    <w:uiPriority w:val="99"/>
    <w:unhideWhenUsed/>
    <w:rsid w:val="006005DF"/>
    <w:rPr>
      <w:color w:val="0000FF" w:themeColor="hyperlink"/>
      <w:u w:val="single"/>
    </w:rPr>
  </w:style>
  <w:style w:type="character" w:styleId="UnresolvedMention">
    <w:name w:val="Unresolved Mention"/>
    <w:basedOn w:val="DefaultParagraphFont"/>
    <w:uiPriority w:val="99"/>
    <w:semiHidden/>
    <w:unhideWhenUsed/>
    <w:rsid w:val="006005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sudip-kar-b3a47036/" TargetMode="External"/><Relationship Id="rId13" Type="http://schemas.openxmlformats.org/officeDocument/2006/relationships/hyperlink" Target="https://www.nsw.gov.au/departments-and-agencies/nsw-treasury/documents-library/nsw-payments-strategy" TargetMode="External"/><Relationship Id="rId18" Type="http://schemas.openxmlformats.org/officeDocument/2006/relationships/hyperlink" Target="https://treasury.gov.au/publication/p2025-62850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finance.gov.au/sites/default/files/2024-06/National-framework-for-the-assurance-of-AI-in-government.pdf" TargetMode="External"/><Relationship Id="rId17" Type="http://schemas.openxmlformats.org/officeDocument/2006/relationships/hyperlink" Target="https://digital-strategy.ec.europa.eu/en/policies/eudi-regulation" TargetMode="Externa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hyperlink" Target="https://www.riksbank.se/en-gb/payments--cash/payments-in-sweden/payments-report-202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se.org.au/what-we-do/strategic-advice/unleashing-growth-australias-ai-investment-blueprint/"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capgemini.com/insights/research-library/world-payments-report/" TargetMode="External"/><Relationship Id="rId23" Type="http://schemas.openxmlformats.org/officeDocument/2006/relationships/customXml" Target="../customXml/item3.xml"/><Relationship Id="rId10" Type="http://schemas.openxmlformats.org/officeDocument/2006/relationships/hyperlink" Target="https://www.industry.gov.au/sites/default/files/2025-12/national-ai-plan.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rba.gov.au/payments-and-infrastructure/regulatory-reviews/review-of-payments-system-regulation-2026/2026-06/" TargetMode="External"/><Relationship Id="rId14" Type="http://schemas.openxmlformats.org/officeDocument/2006/relationships/hyperlink" Target="https://www.a2apaymentsaustralia.com.au/wp-content/uploads/2026/07/a2a-payments-vision.pdf"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6474D5961133C4EAB4E06A228DFEE58" ma:contentTypeVersion="3" ma:contentTypeDescription="Create a new document." ma:contentTypeScope="" ma:versionID="9fcd54684af4bc2e3e12fba3d2ee663e">
  <xsd:schema xmlns:xsd="http://www.w3.org/2001/XMLSchema" xmlns:xs="http://www.w3.org/2001/XMLSchema" xmlns:p="http://schemas.microsoft.com/office/2006/metadata/properties" xmlns:ns2="83822f4d-e4c0-48bf-b768-841e5f404804" xmlns:ns3="a2aa19ac-7254-4672-b5f3-36bb7be1aecc" targetNamespace="http://schemas.microsoft.com/office/2006/metadata/properties" ma:root="true" ma:fieldsID="406ff5dc5739e50793881089d6d6d05a" ns2:_="" ns3:_="">
    <xsd:import namespace="83822f4d-e4c0-48bf-b768-841e5f404804"/>
    <xsd:import namespace="a2aa19ac-7254-4672-b5f3-36bb7be1ae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822f4d-e4c0-48bf-b768-841e5f404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aa19ac-7254-4672-b5f3-36bb7be1aecc"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a2aa19ac-7254-4672-b5f3-36bb7be1aecc">W5QWCE3MWNWV-1111276950-136</_dlc_DocId>
    <_dlc_DocIdUrl xmlns="a2aa19ac-7254-4672-b5f3-36bb7be1aecc">
      <Url>https://rbaau.sharepoint.com/sites/py-rrpr/_layouts/15/DocIdRedir.aspx?ID=W5QWCE3MWNWV-1111276950-136</Url>
      <Description>W5QWCE3MWNWV-1111276950-136</Description>
    </_dlc_DocIdUrl>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78D0E3F6-C124-4EEA-9482-090F87D90E8A}"/>
</file>

<file path=customXml/itemProps3.xml><?xml version="1.0" encoding="utf-8"?>
<ds:datastoreItem xmlns:ds="http://schemas.openxmlformats.org/officeDocument/2006/customXml" ds:itemID="{82ADF5F5-6061-4534-ABBA-739A7E581862}"/>
</file>

<file path=customXml/itemProps4.xml><?xml version="1.0" encoding="utf-8"?>
<ds:datastoreItem xmlns:ds="http://schemas.openxmlformats.org/officeDocument/2006/customXml" ds:itemID="{1A0155F1-E3BD-4753-8CC0-69EFD7B1C4ED}"/>
</file>

<file path=customXml/itemProps5.xml><?xml version="1.0" encoding="utf-8"?>
<ds:datastoreItem xmlns:ds="http://schemas.openxmlformats.org/officeDocument/2006/customXml" ds:itemID="{8AFDA1EB-358F-499B-B51D-E0555C39BCE5}"/>
</file>

<file path=docMetadata/LabelInfo.xml><?xml version="1.0" encoding="utf-8"?>
<clbl:labelList xmlns:clbl="http://schemas.microsoft.com/office/2020/mipLabelMetadata">
  <clbl:label id="{e760c494-6550-44b4-8258-77c175d778b7}" enabled="1" method="Privileged" siteId="{76a2ae5a-9f00-4f6b-95ed-5d33d77c4d61}" removed="0"/>
</clbl:labelList>
</file>

<file path=docProps/app.xml><?xml version="1.0" encoding="utf-8"?>
<Properties xmlns="http://schemas.openxmlformats.org/officeDocument/2006/extended-properties" xmlns:vt="http://schemas.openxmlformats.org/officeDocument/2006/docPropsVTypes">
  <Template>Normal</Template>
  <TotalTime>4</TotalTime>
  <Pages>11</Pages>
  <Words>3907</Words>
  <Characters>26534</Characters>
  <Application>Microsoft Office Word</Application>
  <DocSecurity>0</DocSecurity>
  <Lines>552</Lines>
  <Paragraphs>334</Paragraphs>
  <ScaleCrop>false</ScaleCrop>
  <HeadingPairs>
    <vt:vector size="2" baseType="variant">
      <vt:variant>
        <vt:lpstr>Title</vt:lpstr>
      </vt:variant>
      <vt:variant>
        <vt:i4>1</vt:i4>
      </vt:variant>
    </vt:vector>
  </HeadingPairs>
  <TitlesOfParts>
    <vt:vector size="1" baseType="lpstr">
      <vt:lpstr>The Australian Trust Layer - Strategic Response to RBA Review</vt:lpstr>
    </vt:vector>
  </TitlesOfParts>
  <Manager/>
  <Company/>
  <LinksUpToDate>false</LinksUpToDate>
  <CharactersWithSpaces>30107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Australian Trust Layer - Strategic Response to RBA Review</dc:title>
  <dc:subject>Payments regulation, Australian Trust Layer, AI, digital identity, fraud, A2A, cryptographic readiness</dc:subject>
  <dc:creator>Kar, Sudip</dc:creator>
  <cp:keywords/>
  <dc:description>Final version with shortened title, primary framework clarification, practitioner observations and RBA consultation mapping.</dc:description>
  <cp:lastModifiedBy>Kar, Sudip</cp:lastModifiedBy>
  <cp:revision>4</cp:revision>
  <dcterms:created xsi:type="dcterms:W3CDTF">2026-08-07T04:04:00Z</dcterms:created>
  <dcterms:modified xsi:type="dcterms:W3CDTF">2026-08-07T04:10:00Z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0x010100C6474D5961133C4EAB4E06A228DFEE58</vt:lpwstr>
  </property>
  <property fmtid="{D5CDD505-2E9C-101B-9397-08002B2CF9AE}" pid="3" name="_dlc_DocIdItemGuid">
    <vt:lpwstr>b3828cdc-66fc-455c-903f-91ba12629279</vt:lpwstr>
  </property>
</Properties>
</file>