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C3C1F" w14:textId="77777777" w:rsidR="00EE49A9" w:rsidRPr="00EE49A9" w:rsidRDefault="00EE49A9" w:rsidP="00EE49A9">
      <w:r w:rsidRPr="00EE49A9">
        <w:rPr>
          <w:b/>
          <w:bCs/>
        </w:rPr>
        <w:t>RESTRUCTURING RETAIL BANKING</w:t>
      </w:r>
    </w:p>
    <w:p w14:paraId="413B5CA2" w14:textId="77777777" w:rsidR="00EE49A9" w:rsidRPr="00EE49A9" w:rsidRDefault="00EE49A9" w:rsidP="00EE49A9">
      <w:r w:rsidRPr="00EE49A9">
        <w:t>The present structure of retail banking and payments arrangements, here and abroad, is at odds with historical reality. Unremarked, a restructuring of retail banking is now unfolding apace.</w:t>
      </w:r>
    </w:p>
    <w:p w14:paraId="1D5D97DB" w14:textId="77777777" w:rsidR="00EE49A9" w:rsidRPr="00EE49A9" w:rsidRDefault="00EE49A9" w:rsidP="00EE49A9">
      <w:r w:rsidRPr="00EE49A9">
        <w:t>What happens in Australia will, as usual, be dictated by what American and European players do on the global stage. There should be no ongoing pretence that Australia will independently decide its own path.</w:t>
      </w:r>
    </w:p>
    <w:p w14:paraId="2A9780B4" w14:textId="77777777" w:rsidR="00EE49A9" w:rsidRPr="00EE49A9" w:rsidRDefault="00EE49A9" w:rsidP="00EE49A9">
      <w:r w:rsidRPr="00EE49A9">
        <w:t>National governments eventually take charge of the currency of the realm—the day-to-day medium of exchange. Historically, they took control of issuing of minted coins and, later, printed banknotes. Recent decades might best be seen as a system in transition. Starting in the 1980s, banking regulators quietly abandoned any aspiration for competition in the retail payments arena. On the contrary – whether intended or not – regulators fostered, promoted, and protected what became the retail banking cartels now in place globally. Looking ahead, governments and their central banks will inevitably take command of the new national currency -- digital deposits in everyday transaction accounts.</w:t>
      </w:r>
    </w:p>
    <w:p w14:paraId="1131528F" w14:textId="77777777" w:rsidR="00EE49A9" w:rsidRPr="00EE49A9" w:rsidRDefault="00EE49A9" w:rsidP="00EE49A9">
      <w:r w:rsidRPr="00EE49A9">
        <w:rPr>
          <w:b/>
          <w:bCs/>
        </w:rPr>
        <w:t>AN EVOLUTIONARY VISION</w:t>
      </w:r>
    </w:p>
    <w:p w14:paraId="2C38F145" w14:textId="77777777" w:rsidR="00EE49A9" w:rsidRPr="00EE49A9" w:rsidRDefault="00EE49A9" w:rsidP="00EE49A9">
      <w:r w:rsidRPr="00EE49A9">
        <w:t>Cash is still useful, but now of only marginal relevance to payments policy. The provision of payment services is concentrated in a few major banks, closely tied to debit-card networks and – for the time being – credit-card schemes. Whatever, the evolution of these arrangements is quietly moving toward a separate national payments utility managed directly by central banks.</w:t>
      </w:r>
    </w:p>
    <w:p w14:paraId="1F8CBC2F" w14:textId="77777777" w:rsidR="00EE49A9" w:rsidRPr="00EE49A9" w:rsidRDefault="00EE49A9" w:rsidP="00EE49A9">
      <w:r w:rsidRPr="00EE49A9">
        <w:t>The signs are clear. Public understanding of government-insured bank deposits is no longer ambiguous: all bank deposits are now effectively guaranteed, giving them the zero-risk status of government bonds. The fact that standard transaction accounts pay no interest is entirely consistent with the public holding banknotes, on which no interest is paid.</w:t>
      </w:r>
    </w:p>
    <w:p w14:paraId="751C21ED" w14:textId="77777777" w:rsidR="00EE49A9" w:rsidRPr="00EE49A9" w:rsidRDefault="00EE49A9" w:rsidP="00EE49A9">
      <w:r w:rsidRPr="00EE49A9">
        <w:t>As for competition, senior executives move seamlessly between the major banks while collectively 'owning the game' in a framework akin to a cartel. Meanwhile, the minor players on the fringes of retail banking have little interest in providing independent payment services -- they act essentially as low-transaction agencies, for the majors, to help their customers .</w:t>
      </w:r>
    </w:p>
    <w:p w14:paraId="534E6C8B" w14:textId="77777777" w:rsidR="00EE49A9" w:rsidRPr="00EE49A9" w:rsidRDefault="00EE49A9" w:rsidP="00EE49A9">
      <w:r w:rsidRPr="00EE49A9">
        <w:t xml:space="preserve">Various loose ends in this shifting landscape will need attention. Major banks will be asked to accept radical surgery – along with some sedation – as compensation for the commercial consequences is negotiated. As for payment products, any specific medium of a payment is of marginal relevance: convoluted setups like credit-card </w:t>
      </w:r>
      <w:r w:rsidRPr="00EE49A9">
        <w:lastRenderedPageBreak/>
        <w:t>schemes will be displaced as better products and national payment networks take their place.</w:t>
      </w:r>
    </w:p>
    <w:p w14:paraId="02A6FC9F" w14:textId="77777777" w:rsidR="00EE49A9" w:rsidRPr="00EE49A9" w:rsidRDefault="00EE49A9" w:rsidP="00EE49A9">
      <w:r w:rsidRPr="00EE49A9">
        <w:t>While best avoided, a political and regulatory donnybrook may well be in the offing. The lesson of history is clear: the present business model for retail banking and payments will be displaced because, being so contrary to the public interest, it has become redundant. Instead, national governments will assume ownership and control of payment systems, operating them as public utilities. Brazil's Pix is one example; Europe's SEPA is another. For Australia, the NPP could serve in that role once all players participate cooperatively.</w:t>
      </w:r>
    </w:p>
    <w:p w14:paraId="5B36175B" w14:textId="77777777" w:rsidR="00EE49A9" w:rsidRPr="00EE49A9" w:rsidRDefault="00EE49A9" w:rsidP="00EE49A9">
      <w:r w:rsidRPr="00EE49A9">
        <w:t>Just how and when this prospect may unfold is an open question. Contentious as it may be, a shift is inevitable and gathering pace -- the importance of preparing for the transition can hardly be overstated.</w:t>
      </w:r>
    </w:p>
    <w:p w14:paraId="452AF5B9" w14:textId="77777777" w:rsidR="00EE49A9" w:rsidRPr="00EE49A9" w:rsidRDefault="00EE49A9" w:rsidP="00EE49A9">
      <w:r w:rsidRPr="00EE49A9">
        <w:t>The practicalities and implications are still uncertain. Major banks could be split: one part separately incorporated as a 'payment services provider' contracted to a national payments utility, and the other acting as a conventional intermediary linking savers and borrowers.</w:t>
      </w:r>
    </w:p>
    <w:p w14:paraId="1C2187C3" w14:textId="77777777" w:rsidR="00EE49A9" w:rsidRPr="00EE49A9" w:rsidRDefault="00EE49A9" w:rsidP="00EE49A9">
      <w:r w:rsidRPr="00EE49A9">
        <w:t>Such a separation would see matching reserve-deposits with central banks equal to the value of deposits in transaction accounts (100% reserve banking). In central-banking speak, this would return the private seigniorage currently retained by banks to the public purse where it always belonged.</w:t>
      </w:r>
    </w:p>
    <w:p w14:paraId="4D61F73D" w14:textId="77777777" w:rsidR="00EE49A9" w:rsidRPr="00EE49A9" w:rsidRDefault="00EE49A9" w:rsidP="00EE49A9">
      <w:r w:rsidRPr="00EE49A9">
        <w:t>Part of the seigniorage on the national currency then newly flowing to the RBA, some $50 billion annually, would be used to manage the transition. Bank shareholders, denied 'their' private seigniorage, would be compensated. Similarly, the realpolitik of transitioning to user-pays pricing for payment services will require public subsidies while the community adjusts. A modern "Digital-Dollar-Bill" campaign may even be resurrected to educate and reassure the public ahead of another "D-Day" and beyond.</w:t>
      </w:r>
    </w:p>
    <w:p w14:paraId="4256D03A" w14:textId="77777777" w:rsidR="00EE49A9" w:rsidRPr="00EE49A9" w:rsidRDefault="00EE49A9" w:rsidP="00EE49A9"/>
    <w:p w14:paraId="177F1E95" w14:textId="77777777" w:rsidR="00EE49A9" w:rsidRPr="00EE49A9" w:rsidRDefault="00EE49A9" w:rsidP="00EE49A9">
      <w:r w:rsidRPr="00EE49A9">
        <w:rPr>
          <w:b/>
          <w:bCs/>
        </w:rPr>
        <w:t>TROUBLING AUSTRALIAN REALITIES</w:t>
      </w:r>
    </w:p>
    <w:p w14:paraId="02C507FC" w14:textId="77777777" w:rsidR="00EE49A9" w:rsidRPr="00EE49A9" w:rsidRDefault="00EE49A9" w:rsidP="00EE49A9">
      <w:r w:rsidRPr="00EE49A9">
        <w:rPr>
          <w:i/>
          <w:iCs/>
        </w:rPr>
        <w:t>When our doctors cannot answer our questions we have reason to be fearful.</w:t>
      </w:r>
    </w:p>
    <w:p w14:paraId="5BCFF775" w14:textId="77777777" w:rsidR="00EE49A9" w:rsidRPr="00EE49A9" w:rsidRDefault="00EE49A9" w:rsidP="00EE49A9">
      <w:r w:rsidRPr="00EE49A9">
        <w:rPr>
          <w:b/>
          <w:bCs/>
        </w:rPr>
        <w:t>PREAMBLE</w:t>
      </w:r>
    </w:p>
    <w:p w14:paraId="54552417" w14:textId="77777777" w:rsidR="00EE49A9" w:rsidRPr="00EE49A9" w:rsidRDefault="00EE49A9" w:rsidP="00EE49A9">
      <w:r w:rsidRPr="00EE49A9">
        <w:t>The RBA does not answer certain questions. Other regulators respect this code of silence.</w:t>
      </w:r>
    </w:p>
    <w:p w14:paraId="61565601" w14:textId="77777777" w:rsidR="00EE49A9" w:rsidRPr="00EE49A9" w:rsidRDefault="00EE49A9" w:rsidP="00EE49A9">
      <w:r w:rsidRPr="00EE49A9">
        <w:t>This brick wall of silence sits uneasily with both regulators' own codes of conduct --which promise the opposite – and the community's entitlement to be understandably informed .</w:t>
      </w:r>
    </w:p>
    <w:p w14:paraId="482E416D" w14:textId="77777777" w:rsidR="00EE49A9" w:rsidRPr="00EE49A9" w:rsidRDefault="00EE49A9" w:rsidP="00EE49A9">
      <w:r w:rsidRPr="00EE49A9">
        <w:lastRenderedPageBreak/>
        <w:t>Visions aside, political and regulatory reluctance to recognise and discuss, let alone correct, fundamental structural flaws leaves room for the assessment that the retail banking system is unstable – and not only in Australia.</w:t>
      </w:r>
    </w:p>
    <w:p w14:paraId="3190BD01" w14:textId="77777777" w:rsidR="00EE49A9" w:rsidRPr="00EE49A9" w:rsidRDefault="00EE49A9" w:rsidP="00EE49A9">
      <w:r w:rsidRPr="00EE49A9">
        <w:t>As a small player on the global field, Australia has only marginal independence on the banking policy front. Sadly, this is more glossed-over than candidly accepted or explained. Instead, a pointless sequence of protracted payments-policy reviews has rolled around in circles for decades – not kidding, another opened 'yesterday' right after one was finalised 'the day before.'</w:t>
      </w:r>
    </w:p>
    <w:p w14:paraId="18AF9101" w14:textId="77777777" w:rsidR="00EE49A9" w:rsidRPr="00EE49A9" w:rsidRDefault="00EE49A9" w:rsidP="00EE49A9">
      <w:r w:rsidRPr="00EE49A9">
        <w:t>Australia remains a lucky country, though 'the elite' are a lot luckier than most. Australians account for just 0.33% – one-third of one percent – of the global population. The 'luck' flows from a continental treasure-island rich in agricultural and mineral resources. In the grand scheme, a 0.33% vote carries little weight – we either fit in or get exiled.</w:t>
      </w:r>
    </w:p>
    <w:p w14:paraId="225A8B56" w14:textId="77777777" w:rsidR="00EE49A9" w:rsidRPr="00EE49A9" w:rsidRDefault="00EE49A9" w:rsidP="00EE49A9">
      <w:r w:rsidRPr="00EE49A9">
        <w:t>Attached, also, are copies of two reference papers on banking and payments policy issues.</w:t>
      </w:r>
    </w:p>
    <w:p w14:paraId="06A03006" w14:textId="77777777" w:rsidR="00EE49A9" w:rsidRPr="00EE49A9" w:rsidRDefault="00EE49A9" w:rsidP="00EE49A9">
      <w:r w:rsidRPr="00EE49A9">
        <w:t>The first, a letter to the RBA Governor dated 11 August 2025, is published on the RBA website. It poses, rhetorically, the very questions that the RBA – while claiming to be in charge – cannot answer.</w:t>
      </w:r>
    </w:p>
    <w:p w14:paraId="4A5EF81F" w14:textId="77777777" w:rsidR="00EE49A9" w:rsidRPr="00EE49A9" w:rsidRDefault="00EE49A9" w:rsidP="00EE49A9">
      <w:r w:rsidRPr="00EE49A9">
        <w:t>The second, titled '</w:t>
      </w:r>
      <w:r w:rsidRPr="00EE49A9">
        <w:rPr>
          <w:i/>
          <w:iCs/>
        </w:rPr>
        <w:t>Consolidated Market Power in Retail Payment Systems'</w:t>
      </w:r>
      <w:r w:rsidRPr="00EE49A9">
        <w:t xml:space="preserve"> was a submission made on 26 January 2026 to the House of Representatives Standing Committee on Economics (HEC). </w:t>
      </w:r>
    </w:p>
    <w:p w14:paraId="3861A1F7" w14:textId="77777777" w:rsidR="00EE49A9" w:rsidRPr="00EE49A9" w:rsidRDefault="00EE49A9" w:rsidP="00EE49A9">
      <w:r w:rsidRPr="00EE49A9">
        <w:t xml:space="preserve">Though, eventually, published by the Committee, this submission missed the initial cut and may not have been widely read, yet. </w:t>
      </w:r>
    </w:p>
    <w:p w14:paraId="148F5F5E" w14:textId="77777777" w:rsidR="00EE49A9" w:rsidRPr="00EE49A9" w:rsidRDefault="00EE49A9" w:rsidP="00EE49A9">
      <w:r w:rsidRPr="00EE49A9">
        <w:t>A bit heartfelt perhaps, but well worth a quick scan.</w:t>
      </w:r>
    </w:p>
    <w:p w14:paraId="5B4A5C6F" w14:textId="77777777" w:rsidR="00EE49A9" w:rsidRPr="00EE49A9" w:rsidRDefault="00EE49A9" w:rsidP="00EE49A9"/>
    <w:p w14:paraId="4EC8EC82" w14:textId="77777777" w:rsidR="00EE49A9" w:rsidRPr="00EE49A9" w:rsidRDefault="00EE49A9" w:rsidP="00EE49A9">
      <w:r w:rsidRPr="00EE49A9">
        <w:rPr>
          <w:b/>
          <w:bCs/>
        </w:rPr>
        <w:t>SOUNDS OF SILENCE</w:t>
      </w:r>
    </w:p>
    <w:p w14:paraId="0D261D6F" w14:textId="77777777" w:rsidR="00EE49A9" w:rsidRPr="00EE49A9" w:rsidRDefault="00EE49A9" w:rsidP="00EE49A9">
      <w:r w:rsidRPr="00EE49A9">
        <w:t>Illustrations of the political and bureaucratic code of silence about Australian banking banking make for disturbing reading – more importantly, each revelation validates the need for a restructuring continuing along the lines envisaged.</w:t>
      </w:r>
    </w:p>
    <w:p w14:paraId="0A43D583" w14:textId="77777777" w:rsidR="00EE49A9" w:rsidRPr="00EE49A9" w:rsidRDefault="00EE49A9" w:rsidP="00EE49A9">
      <w:pPr>
        <w:numPr>
          <w:ilvl w:val="0"/>
          <w:numId w:val="1"/>
        </w:numPr>
      </w:pPr>
      <w:r w:rsidRPr="00EE49A9">
        <w:t xml:space="preserve">The entitlement of the major banks to pay zero interest, on everyday transaction accounts, endows them with the net earnings generated by investing those funds. Regulators, integral parties to this dirty-deal, display wilful blindness and silence to this setup. Then, they neither know, or want to know, the true scale of the unwarranted endowment they condone by their in-action to take it away. A ballpark estimate suggests that if the major banks hold roughly $1 trillion in interest-free deposits, the earnings represents a gross 'endowment take' of </w:t>
      </w:r>
      <w:r w:rsidRPr="00EE49A9">
        <w:lastRenderedPageBreak/>
        <w:t>around $50 billion annually. The net endowment, de facto a still massive public subsidy paid to the major banks, is spent and misspent at the bankers' unaccountable discretion.</w:t>
      </w:r>
    </w:p>
    <w:p w14:paraId="6762C02E" w14:textId="77777777" w:rsidR="00EE49A9" w:rsidRPr="00EE49A9" w:rsidRDefault="00EE49A9" w:rsidP="00EE49A9">
      <w:pPr>
        <w:numPr>
          <w:ilvl w:val="0"/>
          <w:numId w:val="1"/>
        </w:numPr>
      </w:pPr>
      <w:r w:rsidRPr="00EE49A9">
        <w:t xml:space="preserve">There are side understandings. For example – banks spend some $1 billion, of the $50billion, to pay for a national cash distribution system. Much, much more important, however, is an understanding that most people will not be asked to pay explicit prices for using retail banking and payments services. An endowment-corrupted culture of 'free banking' underwrites the collective dominance of the major banks. Sadly, it has so plainly been destructive of competition and efficiency in the retail banking and payments arena. Consumer customers can be charged explicit user-pays prices for 'all other essentials' – but for what reason has it been agreed, as national policy, that basic banking and payments services are to be made available 'free-of-charge'. </w:t>
      </w:r>
    </w:p>
    <w:p w14:paraId="52738A63" w14:textId="77777777" w:rsidR="00EE49A9" w:rsidRPr="00EE49A9" w:rsidRDefault="00EE49A9" w:rsidP="00EE49A9">
      <w:pPr>
        <w:numPr>
          <w:ilvl w:val="0"/>
          <w:numId w:val="1"/>
        </w:numPr>
      </w:pPr>
      <w:r w:rsidRPr="00EE49A9">
        <w:t>The cost, to major banks, of the side-agreements on cash distribution and free banking services does not erode all the endowment entitlement. Problem is, however, the value of the 'free-deposit' entitlement can vary dramatically. Over the past four decades interest rates have been volatile – a high of 15%+ circa 1990, a low of 'zero' in the 2020s. Such dramatic volatility has been, and remains, a fundamental flaw in the regulatory framework – it has been and remains conducive to systemic instability. Be reminded, circa 1990, as interest rates and the majors' endowment soared, a local banking crisis saw two of the major banks quaking while most other banks, foreign, state and minor more or less failed and departed or were 'absorbed' in one of the other majors. Later, circa 2015, all were scrambling to re-capitalise when 'zero rates', eroding the endowment,` left them a bit skint and the prudential regulators 'disturbed and unsettled'. Talk about a code of silence – why do central banks leave this instability embedded in the national financial systems they are charged to keep safe?</w:t>
      </w:r>
    </w:p>
    <w:p w14:paraId="3590E476" w14:textId="77777777" w:rsidR="00EE49A9" w:rsidRPr="00EE49A9" w:rsidRDefault="00EE49A9" w:rsidP="00EE49A9">
      <w:pPr>
        <w:numPr>
          <w:ilvl w:val="0"/>
          <w:numId w:val="1"/>
        </w:numPr>
      </w:pPr>
      <w:r w:rsidRPr="00EE49A9">
        <w:t>Consider next the de facto cartel globally embodied in the relationships between major banks and the global credit card schemes. The regulatory dance around the appropriate supervision of the 'rackets' run by Visa and Mastercard has continued for decades – a sustained display of politely pointless regulatory circle work that would rival the satirical skills of a Jane Austen. The pretence of national independence on this front belies the reality of no regulatory power attends this treasure-island's 0.33 per cent weight in the global population. The inclination of these global schemes to make local power-plays is likely to be further illustrated by a pending Federal Court judgement on charges of commercial piracy.</w:t>
      </w:r>
    </w:p>
    <w:p w14:paraId="12995D4F" w14:textId="77777777" w:rsidR="00EE49A9" w:rsidRPr="00EE49A9" w:rsidRDefault="00EE49A9" w:rsidP="00EE49A9">
      <w:pPr>
        <w:numPr>
          <w:ilvl w:val="0"/>
          <w:numId w:val="1"/>
        </w:numPr>
      </w:pPr>
      <w:r w:rsidRPr="00EE49A9">
        <w:t xml:space="preserve">Of lesser, but far from minor, consequence is the political and regulatory paralysis surrounding the reluctance of the RBA to slowly but surely withdraw </w:t>
      </w:r>
      <w:r w:rsidRPr="00EE49A9">
        <w:lastRenderedPageBreak/>
        <w:t>$50 and $100 banknotes from circulation. Neither big-note is any longer necessary – ongoing, any necessary cash transactions can be accommodated with a maximum cash denomination of $20.</w:t>
      </w:r>
    </w:p>
    <w:p w14:paraId="209D5C65" w14:textId="77777777" w:rsidR="00EE49A9" w:rsidRPr="00EE49A9" w:rsidRDefault="00EE49A9" w:rsidP="00EE49A9">
      <w:pPr>
        <w:numPr>
          <w:ilvl w:val="0"/>
          <w:numId w:val="1"/>
        </w:numPr>
      </w:pPr>
      <w:r w:rsidRPr="00EE49A9">
        <w:t>Not only are $50 and $100 notes no longer necessary, but the RBA continuing to issue them 'on demand' is hardly sensible. These big-notes account for more than 90% of the total note issue of $110 billion. The $100 notes have never been 'in circulation' in any meaningful sense. More correctly regarded as zero-coupon bearer bonds, they are secretly hoarded (as are most $50 notes). Hoarding cash is a tactic used to avoid paying income tax on undisclosed cash income and, more importantly in Australia, to avoid disclosing assets subject to the means tested limits to age pension entitlements.</w:t>
      </w:r>
    </w:p>
    <w:p w14:paraId="4FEE471D" w14:textId="77777777" w:rsidR="00EE49A9" w:rsidRPr="00EE49A9" w:rsidRDefault="00EE49A9" w:rsidP="00EE49A9">
      <w:pPr>
        <w:numPr>
          <w:ilvl w:val="0"/>
          <w:numId w:val="1"/>
        </w:numPr>
      </w:pPr>
      <w:r w:rsidRPr="00EE49A9">
        <w:t>Not to labour the point, $1,000 stashed "under the bed" and hidden from the means test can increase part-pension entitlements by $70 annually. This is a generous 7% return when bank deposit interest rates are much lower (it was an absolute steal when deposit rates were at zero). Putting this Peter-pays-Paul confusion into sharper focus: the cost to the federal budget, facilitated by the hoarding of large notes, far exceeds the seigniorage (profit) the RBA earns on the investment of the interest-free banknote deposits it holds. So explaining the rationale for gradually withdrawing these large notes would hardly disturb the broader community (barring the part-pensioner set 'sensibly' rorting the secrecy)</w:t>
      </w:r>
    </w:p>
    <w:p w14:paraId="032AF4C3" w14:textId="77777777" w:rsidR="00EE49A9" w:rsidRPr="00EE49A9" w:rsidRDefault="00EE49A9" w:rsidP="00EE49A9">
      <w:r w:rsidRPr="00EE49A9">
        <w:rPr>
          <w:b/>
          <w:bCs/>
        </w:rPr>
        <w:t>A WALL OF SILENCE</w:t>
      </w:r>
    </w:p>
    <w:p w14:paraId="21FC8C6C" w14:textId="77777777" w:rsidR="00EE49A9" w:rsidRPr="00EE49A9" w:rsidRDefault="00EE49A9" w:rsidP="00EE49A9">
      <w:r w:rsidRPr="00EE49A9">
        <w:t>Australia has drifted into a cultural cul-de-sac when it comes to public policy for the retail banking and payments system. Those wanting candour – the truth, the whole truth, and nothing but the truth – are whistling into the wind.</w:t>
      </w:r>
    </w:p>
    <w:p w14:paraId="70A3CBD2" w14:textId="77777777" w:rsidR="00EE49A9" w:rsidRPr="00EE49A9" w:rsidRDefault="00EE49A9" w:rsidP="00EE49A9">
      <w:r w:rsidRPr="00EE49A9">
        <w:t xml:space="preserve">A decade or so back, a royal commission investigating misconduct in the banking industry turned protestations of 'nothing to see here' into a process that exposed plenty. It was a revelation. Counsel assisting 'discovered' confidential bank documents, then used them to frame clinically incisive questions bringing banking-chiefs undone. The atmosphere in the hearing room was electric – palpably uncomfortable for those in the witness box. </w:t>
      </w:r>
    </w:p>
    <w:p w14:paraId="56CF3E29" w14:textId="77777777" w:rsidR="00EE49A9" w:rsidRPr="00EE49A9" w:rsidRDefault="00EE49A9" w:rsidP="00EE49A9">
      <w:r w:rsidRPr="00EE49A9">
        <w:t>The critical factor was that questions asked had to be answered.</w:t>
      </w:r>
    </w:p>
    <w:p w14:paraId="679082EF" w14:textId="77777777" w:rsidR="00EE49A9" w:rsidRPr="00EE49A9" w:rsidRDefault="00EE49A9" w:rsidP="00EE49A9">
      <w:r w:rsidRPr="00EE49A9">
        <w:t>As for the issues raised here, too many policy questions, fairly posed, are left hanging in the air. So very preferably, a candid response should be put on the public record. Put differently, the principle in play is anticipatory transparency: an incisive question not even asked should be answered as if it had been.</w:t>
      </w:r>
    </w:p>
    <w:p w14:paraId="2DFBF513" w14:textId="77777777" w:rsidR="00EE49A9" w:rsidRPr="00EE49A9" w:rsidRDefault="00EE49A9" w:rsidP="00EE49A9">
      <w:r w:rsidRPr="00EE49A9">
        <w:lastRenderedPageBreak/>
        <w:t>Expecting such voluntary candour is consistent with the RBA saying it is committed to the core values enshrined in its own, written, code of conduct. These concepts embrace:</w:t>
      </w:r>
    </w:p>
    <w:p w14:paraId="35F5A31C" w14:textId="77777777" w:rsidR="00EE49A9" w:rsidRPr="00EE49A9" w:rsidRDefault="00EE49A9" w:rsidP="00EE49A9">
      <w:r w:rsidRPr="00EE49A9">
        <w:rPr>
          <w:i/>
          <w:iCs/>
        </w:rPr>
        <w:t>"...serving the public interest above all else; being honest and open in all dealings; encouraging healthy debate and critical thinking; challenging the status quo, asking tough questions, and thinking deeply—and valuing diverse views."</w:t>
      </w:r>
    </w:p>
    <w:p w14:paraId="2B7F2E68" w14:textId="77777777" w:rsidR="00EE49A9" w:rsidRPr="00EE49A9" w:rsidRDefault="00EE49A9" w:rsidP="00EE49A9">
      <w:r w:rsidRPr="00EE49A9">
        <w:t>Let's just pause here.</w:t>
      </w:r>
    </w:p>
    <w:p w14:paraId="49241F53" w14:textId="77777777" w:rsidR="00EE49A9" w:rsidRPr="00EE49A9" w:rsidRDefault="00EE49A9" w:rsidP="00EE49A9"/>
    <w:p w14:paraId="09D2A14D" w14:textId="77777777" w:rsidR="00EE49A9" w:rsidRPr="00EE49A9" w:rsidRDefault="00EE49A9" w:rsidP="00EE49A9">
      <w:r w:rsidRPr="00EE49A9">
        <w:t>…. but let us not linger long either.</w:t>
      </w:r>
    </w:p>
    <w:p w14:paraId="7082BAE5" w14:textId="77777777" w:rsidR="00EE49A9" w:rsidRPr="00EE49A9" w:rsidRDefault="00EE49A9" w:rsidP="00EE49A9">
      <w:r w:rsidRPr="00EE49A9">
        <w:t>Resuming: there is very apparently a long, longstanding, list of questions the RBA does not want asked because it cannot answer them. Some of these 'don't ask' questions are canvassed above and in the other two previously published attachments.</w:t>
      </w:r>
    </w:p>
    <w:p w14:paraId="6248DEAC" w14:textId="77777777" w:rsidR="00EE49A9" w:rsidRPr="00EE49A9" w:rsidRDefault="00EE49A9" w:rsidP="00EE49A9">
      <w:r w:rsidRPr="00EE49A9">
        <w:t>There is a credibility gap. What retail banking regulators globally said they were doing was not what was – and is – actually done. Claiming to promote competition, efficiency, and stability belied the reality of policy settings that, instead, deny competition of any material import, while perversely underwriting and protecting the systemic monopolisation that risks systemic instability.</w:t>
      </w:r>
    </w:p>
    <w:p w14:paraId="20935383" w14:textId="77777777" w:rsidR="00EE49A9" w:rsidRPr="00EE49A9" w:rsidRDefault="00EE49A9" w:rsidP="00EE49A9">
      <w:r w:rsidRPr="00EE49A9">
        <w:t>It is not clear that the penny has dropped in the payments policy division at the RBA – or at central banks more generally. Regulatory preoccupation with the rapidly changing technology of payment mediums seems to have obscured sight of fundamental flaws in the basic structural arrangements. In this business, the medium is not the message that counts.</w:t>
      </w:r>
    </w:p>
    <w:p w14:paraId="4EF79910" w14:textId="77777777" w:rsidR="00EE49A9" w:rsidRPr="00EE49A9" w:rsidRDefault="00EE49A9" w:rsidP="00EE49A9">
      <w:r w:rsidRPr="00EE49A9">
        <w:t>Along the way, it may have crossed some minds that 'the vision' sketched here bears some long-verboten tones of 'the nationalisation of free-enterprise banks'.</w:t>
      </w:r>
    </w:p>
    <w:p w14:paraId="0BB7D7CD" w14:textId="77777777" w:rsidR="00EE49A9" w:rsidRPr="00EE49A9" w:rsidRDefault="00EE49A9" w:rsidP="00EE49A9">
      <w:r w:rsidRPr="00EE49A9">
        <w:t>It does – but only to an extent already long accepted, globally, as entirely proper and appropriate.</w:t>
      </w:r>
    </w:p>
    <w:p w14:paraId="26DE96E9" w14:textId="77777777" w:rsidR="00EE49A9" w:rsidRPr="00EE49A9" w:rsidRDefault="00EE49A9" w:rsidP="00EE49A9">
      <w:r w:rsidRPr="00EE49A9">
        <w:t>The guiding light in 'the vision' is the principle of national ownership and management of whatever constitutes the currency of the realm. Once it was holey dollars, once it was rum, and then it was banknotes and coins. Now – and just so surely sensibly – it is the digital deposits in everyday transaction accounts, that will be fully backed by reserve deposits with the RBA.</w:t>
      </w:r>
    </w:p>
    <w:p w14:paraId="44502E67" w14:textId="77777777" w:rsidR="00EE49A9" w:rsidRPr="00EE49A9" w:rsidRDefault="00EE49A9" w:rsidP="00EE49A9">
      <w:r w:rsidRPr="00EE49A9">
        <w:t>Peter Mair</w:t>
      </w:r>
    </w:p>
    <w:p w14:paraId="53110361" w14:textId="77777777" w:rsidR="00EE49A9" w:rsidRPr="00EE49A9" w:rsidRDefault="00EE49A9" w:rsidP="00EE49A9">
      <w:r w:rsidRPr="00EE49A9">
        <w:t>24 July 2026</w:t>
      </w:r>
    </w:p>
    <w:p w14:paraId="4EBB7189" w14:textId="77777777" w:rsidR="00EE49A9" w:rsidRPr="00EE49A9" w:rsidRDefault="00EE49A9" w:rsidP="00EE49A9"/>
    <w:p w14:paraId="07FF71AF" w14:textId="77777777" w:rsidR="00EE49A9" w:rsidRPr="00EE49A9" w:rsidRDefault="00EE49A9" w:rsidP="00EE49A9">
      <w:r w:rsidRPr="00EE49A9">
        <w:lastRenderedPageBreak/>
        <w:t>[PS: Everything above connects to another's national vision that should never be lost. A century ago, a train driver from Bathurst came to prominence with a vision of a 'light on the hill' That train-driver, Ben Chifley, was Australia's wartime Treasurer and, later, Prime Minister. Before that – while rebuilding his political career – he served on the Banking Royal Commission convened in the wake of the 1930s Depression. The expertise he gained there shaped views, on appropriate banking regulation, which were written into the 1941 wartime banking regulations and the Banking Act of 1945.</w:t>
      </w:r>
    </w:p>
    <w:p w14:paraId="6DB9030A" w14:textId="77777777" w:rsidR="00EE49A9" w:rsidRPr="00EE49A9" w:rsidRDefault="00EE49A9" w:rsidP="00EE49A9">
      <w:r w:rsidRPr="00EE49A9">
        <w:t xml:space="preserve">In the public mind, Chifley’s later fall from political grace is linked to his ill-fated proposal to 'nationalise the banks'. While the full context of that era is complex, the general intent was clear enough. On reflection, among other things, Ben Chiefly would surely have wanted Australia's retail payments system to operate as a public utility. </w:t>
      </w:r>
    </w:p>
    <w:p w14:paraId="6DB686DF" w14:textId="77777777" w:rsidR="00EE49A9" w:rsidRPr="00EE49A9" w:rsidRDefault="00EE49A9" w:rsidP="00EE49A9">
      <w:r w:rsidRPr="00EE49A9">
        <w:t>If that was indeed part of his vision, as it is of mine, it stands a better chance of being adopted today.]</w:t>
      </w:r>
    </w:p>
    <w:p w14:paraId="1E1169DB" w14:textId="77777777" w:rsidR="00645770" w:rsidRDefault="00645770"/>
    <w:sectPr w:rsidR="0064577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7FD9A" w14:textId="77777777" w:rsidR="009E5EA1" w:rsidRDefault="009E5EA1" w:rsidP="00EE49A9">
      <w:pPr>
        <w:spacing w:after="0" w:line="240" w:lineRule="auto"/>
      </w:pPr>
      <w:r>
        <w:separator/>
      </w:r>
    </w:p>
  </w:endnote>
  <w:endnote w:type="continuationSeparator" w:id="0">
    <w:p w14:paraId="72CEC997" w14:textId="77777777" w:rsidR="009E5EA1" w:rsidRDefault="009E5EA1" w:rsidP="00EE4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740A" w14:textId="74A7D5DF" w:rsidR="00EE49A9" w:rsidRDefault="00EE49A9">
    <w:pPr>
      <w:pStyle w:val="Footer"/>
    </w:pPr>
    <w:r>
      <w:rPr>
        <w:noProof/>
      </w:rPr>
      <mc:AlternateContent>
        <mc:Choice Requires="wps">
          <w:drawing>
            <wp:anchor distT="0" distB="0" distL="0" distR="0" simplePos="0" relativeHeight="251662336" behindDoc="0" locked="0" layoutInCell="1" allowOverlap="1" wp14:anchorId="65C4B98E" wp14:editId="08B69218">
              <wp:simplePos x="635" y="635"/>
              <wp:positionH relativeFrom="page">
                <wp:align>center</wp:align>
              </wp:positionH>
              <wp:positionV relativeFrom="page">
                <wp:align>bottom</wp:align>
              </wp:positionV>
              <wp:extent cx="707390" cy="384810"/>
              <wp:effectExtent l="0" t="0" r="16510" b="0"/>
              <wp:wrapNone/>
              <wp:docPr id="220725789" name="Text Box 5"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384810"/>
                      </a:xfrm>
                      <a:prstGeom prst="rect">
                        <a:avLst/>
                      </a:prstGeom>
                      <a:noFill/>
                      <a:ln>
                        <a:noFill/>
                      </a:ln>
                    </wps:spPr>
                    <wps:txbx>
                      <w:txbxContent>
                        <w:p w14:paraId="1F3801F8" w14:textId="42B04E20"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C4B98E" id="_x0000_t202" coordsize="21600,21600" o:spt="202" path="m,l,21600r21600,l21600,xe">
              <v:stroke joinstyle="miter"/>
              <v:path gradientshapeok="t" o:connecttype="rect"/>
            </v:shapetype>
            <v:shape id="Text Box 5" o:spid="_x0000_s1028" type="#_x0000_t202" alt="RESTRICTED" style="position:absolute;margin-left:0;margin-top:0;width:55.7pt;height:30.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" filled="f" stroked="f">
              <v:fill o:detectmouseclick="t"/>
              <v:textbox style="mso-fit-shape-to-text:t" inset="0,0,0,15pt">
                <w:txbxContent>
                  <w:p w14:paraId="1F3801F8" w14:textId="42B04E20"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CCD5" w14:textId="67E3CAEF" w:rsidR="00EE49A9" w:rsidRDefault="00EE49A9">
    <w:pPr>
      <w:pStyle w:val="Footer"/>
    </w:pPr>
    <w:r>
      <w:rPr>
        <w:noProof/>
      </w:rPr>
      <mc:AlternateContent>
        <mc:Choice Requires="wps">
          <w:drawing>
            <wp:anchor distT="0" distB="0" distL="0" distR="0" simplePos="0" relativeHeight="251663360" behindDoc="0" locked="0" layoutInCell="1" allowOverlap="1" wp14:anchorId="28ED12BC" wp14:editId="1B120410">
              <wp:simplePos x="914400" y="10058400"/>
              <wp:positionH relativeFrom="page">
                <wp:align>center</wp:align>
              </wp:positionH>
              <wp:positionV relativeFrom="page">
                <wp:align>bottom</wp:align>
              </wp:positionV>
              <wp:extent cx="707390" cy="384810"/>
              <wp:effectExtent l="0" t="0" r="16510" b="0"/>
              <wp:wrapNone/>
              <wp:docPr id="746896689" name="Text Box 6"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384810"/>
                      </a:xfrm>
                      <a:prstGeom prst="rect">
                        <a:avLst/>
                      </a:prstGeom>
                      <a:noFill/>
                      <a:ln>
                        <a:noFill/>
                      </a:ln>
                    </wps:spPr>
                    <wps:txbx>
                      <w:txbxContent>
                        <w:p w14:paraId="47F6AB58" w14:textId="5D183060"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ED12BC" id="_x0000_t202" coordsize="21600,21600" o:spt="202" path="m,l,21600r21600,l21600,xe">
              <v:stroke joinstyle="miter"/>
              <v:path gradientshapeok="t" o:connecttype="rect"/>
            </v:shapetype>
            <v:shape id="Text Box 6" o:spid="_x0000_s1029" type="#_x0000_t202" alt="RESTRICTED" style="position:absolute;margin-left:0;margin-top:0;width:55.7pt;height:30.3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" filled="f" stroked="f">
              <v:fill o:detectmouseclick="t"/>
              <v:textbox style="mso-fit-shape-to-text:t" inset="0,0,0,15pt">
                <w:txbxContent>
                  <w:p w14:paraId="47F6AB58" w14:textId="5D183060"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667FF" w14:textId="62021019" w:rsidR="00EE49A9" w:rsidRDefault="00EE49A9">
    <w:pPr>
      <w:pStyle w:val="Footer"/>
    </w:pPr>
    <w:r>
      <w:rPr>
        <w:noProof/>
      </w:rPr>
      <mc:AlternateContent>
        <mc:Choice Requires="wps">
          <w:drawing>
            <wp:anchor distT="0" distB="0" distL="0" distR="0" simplePos="0" relativeHeight="251661312" behindDoc="0" locked="0" layoutInCell="1" allowOverlap="1" wp14:anchorId="04306853" wp14:editId="4E9B8F95">
              <wp:simplePos x="635" y="635"/>
              <wp:positionH relativeFrom="page">
                <wp:align>center</wp:align>
              </wp:positionH>
              <wp:positionV relativeFrom="page">
                <wp:align>bottom</wp:align>
              </wp:positionV>
              <wp:extent cx="707390" cy="384810"/>
              <wp:effectExtent l="0" t="0" r="16510" b="0"/>
              <wp:wrapNone/>
              <wp:docPr id="752594360" name="Text Box 4"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384810"/>
                      </a:xfrm>
                      <a:prstGeom prst="rect">
                        <a:avLst/>
                      </a:prstGeom>
                      <a:noFill/>
                      <a:ln>
                        <a:noFill/>
                      </a:ln>
                    </wps:spPr>
                    <wps:txbx>
                      <w:txbxContent>
                        <w:p w14:paraId="2D392697" w14:textId="048A306C"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306853" id="_x0000_t202" coordsize="21600,21600" o:spt="202" path="m,l,21600r21600,l21600,xe">
              <v:stroke joinstyle="miter"/>
              <v:path gradientshapeok="t" o:connecttype="rect"/>
            </v:shapetype>
            <v:shape id="Text Box 4" o:spid="_x0000_s1031" type="#_x0000_t202" alt="RESTRICTED" style="position:absolute;margin-left:0;margin-top:0;width:55.7pt;height:30.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" filled="f" stroked="f">
              <v:fill o:detectmouseclick="t"/>
              <v:textbox style="mso-fit-shape-to-text:t" inset="0,0,0,15pt">
                <w:txbxContent>
                  <w:p w14:paraId="2D392697" w14:textId="048A306C"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4EB12" w14:textId="77777777" w:rsidR="009E5EA1" w:rsidRDefault="009E5EA1" w:rsidP="00EE49A9">
      <w:pPr>
        <w:spacing w:after="0" w:line="240" w:lineRule="auto"/>
      </w:pPr>
      <w:r>
        <w:separator/>
      </w:r>
    </w:p>
  </w:footnote>
  <w:footnote w:type="continuationSeparator" w:id="0">
    <w:p w14:paraId="5533766F" w14:textId="77777777" w:rsidR="009E5EA1" w:rsidRDefault="009E5EA1" w:rsidP="00EE4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E4097" w14:textId="2B792074" w:rsidR="00EE49A9" w:rsidRDefault="00EE49A9">
    <w:pPr>
      <w:pStyle w:val="Header"/>
    </w:pPr>
    <w:r>
      <w:rPr>
        <w:noProof/>
      </w:rPr>
      <mc:AlternateContent>
        <mc:Choice Requires="wps">
          <w:drawing>
            <wp:anchor distT="0" distB="0" distL="0" distR="0" simplePos="0" relativeHeight="251659264" behindDoc="0" locked="0" layoutInCell="1" allowOverlap="1" wp14:anchorId="60DED084" wp14:editId="332CC4CF">
              <wp:simplePos x="635" y="635"/>
              <wp:positionH relativeFrom="page">
                <wp:align>center</wp:align>
              </wp:positionH>
              <wp:positionV relativeFrom="page">
                <wp:align>top</wp:align>
              </wp:positionV>
              <wp:extent cx="707390" cy="384810"/>
              <wp:effectExtent l="0" t="0" r="16510" b="15240"/>
              <wp:wrapNone/>
              <wp:docPr id="202051273" name="Text Box 2"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384810"/>
                      </a:xfrm>
                      <a:prstGeom prst="rect">
                        <a:avLst/>
                      </a:prstGeom>
                      <a:noFill/>
                      <a:ln>
                        <a:noFill/>
                      </a:ln>
                    </wps:spPr>
                    <wps:txbx>
                      <w:txbxContent>
                        <w:p w14:paraId="71A8B07A" w14:textId="6F872C28"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DED084" id="_x0000_t202" coordsize="21600,21600" o:spt="202" path="m,l,21600r21600,l21600,xe">
              <v:stroke joinstyle="miter"/>
              <v:path gradientshapeok="t" o:connecttype="rect"/>
            </v:shapetype>
            <v:shape id="Text Box 2" o:spid="_x0000_s1026" type="#_x0000_t202" alt="RESTRICTED" style="position:absolute;margin-left:0;margin-top:0;width:55.7pt;height:30.3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" filled="f" stroked="f">
              <v:fill o:detectmouseclick="t"/>
              <v:textbox style="mso-fit-shape-to-text:t" inset="0,15pt,0,0">
                <w:txbxContent>
                  <w:p w14:paraId="71A8B07A" w14:textId="6F872C28"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89D1" w14:textId="74F20CCB" w:rsidR="00EE49A9" w:rsidRDefault="00EE49A9">
    <w:pPr>
      <w:pStyle w:val="Header"/>
    </w:pPr>
    <w:r>
      <w:rPr>
        <w:noProof/>
      </w:rPr>
      <mc:AlternateContent>
        <mc:Choice Requires="wps">
          <w:drawing>
            <wp:anchor distT="0" distB="0" distL="0" distR="0" simplePos="0" relativeHeight="251660288" behindDoc="0" locked="0" layoutInCell="1" allowOverlap="1" wp14:anchorId="04E1B200" wp14:editId="0BDD5111">
              <wp:simplePos x="914400" y="449580"/>
              <wp:positionH relativeFrom="page">
                <wp:align>center</wp:align>
              </wp:positionH>
              <wp:positionV relativeFrom="page">
                <wp:align>top</wp:align>
              </wp:positionV>
              <wp:extent cx="707390" cy="384810"/>
              <wp:effectExtent l="0" t="0" r="16510" b="15240"/>
              <wp:wrapNone/>
              <wp:docPr id="799864296" name="Text Box 3"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384810"/>
                      </a:xfrm>
                      <a:prstGeom prst="rect">
                        <a:avLst/>
                      </a:prstGeom>
                      <a:noFill/>
                      <a:ln>
                        <a:noFill/>
                      </a:ln>
                    </wps:spPr>
                    <wps:txbx>
                      <w:txbxContent>
                        <w:p w14:paraId="1A4A03B8" w14:textId="247D7260"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E1B200" id="_x0000_t202" coordsize="21600,21600" o:spt="202" path="m,l,21600r21600,l21600,xe">
              <v:stroke joinstyle="miter"/>
              <v:path gradientshapeok="t" o:connecttype="rect"/>
            </v:shapetype>
            <v:shape id="Text Box 3" o:spid="_x0000_s1027" type="#_x0000_t202" alt="RESTRICTED" style="position:absolute;margin-left:0;margin-top:0;width:55.7pt;height:30.3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" filled="f" stroked="f">
              <v:fill o:detectmouseclick="t"/>
              <v:textbox style="mso-fit-shape-to-text:t" inset="0,15pt,0,0">
                <w:txbxContent>
                  <w:p w14:paraId="1A4A03B8" w14:textId="247D7260"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A34F" w14:textId="184E83C2" w:rsidR="00EE49A9" w:rsidRDefault="00EE49A9">
    <w:pPr>
      <w:pStyle w:val="Header"/>
    </w:pPr>
    <w:r>
      <w:rPr>
        <w:noProof/>
      </w:rPr>
      <mc:AlternateContent>
        <mc:Choice Requires="wps">
          <w:drawing>
            <wp:anchor distT="0" distB="0" distL="0" distR="0" simplePos="0" relativeHeight="251658240" behindDoc="0" locked="0" layoutInCell="1" allowOverlap="1" wp14:anchorId="1721578F" wp14:editId="6CA54BE0">
              <wp:simplePos x="635" y="635"/>
              <wp:positionH relativeFrom="page">
                <wp:align>center</wp:align>
              </wp:positionH>
              <wp:positionV relativeFrom="page">
                <wp:align>top</wp:align>
              </wp:positionV>
              <wp:extent cx="707390" cy="384810"/>
              <wp:effectExtent l="0" t="0" r="16510" b="15240"/>
              <wp:wrapNone/>
              <wp:docPr id="1564257931" name="Text Box 1"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384810"/>
                      </a:xfrm>
                      <a:prstGeom prst="rect">
                        <a:avLst/>
                      </a:prstGeom>
                      <a:noFill/>
                      <a:ln>
                        <a:noFill/>
                      </a:ln>
                    </wps:spPr>
                    <wps:txbx>
                      <w:txbxContent>
                        <w:p w14:paraId="7A181DD7" w14:textId="0A3DAB35"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21578F" id="_x0000_t202" coordsize="21600,21600" o:spt="202" path="m,l,21600r21600,l21600,xe">
              <v:stroke joinstyle="miter"/>
              <v:path gradientshapeok="t" o:connecttype="rect"/>
            </v:shapetype>
            <v:shape id="Text Box 1" o:spid="_x0000_s1030" type="#_x0000_t202" alt="RESTRICTED" style="position:absolute;margin-left:0;margin-top:0;width:55.7pt;height:30.3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" filled="f" stroked="f">
              <v:fill o:detectmouseclick="t"/>
              <v:textbox style="mso-fit-shape-to-text:t" inset="0,15pt,0,0">
                <w:txbxContent>
                  <w:p w14:paraId="7A181DD7" w14:textId="0A3DAB35" w:rsidR="00EE49A9" w:rsidRPr="00EE49A9" w:rsidRDefault="00EE49A9" w:rsidP="00EE49A9">
                    <w:pPr>
                      <w:spacing w:after="0"/>
                      <w:rPr>
                        <w:rFonts w:ascii="Myriad Pro" w:eastAsia="Myriad Pro" w:hAnsi="Myriad Pro" w:cs="Myriad Pro"/>
                        <w:noProof/>
                        <w:color w:val="FF0000"/>
                        <w:sz w:val="22"/>
                        <w:szCs w:val="22"/>
                      </w:rPr>
                    </w:pPr>
                    <w:r w:rsidRPr="00EE49A9">
                      <w:rPr>
                        <w:rFonts w:ascii="Myriad Pro" w:eastAsia="Myriad Pro" w:hAnsi="Myriad Pro" w:cs="Myriad Pro"/>
                        <w:noProof/>
                        <w:color w:val="FF0000"/>
                        <w:sz w:val="22"/>
                        <w:szCs w:val="22"/>
                      </w:rPr>
                      <w:t>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95A57"/>
    <w:multiLevelType w:val="multilevel"/>
    <w:tmpl w:val="0F62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4889822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A9"/>
    <w:rsid w:val="00645770"/>
    <w:rsid w:val="009D2A1A"/>
    <w:rsid w:val="009E5EA1"/>
    <w:rsid w:val="00D21234"/>
    <w:rsid w:val="00EC68F2"/>
    <w:rsid w:val="00EE49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CC4"/>
  <w15:chartTrackingRefBased/>
  <w15:docId w15:val="{C79CF148-CA2F-4C47-A8BA-F2DAA6A9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9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9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9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9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9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9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9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9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9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9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9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9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9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9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9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9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9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9A9"/>
    <w:rPr>
      <w:rFonts w:eastAsiaTheme="majorEastAsia" w:cstheme="majorBidi"/>
      <w:color w:val="272727" w:themeColor="text1" w:themeTint="D8"/>
    </w:rPr>
  </w:style>
  <w:style w:type="paragraph" w:styleId="Title">
    <w:name w:val="Title"/>
    <w:basedOn w:val="Normal"/>
    <w:next w:val="Normal"/>
    <w:link w:val="TitleChar"/>
    <w:uiPriority w:val="10"/>
    <w:qFormat/>
    <w:rsid w:val="00EE4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9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9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9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9A9"/>
    <w:pPr>
      <w:spacing w:before="160"/>
      <w:jc w:val="center"/>
    </w:pPr>
    <w:rPr>
      <w:i/>
      <w:iCs/>
      <w:color w:val="404040" w:themeColor="text1" w:themeTint="BF"/>
    </w:rPr>
  </w:style>
  <w:style w:type="character" w:customStyle="1" w:styleId="QuoteChar">
    <w:name w:val="Quote Char"/>
    <w:basedOn w:val="DefaultParagraphFont"/>
    <w:link w:val="Quote"/>
    <w:uiPriority w:val="29"/>
    <w:rsid w:val="00EE49A9"/>
    <w:rPr>
      <w:i/>
      <w:iCs/>
      <w:color w:val="404040" w:themeColor="text1" w:themeTint="BF"/>
    </w:rPr>
  </w:style>
  <w:style w:type="paragraph" w:styleId="ListParagraph">
    <w:name w:val="List Paragraph"/>
    <w:basedOn w:val="Normal"/>
    <w:uiPriority w:val="34"/>
    <w:qFormat/>
    <w:rsid w:val="00EE49A9"/>
    <w:pPr>
      <w:ind w:left="720"/>
      <w:contextualSpacing/>
    </w:pPr>
  </w:style>
  <w:style w:type="character" w:styleId="IntenseEmphasis">
    <w:name w:val="Intense Emphasis"/>
    <w:basedOn w:val="DefaultParagraphFont"/>
    <w:uiPriority w:val="21"/>
    <w:qFormat/>
    <w:rsid w:val="00EE49A9"/>
    <w:rPr>
      <w:i/>
      <w:iCs/>
      <w:color w:val="0F4761" w:themeColor="accent1" w:themeShade="BF"/>
    </w:rPr>
  </w:style>
  <w:style w:type="paragraph" w:styleId="IntenseQuote">
    <w:name w:val="Intense Quote"/>
    <w:basedOn w:val="Normal"/>
    <w:next w:val="Normal"/>
    <w:link w:val="IntenseQuoteChar"/>
    <w:uiPriority w:val="30"/>
    <w:qFormat/>
    <w:rsid w:val="00EE4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9A9"/>
    <w:rPr>
      <w:i/>
      <w:iCs/>
      <w:color w:val="0F4761" w:themeColor="accent1" w:themeShade="BF"/>
    </w:rPr>
  </w:style>
  <w:style w:type="character" w:styleId="IntenseReference">
    <w:name w:val="Intense Reference"/>
    <w:basedOn w:val="DefaultParagraphFont"/>
    <w:uiPriority w:val="32"/>
    <w:qFormat/>
    <w:rsid w:val="00EE49A9"/>
    <w:rPr>
      <w:b/>
      <w:bCs/>
      <w:smallCaps/>
      <w:color w:val="0F4761" w:themeColor="accent1" w:themeShade="BF"/>
      <w:spacing w:val="5"/>
    </w:rPr>
  </w:style>
  <w:style w:type="paragraph" w:styleId="Header">
    <w:name w:val="header"/>
    <w:basedOn w:val="Normal"/>
    <w:link w:val="HeaderChar"/>
    <w:uiPriority w:val="99"/>
    <w:unhideWhenUsed/>
    <w:rsid w:val="00EE49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9A9"/>
  </w:style>
  <w:style w:type="paragraph" w:styleId="Footer">
    <w:name w:val="footer"/>
    <w:basedOn w:val="Normal"/>
    <w:link w:val="FooterChar"/>
    <w:uiPriority w:val="99"/>
    <w:unhideWhenUsed/>
    <w:rsid w:val="00EE49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8b44bc0-e6b1-4d21-8011-d869d6833670}" enabled="1" method="Privileged" siteId="{af0d88c1-6605-44c2-999e-e6b2f8790d86}"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2381</Words>
  <Characters>13575</Characters>
  <Application>Microsoft Office Word</Application>
  <DocSecurity>0</DocSecurity>
  <Lines>113</Lines>
  <Paragraphs>31</Paragraphs>
  <ScaleCrop>false</ScaleCrop>
  <Company/>
  <LinksUpToDate>false</LinksUpToDate>
  <CharactersWithSpaces>15925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 Alexander</dc:creator>
  <cp:keywords/>
  <dc:description/>
  <cp:lastModifiedBy>NAGY, Alexander</cp:lastModifiedBy>
  <cp:revision>1</cp:revision>
  <dcterms:created xsi:type="dcterms:W3CDTF">2026-08-26T08:59:00Z</dcterms:created>
  <dcterms:modified xsi:type="dcterms:W3CDTF">2026-08-26T09:00:00Z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5d3cae8b,c0b0ec9,2facf5e8</vt:lpwstr>
  </property>
  <property fmtid="{D5CDD505-2E9C-101B-9397-08002B2CF9AE}" pid="3" name="ClassificationContentMarkingHeaderFontProps">
    <vt:lpwstr>#ff0000,11,Myriad Pro</vt:lpwstr>
  </property>
  <property fmtid="{D5CDD505-2E9C-101B-9397-08002B2CF9AE}" pid="4" name="ClassificationContentMarkingHeaderText">
    <vt:lpwstr>RESTRICTED</vt:lpwstr>
  </property>
  <property fmtid="{D5CDD505-2E9C-101B-9397-08002B2CF9AE}" pid="5" name="ClassificationContentMarkingFooterShapeIds">
    <vt:lpwstr>2cdbadb8,d28021d,2c84bd31</vt:lpwstr>
  </property>
  <property fmtid="{D5CDD505-2E9C-101B-9397-08002B2CF9AE}" pid="6" name="ClassificationContentMarkingFooterFontProps">
    <vt:lpwstr>#ff0000,11,Myriad Pro</vt:lpwstr>
  </property>
  <property fmtid="{D5CDD505-2E9C-101B-9397-08002B2CF9AE}" pid="7" name="ClassificationContentMarkingFooterText">
    <vt:lpwstr>RESTRICTED</vt:lpwstr>
  </property>
</Properties>
</file>