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E8B0" w14:textId="77777777" w:rsidR="00943A74" w:rsidRDefault="00000000">
      <w:pPr>
        <w:spacing w:after="60"/>
      </w:pPr>
      <w:r>
        <w:rPr>
          <w:b/>
          <w:color w:val="2E74B5"/>
          <w:sz w:val="22"/>
        </w:rPr>
        <w:t>SUBMISSION</w:t>
      </w:r>
    </w:p>
    <w:p w14:paraId="01178035" w14:textId="77777777" w:rsidR="00943A74" w:rsidRDefault="00000000">
      <w:pPr>
        <w:spacing w:after="80"/>
      </w:pPr>
      <w:r>
        <w:rPr>
          <w:b/>
          <w:color w:val="000000"/>
          <w:sz w:val="46"/>
        </w:rPr>
        <w:t>Review of Payments System Regulation</w:t>
      </w:r>
    </w:p>
    <w:p w14:paraId="7D9E23AD" w14:textId="77777777" w:rsidR="00943A74" w:rsidRDefault="00000000">
      <w:pPr>
        <w:spacing w:after="260"/>
      </w:pPr>
      <w:r>
        <w:rPr>
          <w:color w:val="5A626C"/>
          <w:sz w:val="26"/>
        </w:rPr>
        <w:t>A practical pathway for independent innovation in retail account-to-account payments</w:t>
      </w:r>
    </w:p>
    <w:p w14:paraId="36CBAD6B" w14:textId="77777777" w:rsidR="00943A74" w:rsidRDefault="00000000">
      <w:pPr>
        <w:spacing w:after="30"/>
      </w:pPr>
      <w:r>
        <w:rPr>
          <w:b/>
        </w:rPr>
        <w:t xml:space="preserve">Submitted by: </w:t>
      </w:r>
      <w:r>
        <w:t>Mobypay Pty Ltd</w:t>
      </w:r>
    </w:p>
    <w:p w14:paraId="3EC8B3C5" w14:textId="77777777" w:rsidR="00943A74" w:rsidRDefault="00000000">
      <w:pPr>
        <w:spacing w:after="30"/>
      </w:pPr>
      <w:r>
        <w:rPr>
          <w:b/>
        </w:rPr>
        <w:t xml:space="preserve">Contact: </w:t>
      </w:r>
      <w:r>
        <w:t>Matthew Byrne | mat@mobypay.com.au</w:t>
      </w:r>
    </w:p>
    <w:p w14:paraId="34A55480" w14:textId="77777777" w:rsidR="00943A74" w:rsidRDefault="00000000">
      <w:pPr>
        <w:spacing w:after="30"/>
      </w:pPr>
      <w:r>
        <w:rPr>
          <w:b/>
        </w:rPr>
        <w:t xml:space="preserve">Date: </w:t>
      </w:r>
      <w:r>
        <w:t>9 August 2026</w:t>
      </w:r>
    </w:p>
    <w:p w14:paraId="45A7745D" w14:textId="77777777" w:rsidR="00943A74" w:rsidRDefault="00000000">
      <w:pPr>
        <w:spacing w:after="30"/>
      </w:pPr>
      <w:r>
        <w:rPr>
          <w:b/>
        </w:rPr>
        <w:t xml:space="preserve">Status: </w:t>
      </w:r>
      <w:r>
        <w:t>Public submission - suitable for publication</w:t>
      </w:r>
    </w:p>
    <w:p w14:paraId="4427E0A9" w14:textId="77777777" w:rsidR="00943A74" w:rsidRDefault="00000000">
      <w:pPr>
        <w:spacing w:after="30"/>
      </w:pPr>
      <w:r>
        <w:rPr>
          <w:b/>
        </w:rPr>
        <w:t xml:space="preserve">Questions addressed: </w:t>
      </w:r>
      <w:r>
        <w:t>Questions 11, 12, 13, 14 and 19</w:t>
      </w:r>
    </w:p>
    <w:p w14:paraId="3867B06A" w14:textId="77777777" w:rsidR="00943A74" w:rsidRDefault="00000000">
      <w:pPr>
        <w:pStyle w:val="Heading1"/>
      </w:pPr>
      <w:r>
        <w:t>Executive summary</w:t>
      </w:r>
    </w:p>
    <w:p w14:paraId="7CE7ACA5" w14:textId="77777777" w:rsidR="00943A74" w:rsidRDefault="00000000">
      <w:pPr>
        <w:keepLines/>
      </w:pPr>
      <w:r>
        <w:t>Australia's payments system cannot realise the full competitive benefit of independent innovation unless credible entrants have a practical means of testing new propositions. The central barrier is access: an innovator may depend on incumbent institutions for payment infrastructure and on international technology platforms for mobile-device or wallet capabilities. Formal availability is insufficient where access is commercially unworkable, requires disclosure to a potential competitor, or leaves the entrant permanently dependent on the organisation providing it. Regulation should ensure that qualifying innovators can obtain protected, proportionate and competitively neutral access to the capabilities necessary for controlled testing.</w:t>
      </w:r>
    </w:p>
    <w:p w14:paraId="5ED7237C" w14:textId="77777777" w:rsidR="00943A74" w:rsidRDefault="00000000">
      <w:pPr>
        <w:keepLines/>
      </w:pPr>
      <w:r>
        <w:t>Access to a necessary capability should not require adoption of an incumbent's entire infrastructure or surrender of control over the entrant's proposition. Wherever practicable, customer authorisation, payment execution, messaging, confirmation, mobile-device interaction and merchant acceptance should be treated as separable capabilities capable of supporting more than one qualifying payment arrangement. An entrant may require a sponsor, but its continued approved access should not be inseparably tied to that sponsor. Similarly, a mobile operating-system or wallet provider should not be able to prevent or render uneconomic an otherwise lawful payment method merely because a phone interaction facilitates the payment.</w:t>
      </w:r>
    </w:p>
    <w:p w14:paraId="7E793B76" w14:textId="77777777" w:rsidR="00943A74" w:rsidRDefault="00000000">
      <w:pPr>
        <w:keepLines/>
      </w:pPr>
      <w:r>
        <w:t>PayTo illustrates the distinction between interoperability within an incumbent infrastructure and interoperability that enables competition. Banks have implemented valuable functionality through which customers can authorise and manage payment mandates in their banking applications, but that functionality was implemented as part of an NPP-specific service rather than as an open authorisation standard. Australia has consequently missed an opportunity to create a customer-controlled authorisation layer capable of supporting multiple qualifying payment arrangements, including alternatives to recurring and merchant-initiated scheme card payments. The RBA should investigate whether common standards for customer authorities, portability and merchant acceptance could allow these capabilities to be used across competing payment arrangements without requiring access to an incumbent's complete solution.</w:t>
      </w:r>
    </w:p>
    <w:p w14:paraId="0BEB21E5" w14:textId="77777777" w:rsidR="00943A74" w:rsidRDefault="00000000">
      <w:pPr>
        <w:keepLines/>
      </w:pPr>
      <w:r>
        <w:t>Mobypay does not ask the RBA to endorse a particular commercial proposition, compel participants to accept unmanaged risk or prescribe a single technical model. It asks the RBA to consider whether independent innovators have a genuine route to controlled testing and whether access to essential payment capabilities is sufficiently open, protected and interoperable to permit competition beyond existing infrastructures. Where those conditions are absent, proportionate regulatory intervention may be necessary to ensure that standards and infrastructure support innovation rather than reinforce incumbency.</w:t>
      </w:r>
    </w:p>
    <w:p w14:paraId="568003C4" w14:textId="77777777" w:rsidR="00943A74" w:rsidRDefault="00000000">
      <w:pPr>
        <w:pStyle w:val="Heading2"/>
      </w:pPr>
      <w:r>
        <w:lastRenderedPageBreak/>
        <w:t>Requested priority</w:t>
      </w:r>
    </w:p>
    <w:p w14:paraId="081D4B2D" w14:textId="77777777" w:rsidR="00943A74" w:rsidRDefault="00000000">
      <w:pPr>
        <w:keepLines/>
      </w:pPr>
      <w:r>
        <w:t>Mobypay asks the RBA to investigate and, using its formal powers where appropriate and its convening, standards, policy and coordination roles where those are better suited, develop a neutral pilot-access pathway available to qualifying independent payment innovators. The pathway should distinguish access that exists in principle from access that is timely, commercially viable and capable of preserving an entrant's independence.</w:t>
      </w:r>
    </w:p>
    <w:p w14:paraId="66D9B012" w14:textId="77777777" w:rsidR="00943A74" w:rsidRDefault="00000000">
      <w:pPr>
        <w:pStyle w:val="Heading1"/>
      </w:pPr>
      <w:r>
        <w:t>1. Context and continuity with the A2A Payments Vision</w:t>
      </w:r>
    </w:p>
    <w:p w14:paraId="4844A19E" w14:textId="77777777" w:rsidR="00943A74" w:rsidRDefault="00000000">
      <w:pPr>
        <w:keepLines/>
      </w:pPr>
      <w:r>
        <w:t>Mobypay made a submission dated 21 May 2026 to the public consultation on the draft vision for A2A payments in Australia. That submission raised the importance of open and contestable infrastructure access, transparent and proportionate participation requirements, independent and representative governance, standardised interfaces, separation of payment functions, and support for competing payment models.</w:t>
      </w:r>
    </w:p>
    <w:p w14:paraId="0BF906A3" w14:textId="77777777" w:rsidR="00943A74" w:rsidRDefault="00000000">
      <w:pPr>
        <w:keepLines/>
      </w:pPr>
      <w:r>
        <w:t>One proposition remains central:</w:t>
      </w:r>
    </w:p>
    <w:tbl>
      <w:tblPr>
        <w:tblStyle w:val="TableGrid"/>
        <w:tblW w:w="9360" w:type="dxa"/>
        <w:tblInd w:w="120" w:type="dxa"/>
        <w:tblLayout w:type="fixed"/>
        <w:tblLook w:val="04A0" w:firstRow="1" w:lastRow="0" w:firstColumn="1" w:lastColumn="0" w:noHBand="0" w:noVBand="1"/>
      </w:tblPr>
      <w:tblGrid>
        <w:gridCol w:w="9360"/>
      </w:tblGrid>
      <w:tr w:rsidR="00943A74" w14:paraId="37CA2645" w14:textId="77777777">
        <w:tc>
          <w:tcPr>
            <w:tcW w:w="9360" w:type="dxa"/>
            <w:shd w:val="clear" w:color="auto" w:fill="F4F6F9"/>
            <w:tcMar>
              <w:top w:w="80" w:type="dxa"/>
              <w:left w:w="120" w:type="dxa"/>
              <w:bottom w:w="80" w:type="dxa"/>
              <w:right w:w="120" w:type="dxa"/>
            </w:tcMar>
            <w:vAlign w:val="center"/>
          </w:tcPr>
          <w:p w14:paraId="6B8065B1" w14:textId="77777777" w:rsidR="00943A74" w:rsidRDefault="00000000">
            <w:r>
              <w:rPr>
                <w:i/>
              </w:rPr>
              <w:t>“Technically advanced infrastructure alone does not guarantee practical innovation outcomes. Governance processes, onboarding requirements and ecosystem coordination costs materially affect whether independent innovators can participate effectively.”</w:t>
            </w:r>
          </w:p>
        </w:tc>
      </w:tr>
    </w:tbl>
    <w:p w14:paraId="612AFF5A" w14:textId="77777777" w:rsidR="00943A74" w:rsidRDefault="00000000">
      <w:pPr>
        <w:pStyle w:val="SourceNote"/>
        <w:keepLines/>
      </w:pPr>
      <w:r>
        <w:t>Mobypay Pty Ltd, submission on the draft A2A Payments Vision, 21 May 2026.</w:t>
      </w:r>
    </w:p>
    <w:p w14:paraId="49931B2D" w14:textId="77777777" w:rsidR="00943A74" w:rsidRDefault="00000000">
      <w:pPr>
        <w:keepLines/>
      </w:pPr>
      <w:r>
        <w:t>The July 2026 consultation summary records a recurring concern across submissions that existing access and governance settings may unintentionally preserve incumbent advantages. It says the final Vision was strengthened to emphasise proportionate, risk-based participation; transparent and efficient eligibility and onboarding; streamlined integration and connectivity; and adequate representation in governance. The final Vision adopts those principles and states that unnecessary barriers, prohibitive entry costs and entrenched advantages for any class of participant are to be avoided. [2][3]</w:t>
      </w:r>
    </w:p>
    <w:p w14:paraId="2B867460" w14:textId="77777777" w:rsidR="00943A74" w:rsidRDefault="00000000">
      <w:pPr>
        <w:pStyle w:val="Heading1"/>
      </w:pPr>
      <w:r>
        <w:t>2. The practical access problem</w:t>
      </w:r>
    </w:p>
    <w:p w14:paraId="602B5759" w14:textId="77777777" w:rsidR="00943A74" w:rsidRDefault="00000000">
      <w:pPr>
        <w:keepLines/>
      </w:pPr>
      <w:r>
        <w:t>A payment innovation can be technically plausible yet commercially untestable. In retail A2A payments, a proponent may depend on some combination of customer authentication, bank messaging or payment initiation capabilities, merchant checkout integration, transaction confirmation, and agreed operational and liability arrangements. These capabilities are dispersed across organisations that have legitimate security, operational, commercial and regulatory concerns. Some may also supply competing or adjacent payment services.</w:t>
      </w:r>
    </w:p>
    <w:p w14:paraId="79C2CE51" w14:textId="77777777" w:rsidR="00943A74" w:rsidRDefault="00000000">
      <w:pPr>
        <w:keepLines/>
      </w:pPr>
      <w:r>
        <w:t>The problem is not resolved merely by the theoretical availability of access. Four different conditions should be distinguished:</w:t>
      </w:r>
    </w:p>
    <w:tbl>
      <w:tblPr>
        <w:tblStyle w:val="TableGrid"/>
        <w:tblW w:w="9360" w:type="dxa"/>
        <w:tblInd w:w="120" w:type="dxa"/>
        <w:tblLayout w:type="fixed"/>
        <w:tblLook w:val="04A0" w:firstRow="1" w:lastRow="0" w:firstColumn="1" w:lastColumn="0" w:noHBand="0" w:noVBand="1"/>
      </w:tblPr>
      <w:tblGrid>
        <w:gridCol w:w="2650"/>
        <w:gridCol w:w="6710"/>
      </w:tblGrid>
      <w:tr w:rsidR="00943A74" w14:paraId="757EBBF9" w14:textId="77777777">
        <w:trPr>
          <w:tblHeader/>
        </w:trPr>
        <w:tc>
          <w:tcPr>
            <w:tcW w:w="2650" w:type="dxa"/>
            <w:shd w:val="clear" w:color="auto" w:fill="F2F4F7"/>
            <w:tcMar>
              <w:top w:w="80" w:type="dxa"/>
              <w:left w:w="120" w:type="dxa"/>
              <w:bottom w:w="80" w:type="dxa"/>
              <w:right w:w="120" w:type="dxa"/>
            </w:tcMar>
            <w:vAlign w:val="center"/>
          </w:tcPr>
          <w:p w14:paraId="4171E33A" w14:textId="77777777" w:rsidR="00943A74" w:rsidRDefault="00000000">
            <w:r>
              <w:rPr>
                <w:b/>
              </w:rPr>
              <w:t>Access condition</w:t>
            </w:r>
          </w:p>
        </w:tc>
        <w:tc>
          <w:tcPr>
            <w:tcW w:w="6710" w:type="dxa"/>
            <w:shd w:val="clear" w:color="auto" w:fill="F2F4F7"/>
            <w:tcMar>
              <w:top w:w="80" w:type="dxa"/>
              <w:left w:w="120" w:type="dxa"/>
              <w:bottom w:w="80" w:type="dxa"/>
              <w:right w:w="120" w:type="dxa"/>
            </w:tcMar>
            <w:vAlign w:val="center"/>
          </w:tcPr>
          <w:p w14:paraId="4926EDD4" w14:textId="77777777" w:rsidR="00943A74" w:rsidRDefault="00000000">
            <w:r>
              <w:rPr>
                <w:b/>
              </w:rPr>
              <w:t>Practical test</w:t>
            </w:r>
          </w:p>
        </w:tc>
      </w:tr>
      <w:tr w:rsidR="00943A74" w14:paraId="243305E7" w14:textId="77777777">
        <w:tc>
          <w:tcPr>
            <w:tcW w:w="2650" w:type="dxa"/>
            <w:tcMar>
              <w:top w:w="80" w:type="dxa"/>
              <w:left w:w="120" w:type="dxa"/>
              <w:bottom w:w="80" w:type="dxa"/>
              <w:right w:w="120" w:type="dxa"/>
            </w:tcMar>
            <w:vAlign w:val="center"/>
          </w:tcPr>
          <w:p w14:paraId="19FE371F" w14:textId="77777777" w:rsidR="00943A74" w:rsidRDefault="00000000">
            <w:r>
              <w:t>Formally available</w:t>
            </w:r>
          </w:p>
        </w:tc>
        <w:tc>
          <w:tcPr>
            <w:tcW w:w="6710" w:type="dxa"/>
            <w:tcMar>
              <w:top w:w="80" w:type="dxa"/>
              <w:left w:w="120" w:type="dxa"/>
              <w:bottom w:w="80" w:type="dxa"/>
              <w:right w:w="120" w:type="dxa"/>
            </w:tcMar>
            <w:vAlign w:val="center"/>
          </w:tcPr>
          <w:p w14:paraId="489556E2" w14:textId="77777777" w:rsidR="00943A74" w:rsidRDefault="00000000">
            <w:r>
              <w:t>A rule, product or contact channel exists through which access may be requested.</w:t>
            </w:r>
          </w:p>
        </w:tc>
      </w:tr>
      <w:tr w:rsidR="00943A74" w14:paraId="1B720C80" w14:textId="77777777">
        <w:tc>
          <w:tcPr>
            <w:tcW w:w="2650" w:type="dxa"/>
            <w:tcMar>
              <w:top w:w="80" w:type="dxa"/>
              <w:left w:w="120" w:type="dxa"/>
              <w:bottom w:w="80" w:type="dxa"/>
              <w:right w:w="120" w:type="dxa"/>
            </w:tcMar>
            <w:vAlign w:val="center"/>
          </w:tcPr>
          <w:p w14:paraId="547634AD" w14:textId="77777777" w:rsidR="00943A74" w:rsidRDefault="00000000">
            <w:r>
              <w:t>Commercially viable</w:t>
            </w:r>
          </w:p>
        </w:tc>
        <w:tc>
          <w:tcPr>
            <w:tcW w:w="6710" w:type="dxa"/>
            <w:tcMar>
              <w:top w:w="80" w:type="dxa"/>
              <w:left w:w="120" w:type="dxa"/>
              <w:bottom w:w="80" w:type="dxa"/>
              <w:right w:w="120" w:type="dxa"/>
            </w:tcMar>
            <w:vAlign w:val="center"/>
          </w:tcPr>
          <w:p w14:paraId="55CFAECF" w14:textId="77777777" w:rsidR="00943A74" w:rsidRDefault="00000000">
            <w:r>
              <w:t>Pricing, implementation cost, service levels and timing permit a realistic pilot and route to scale.</w:t>
            </w:r>
          </w:p>
        </w:tc>
      </w:tr>
      <w:tr w:rsidR="00943A74" w14:paraId="5719BDAE" w14:textId="77777777">
        <w:tc>
          <w:tcPr>
            <w:tcW w:w="2650" w:type="dxa"/>
            <w:tcMar>
              <w:top w:w="80" w:type="dxa"/>
              <w:left w:w="120" w:type="dxa"/>
              <w:bottom w:w="80" w:type="dxa"/>
              <w:right w:w="120" w:type="dxa"/>
            </w:tcMar>
            <w:vAlign w:val="center"/>
          </w:tcPr>
          <w:p w14:paraId="0156410D" w14:textId="77777777" w:rsidR="00943A74" w:rsidRDefault="00000000">
            <w:r>
              <w:t>Independence-preserving</w:t>
            </w:r>
          </w:p>
        </w:tc>
        <w:tc>
          <w:tcPr>
            <w:tcW w:w="6710" w:type="dxa"/>
            <w:tcMar>
              <w:top w:w="80" w:type="dxa"/>
              <w:left w:w="120" w:type="dxa"/>
              <w:bottom w:w="80" w:type="dxa"/>
              <w:right w:w="120" w:type="dxa"/>
            </w:tcMar>
            <w:vAlign w:val="center"/>
          </w:tcPr>
          <w:p w14:paraId="650A4C30" w14:textId="77777777" w:rsidR="00943A74" w:rsidRDefault="00000000">
            <w:r>
              <w:t xml:space="preserve">The entrant can obtain access to necessary capabilities without surrendering control of its proposition or tying its continued approved access to a particular competing sponsor. A change of sponsor may require proportionate assessment of sponsor-specific risks and arrangements, but </w:t>
            </w:r>
            <w:r>
              <w:lastRenderedPageBreak/>
              <w:t>should not require the entrant to repeat the entire approval process.</w:t>
            </w:r>
          </w:p>
        </w:tc>
      </w:tr>
      <w:tr w:rsidR="00943A74" w14:paraId="0A18EDE4" w14:textId="77777777">
        <w:tc>
          <w:tcPr>
            <w:tcW w:w="2650" w:type="dxa"/>
            <w:tcMar>
              <w:top w:w="80" w:type="dxa"/>
              <w:left w:w="120" w:type="dxa"/>
              <w:bottom w:w="80" w:type="dxa"/>
              <w:right w:w="120" w:type="dxa"/>
            </w:tcMar>
            <w:vAlign w:val="center"/>
          </w:tcPr>
          <w:p w14:paraId="118EA543" w14:textId="77777777" w:rsidR="00943A74" w:rsidRDefault="00000000">
            <w:r>
              <w:lastRenderedPageBreak/>
              <w:t>Genuinely contestable</w:t>
            </w:r>
          </w:p>
        </w:tc>
        <w:tc>
          <w:tcPr>
            <w:tcW w:w="6710" w:type="dxa"/>
            <w:tcMar>
              <w:top w:w="80" w:type="dxa"/>
              <w:left w:w="120" w:type="dxa"/>
              <w:bottom w:w="80" w:type="dxa"/>
              <w:right w:w="120" w:type="dxa"/>
            </w:tcMar>
            <w:vAlign w:val="center"/>
          </w:tcPr>
          <w:p w14:paraId="2866C825" w14:textId="77777777" w:rsidR="00943A74" w:rsidRDefault="00000000">
            <w:r>
              <w:t>Criteria are objective, decisions are timely, refusals are reasoned, and confidential information is protected against unrelated use.</w:t>
            </w:r>
          </w:p>
        </w:tc>
      </w:tr>
    </w:tbl>
    <w:p w14:paraId="796AEB03" w14:textId="77777777" w:rsidR="00943A74" w:rsidRDefault="00000000">
      <w:pPr>
        <w:keepLines/>
      </w:pPr>
      <w:r>
        <w:t>A nominal process that requires an entrant to disclose its full proposal to potential incumbents, without an enforceable evaluation framework or route to market, is not equivalent to contestable access.</w:t>
      </w:r>
    </w:p>
    <w:p w14:paraId="15C6D238" w14:textId="77777777" w:rsidR="00943A74" w:rsidRDefault="00000000">
      <w:pPr>
        <w:keepLines/>
      </w:pPr>
      <w:r>
        <w:t>This is a structural concern, not an allegation about the conduct of any named organisation. A bank or merchant may reasonably decline a proposition because of risk, cost, timing or strategic priorities. The policy concern arises when the combined market structure means that no independent proposition can be assessed without sequential disclosure to organisations whose cooperation is essential and whose incentives may not align with enabling a new payment competitor.</w:t>
      </w:r>
    </w:p>
    <w:p w14:paraId="077B7933" w14:textId="77777777" w:rsidR="00943A74" w:rsidRDefault="00000000">
      <w:pPr>
        <w:pStyle w:val="Heading1"/>
      </w:pPr>
      <w:r>
        <w:t>3. A concrete retail A2A use case</w:t>
      </w:r>
    </w:p>
    <w:p w14:paraId="26E55E9D" w14:textId="77777777" w:rsidR="00943A74" w:rsidRDefault="00000000">
      <w:pPr>
        <w:keepLines/>
      </w:pPr>
      <w:r>
        <w:t>Mobypay is examining an in-person retail payment arrangement intended to enable competition with card payments. The following description is deliberately limited to the functional outcome required to identify the regulatory issue:</w:t>
      </w:r>
    </w:p>
    <w:p w14:paraId="486B72A5" w14:textId="77777777" w:rsidR="00943A74" w:rsidRDefault="00000000">
      <w:pPr>
        <w:pStyle w:val="ListBullet"/>
        <w:keepLines/>
      </w:pPr>
      <w:r>
        <w:t>A retail customer identifies themselves at a participating checkout.</w:t>
      </w:r>
    </w:p>
    <w:p w14:paraId="5D19F3F7" w14:textId="77777777" w:rsidR="00943A74" w:rsidRDefault="00000000">
      <w:pPr>
        <w:pStyle w:val="ListBullet"/>
        <w:keepLines/>
      </w:pPr>
      <w:r>
        <w:t>The checkout initiates a transaction-specific payment.</w:t>
      </w:r>
    </w:p>
    <w:p w14:paraId="47B12445" w14:textId="77777777" w:rsidR="00943A74" w:rsidRDefault="00000000">
      <w:pPr>
        <w:pStyle w:val="ListBullet"/>
        <w:keepLines/>
      </w:pPr>
      <w:r>
        <w:t>The customer approves the payment on their phone.</w:t>
      </w:r>
    </w:p>
    <w:p w14:paraId="71C9473A" w14:textId="77777777" w:rsidR="00943A74" w:rsidRDefault="00000000">
      <w:pPr>
        <w:pStyle w:val="ListBullet"/>
        <w:keepLines/>
      </w:pPr>
      <w:r>
        <w:t>Payment is made from the customer's bank account.</w:t>
      </w:r>
    </w:p>
    <w:p w14:paraId="51BE65F1" w14:textId="77777777" w:rsidR="00943A74" w:rsidRDefault="00000000">
      <w:pPr>
        <w:pStyle w:val="ListBullet"/>
        <w:keepLines/>
      </w:pPr>
      <w:r>
        <w:t>The checkout receives confirmation of payment.</w:t>
      </w:r>
    </w:p>
    <w:p w14:paraId="1059C1B8" w14:textId="77777777" w:rsidR="00943A74" w:rsidRDefault="00000000">
      <w:pPr>
        <w:keepLines/>
      </w:pPr>
      <w:r>
        <w:t>If workable, such an arrangement could lower merchant acceptance costs, provide the customer with clear control over a specific transaction, and create direct competition for existing card payments. Those outcomes are hypotheses for controlled testing, not claims established by this submission.</w:t>
      </w:r>
    </w:p>
    <w:p w14:paraId="5E696A49" w14:textId="77777777" w:rsidR="00943A74" w:rsidRDefault="00000000">
      <w:pPr>
        <w:keepLines/>
      </w:pPr>
      <w:r>
        <w:t>The unresolved issue is the pathway to test them. A proponent cannot validate customer experience, bank response, checkout timing, fraud controls, operational resilience, reconciliation, liability or economics solely in a private laboratory. It needs bounded cooperation from at least a bank and merchant, together with objective safeguards for all participants.</w:t>
      </w:r>
    </w:p>
    <w:p w14:paraId="0D1F6670" w14:textId="77777777" w:rsidR="00943A74" w:rsidRDefault="00000000">
      <w:pPr>
        <w:pStyle w:val="Heading1"/>
      </w:pPr>
      <w:r>
        <w:t>4. Responses to the Issues Paper</w:t>
      </w:r>
    </w:p>
    <w:p w14:paraId="08A98A18" w14:textId="77777777" w:rsidR="00943A74" w:rsidRDefault="00000000">
      <w:pPr>
        <w:pStyle w:val="Heading2"/>
      </w:pPr>
      <w:r>
        <w:t>Questions 11 and 12 - A2A access and regulatory action</w:t>
      </w:r>
    </w:p>
    <w:p w14:paraId="6B235F0F" w14:textId="77777777" w:rsidR="00943A74" w:rsidRDefault="00000000">
      <w:pPr>
        <w:keepLines/>
      </w:pPr>
      <w:r>
        <w:rPr>
          <w:b/>
        </w:rPr>
        <w:t>Question 11</w:t>
      </w:r>
    </w:p>
    <w:p w14:paraId="47029FF6" w14:textId="77777777" w:rsidR="00943A74" w:rsidRDefault="00000000">
      <w:pPr>
        <w:keepLines/>
      </w:pPr>
      <w:r>
        <w:t>The principal challenge for an independent payment innovator is obtaining practical access to the capabilities needed to test a new service. A credible retail proposition may require participation by an established institution for customer authentication, payment execution, messaging, confirmation or access to payment infrastructure. Formal eligibility to request access does not resolve the problem if the entrant must first secure an incumbent sponsor, disclose its proposition to that sponsor and remain dependent on it to retain access.</w:t>
      </w:r>
    </w:p>
    <w:p w14:paraId="4ABF6E38" w14:textId="77777777" w:rsidR="00943A74" w:rsidRDefault="00000000">
      <w:pPr>
        <w:keepLines/>
      </w:pPr>
      <w:r>
        <w:lastRenderedPageBreak/>
        <w:t>The concentration of essential capabilities can therefore create a single-gateway problem. Incumbents can develop and test innovations using infrastructure and approvals they already control, while an independent entrant may be unable to conduct even a limited pilot without the assistance of an organisation operating in a competing or adjacent market. This creates a structural deterrent to investment and disclosure regardless of whether any incumbent acts improperly.</w:t>
      </w:r>
    </w:p>
    <w:p w14:paraId="2CF4299F" w14:textId="77777777" w:rsidR="00943A74" w:rsidRDefault="00000000">
      <w:pPr>
        <w:keepLines/>
      </w:pPr>
      <w:r>
        <w:t>International interoperability remains important, but alignment with international standards should provide a common foundation for Australian payment services rather than limit domestic innovation to implementations determined by existing international networks. Australian innovators should remain able to develop new services above or alongside those standards where safety and interoperability are preserved.</w:t>
      </w:r>
    </w:p>
    <w:p w14:paraId="2DED72FC" w14:textId="77777777" w:rsidR="00943A74" w:rsidRDefault="00000000">
      <w:pPr>
        <w:keepLines/>
      </w:pPr>
      <w:r>
        <w:rPr>
          <w:b/>
        </w:rPr>
        <w:t>Question 12</w:t>
      </w:r>
    </w:p>
    <w:p w14:paraId="0960E632" w14:textId="77777777" w:rsidR="00943A74" w:rsidRDefault="00000000">
      <w:pPr>
        <w:keepLines/>
      </w:pPr>
      <w:r>
        <w:t>Yes. The RBA should investigate a neutral pathway through which a qualifying independent innovator can obtain access to the capabilities required for a controlled pilot. The pathway should provide objective eligibility criteria, proportionate risk assessment, defined response periods, transparent pilot pricing, written reasons for refusal and regulatory oversight or escalation where necessary.</w:t>
      </w:r>
    </w:p>
    <w:p w14:paraId="656BCBED" w14:textId="77777777" w:rsidR="00943A74" w:rsidRDefault="00000000">
      <w:pPr>
        <w:keepLines/>
      </w:pPr>
      <w:r>
        <w:t>An innovator could initially use a participating sponsor, but its approval and future access should not be inseparably tied to that sponsor. Changing sponsors should require assessment only of the risks and arrangements affected by the change, rather than repetition of the entire approval process.</w:t>
      </w:r>
    </w:p>
    <w:p w14:paraId="737B330A" w14:textId="77777777" w:rsidR="00943A74" w:rsidRDefault="00000000">
      <w:pPr>
        <w:keepLines/>
      </w:pPr>
      <w:r>
        <w:t>The pathway must also protect information that an entrant is required to disclose. At minimum, this should include enforceable confidentiality and purpose limitations, access controls, separation of personnel where appropriate, and prohibitions on using disclosed information outside assessment or operation of the pilot. The RBA should consider whether its existing standards and access powers are sufficient and, if not, recommend legislative protections and penalties.</w:t>
      </w:r>
    </w:p>
    <w:p w14:paraId="5861EEB5" w14:textId="77777777" w:rsidR="00943A74" w:rsidRDefault="00000000">
      <w:pPr>
        <w:pStyle w:val="Heading2"/>
      </w:pPr>
      <w:r>
        <w:t>Question 13 - In-person A2A payments</w:t>
      </w:r>
    </w:p>
    <w:p w14:paraId="400F7B22" w14:textId="77777777" w:rsidR="00943A74" w:rsidRDefault="00000000">
      <w:pPr>
        <w:keepLines/>
      </w:pPr>
      <w:r>
        <w:t>Mobile devices and digital wallets could enable A2A payments to compete more directly with card payments. However, an innovator may depend upon operating-system and mobile-wallet providers for access to device capabilities, application distribution, customer interaction and contactless functionality. Access may be technically available but still subject to approval criteria, commercial terms, fees or restrictions determined by a platform provider that also supplies a competing wallet or payment interface.</w:t>
      </w:r>
    </w:p>
    <w:p w14:paraId="2CF397FA" w14:textId="77777777" w:rsidR="00943A74" w:rsidRDefault="00000000">
      <w:pPr>
        <w:keepLines/>
      </w:pPr>
      <w:r>
        <w:t>These dependencies can present a material barrier to entry. A payment method should not be excluded, disadvantaged or made commercially unviable merely because it uses a mobile device to identify the customer, obtain approval or facilitate completion of a retail payment. Appropriate security, privacy and technical requirements are necessary, but they should be objective, proportionate and applied on competitively neutral terms.</w:t>
      </w:r>
    </w:p>
    <w:p w14:paraId="181A1662" w14:textId="77777777" w:rsidR="00943A74" w:rsidRDefault="00000000">
      <w:pPr>
        <w:keepLines/>
      </w:pPr>
      <w:r>
        <w:t>The RBA should investigate whether providers of mobile operating systems and wallets can prevent or materially disadvantage otherwise lawful and appropriately regulated payment methods. This should include whether access to necessary device capabilities is available on transparent, non-discriminatory and commercially reasonable terms, and whether platform fees are related to capabilities actually supplied rather than imposed merely because a device interaction facilitates a payment.</w:t>
      </w:r>
    </w:p>
    <w:p w14:paraId="3BD968CC" w14:textId="77777777" w:rsidR="00943A74" w:rsidRDefault="00000000">
      <w:pPr>
        <w:keepLines/>
      </w:pPr>
      <w:r>
        <w:t>Where matters extend beyond the RBA's existing powers, the RBA should work with the ACCC and Treasury or recommend appropriate legislative action. The objective should not be to mandate a particular technology, but to ensure that control of mobile platforms does not become a private barrier to competition between payment methods.</w:t>
      </w:r>
    </w:p>
    <w:p w14:paraId="1E96209F" w14:textId="77777777" w:rsidR="00943A74" w:rsidRDefault="00000000">
      <w:pPr>
        <w:pStyle w:val="Heading2"/>
      </w:pPr>
      <w:r>
        <w:lastRenderedPageBreak/>
        <w:t>Question 14 - Standardisation and interoperability</w:t>
      </w:r>
    </w:p>
    <w:p w14:paraId="006E2452" w14:textId="77777777" w:rsidR="00943A74" w:rsidRDefault="00000000">
      <w:pPr>
        <w:keepLines/>
      </w:pPr>
      <w:r>
        <w:t>The RBA should promote interoperability by distinguishing customer payment authorisation from the infrastructure through which an authorised payment is executed. Standardisation confined within one scheme may improve that scheme, but it does not necessarily promote competition between payment methods or infrastructures.</w:t>
      </w:r>
    </w:p>
    <w:p w14:paraId="1C7405E1" w14:textId="77777777" w:rsidR="00943A74" w:rsidRDefault="00000000">
      <w:pPr>
        <w:keepLines/>
      </w:pPr>
      <w:r>
        <w:t>Many businesses currently collect recurring or merchant-initiated payments from retail customers using scheme card arrangements. Those arrangements are commercially important, but they do not ordinarily provide customers with a consistent, bank-based facility through which they can view, manage and withdraw their payment authorities across merchants and payment providers. Card replacement and changes of provider can also create avoidable disruption for businesses and customers.</w:t>
      </w:r>
    </w:p>
    <w:p w14:paraId="2A124309" w14:textId="77777777" w:rsidR="00943A74" w:rsidRDefault="00000000">
      <w:pPr>
        <w:keepLines/>
      </w:pPr>
      <w:r>
        <w:t>PayTo presented an opportunity to establish a more transparent and customer-controlled model. Banks have implemented functionality through which customers can authorise and manage PayTo mandates in their banking applications. However, PayTo was implemented, with strong regulatory support, as an NPP-specific service rather than as an open authorisation standard capable of supporting multiple qualifying payment methods.</w:t>
      </w:r>
    </w:p>
    <w:p w14:paraId="19A27B63" w14:textId="77777777" w:rsidR="00943A74" w:rsidRDefault="00000000">
      <w:pPr>
        <w:keepLines/>
      </w:pPr>
      <w:r>
        <w:t>Consequently, businesses seeking an alternative to scheme card debits must adopt the associated NPP infrastructure and commercial arrangements if they wish to use that bank-based mandate capability. An innovator cannot combine an equivalent customer-controlled bank authorisation with another safe and appropriately regulated method of executing payment. This limits competition and prevents the functionality already developed by banks from delivering its full potential benefit to businesses and their retail customers.</w:t>
      </w:r>
    </w:p>
    <w:p w14:paraId="09644F43" w14:textId="77777777" w:rsidR="00943A74" w:rsidRDefault="00000000">
      <w:pPr>
        <w:keepLines/>
      </w:pPr>
      <w:r>
        <w:t>The RBA should therefore investigate the establishment of an open and interoperable standard for customer payment authorities. Under that standard, a customer should be able to create, view, manage and withdraw an authority through a trusted banking interface, while permitting payments under that authority to be executed through any qualifying payment arrangement that satisfies the applicable security, consent, messaging and liability requirements.</w:t>
      </w:r>
    </w:p>
    <w:p w14:paraId="68416157" w14:textId="77777777" w:rsidR="00943A74" w:rsidRDefault="00000000">
      <w:pPr>
        <w:keepLines/>
      </w:pPr>
      <w:r>
        <w:t>This would not require proprietary PayTo infrastructure to be made freely available, nor would it require every payment arrangement to use the same register. It would require common standards for authority information, customer consent, status messages, revocation, portability and assurance. Competing providers could then implement compatible mandate services without being compelled to use one infrastructure operator's complete payment solution.</w:t>
      </w:r>
    </w:p>
    <w:p w14:paraId="2F403E4E" w14:textId="77777777" w:rsidR="00943A74" w:rsidRDefault="00000000">
      <w:pPr>
        <w:keepLines/>
      </w:pPr>
      <w:r>
        <w:t>The standard should also permit businesses and customers to move between qualifying payment providers without unnecessarily recreating the underlying customer authority. Any provider-specific reassessment should be confined to the risks and arrangements affected by that change.</w:t>
      </w:r>
    </w:p>
    <w:p w14:paraId="4EA30383" w14:textId="77777777" w:rsidR="00943A74" w:rsidRDefault="00000000">
      <w:pPr>
        <w:keepLines/>
      </w:pPr>
      <w:r>
        <w:t>The RBA should supervise the development of this standard and establish a timetable for implementation. If voluntary industry processes do not produce genuinely open and non-discriminatory interoperability, the RBA should consider mandating the relevant functional standards, portability requirements and access arrangements.</w:t>
      </w:r>
    </w:p>
    <w:p w14:paraId="5ECA95E0" w14:textId="77777777" w:rsidR="00943A74" w:rsidRDefault="00000000">
      <w:pPr>
        <w:keepLines/>
      </w:pPr>
      <w:r>
        <w:t>The same principle should apply at the merchant acceptance layer. Checkout systems should be able to initiate a payment request and receive a reliable payment-status response through a minimum common interface without requiring every new payment method to use card infrastructure or the NPP.</w:t>
      </w:r>
    </w:p>
    <w:p w14:paraId="1CE491B0" w14:textId="77777777" w:rsidR="00943A74" w:rsidRDefault="00000000">
      <w:pPr>
        <w:pStyle w:val="Heading2"/>
      </w:pPr>
      <w:r>
        <w:lastRenderedPageBreak/>
        <w:t>Question 19 - Wider regulatory and coordination options</w:t>
      </w:r>
    </w:p>
    <w:p w14:paraId="07B5C237" w14:textId="77777777" w:rsidR="00943A74" w:rsidRDefault="00000000">
      <w:pPr>
        <w:keepLines/>
      </w:pPr>
      <w:r>
        <w:t>Some useful action may sit outside, or precede the use of, the RBA's formal powers under the Payment Systems (Regulation) Act 1998. The RBA could convene relevant regulators and industry participants, commission a market-wide access study, develop a model pilot protocol, support technical standard-setting, establish transparent reporting on access requests, or recommend legislative or regulatory changes where its existing powers are insufficient.</w:t>
      </w:r>
    </w:p>
    <w:p w14:paraId="62E87113" w14:textId="77777777" w:rsidR="00943A74" w:rsidRDefault="00000000">
      <w:pPr>
        <w:keepLines/>
      </w:pPr>
      <w:r>
        <w:t>The design of any future regulation should recognise that payment functions can be separated. Initiation, orchestration, identity and authority, verification, messaging, clearing and settlement need not always be provided by the same entity or governed at the same layer. Regulation framed only around established participant categories or existing rails may miss emerging forms of dependency and gatekeeping.</w:t>
      </w:r>
    </w:p>
    <w:p w14:paraId="0A46CF7B" w14:textId="77777777" w:rsidR="00943A74" w:rsidRDefault="00000000">
      <w:pPr>
        <w:pStyle w:val="Heading1"/>
      </w:pPr>
      <w:r>
        <w:t>5. Principles for practical access</w:t>
      </w:r>
    </w:p>
    <w:p w14:paraId="59925289" w14:textId="77777777" w:rsidR="00943A74" w:rsidRDefault="00000000">
      <w:pPr>
        <w:keepLines/>
      </w:pPr>
      <w:r>
        <w:t>Any regulatory response should be assessed by whether it creates a genuine route through which a qualifying independent innovator can test a credible payment proposition. This would require a means of confidential assessment against transparent and proportionate criteria, access to narrowly defined capabilities on commercially workable terms, timely and reasoned decisions, and protection against the unrelated use of information disclosed for assessment.</w:t>
      </w:r>
    </w:p>
    <w:p w14:paraId="5D753C17" w14:textId="77777777" w:rsidR="00943A74" w:rsidRDefault="00000000">
      <w:pPr>
        <w:keepLines/>
      </w:pPr>
      <w:r>
        <w:t>Where participation requires an established sponsor, the entrant should not have to surrender control of its proposition or make its continued access permanently dependent upon that sponsor. Appropriate regulatory visibility would help determine whether legitimate risk and operational requirements are being applied proportionately or whether the market structure leaves no practical route to testing.</w:t>
      </w:r>
    </w:p>
    <w:p w14:paraId="758F34E4" w14:textId="77777777" w:rsidR="00943A74" w:rsidRDefault="00000000">
      <w:pPr>
        <w:pStyle w:val="Heading1"/>
      </w:pPr>
      <w:r>
        <w:t>6. Safeguards and limits</w:t>
      </w:r>
    </w:p>
    <w:p w14:paraId="11ECF64F" w14:textId="77777777" w:rsidR="00943A74" w:rsidRDefault="00000000">
      <w:pPr>
        <w:keepLines/>
      </w:pPr>
      <w:r>
        <w:t>A practical access pathway should not create an entitlement to a pilot or require any participant to accept unmanaged risk. Testing may appropriately be limited in value, scale, duration and functionality, with clear responsibility for security, privacy, consumer protection, fraud, operational risk and dispute handling.</w:t>
      </w:r>
    </w:p>
    <w:p w14:paraId="4AB1E255" w14:textId="77777777" w:rsidR="00943A74" w:rsidRDefault="00000000">
      <w:pPr>
        <w:keepLines/>
      </w:pPr>
      <w:r>
        <w:t>The purpose is not to treat every refusal as anti-competitive, require incumbents to subsidise new entrants or weaken existing protections. It is to distinguish legitimate risk and capability constraints from a structural situation in which an independent innovation cannot be tested at all.</w:t>
      </w:r>
    </w:p>
    <w:p w14:paraId="2544A21C" w14:textId="77777777" w:rsidR="00943A74" w:rsidRDefault="00000000">
      <w:pPr>
        <w:pStyle w:val="Heading1"/>
      </w:pPr>
      <w:r>
        <w:t>Conclusion</w:t>
      </w:r>
    </w:p>
    <w:p w14:paraId="550BCDBC" w14:textId="77777777" w:rsidR="00943A74" w:rsidRDefault="00000000">
      <w:pPr>
        <w:keepLines/>
      </w:pPr>
      <w:r>
        <w:t>The A2A Payments Vision establishes sound principles for proportionate access, transparent onboarding, efficient connectivity, representative governance and the avoidance of entrenched advantages. The present Review should consider what institutional pathway turns those principles into a practical opportunity for independent innovation.</w:t>
      </w:r>
    </w:p>
    <w:p w14:paraId="40E07CAA" w14:textId="77777777" w:rsidR="00943A74" w:rsidRDefault="00000000">
      <w:pPr>
        <w:pStyle w:val="Heading1"/>
      </w:pPr>
      <w:r>
        <w:t>Sources</w:t>
      </w:r>
    </w:p>
    <w:p w14:paraId="7F1B57A7" w14:textId="77777777" w:rsidR="00943A74" w:rsidRDefault="00000000">
      <w:pPr>
        <w:pStyle w:val="SourceNote"/>
        <w:keepLines/>
      </w:pPr>
      <w:r>
        <w:t>[1] Reserve Bank of Australia, Review of Payments System Regulation: Issues Paper, 25 June 2026, especially sections 4.1, 4.2, 6 and 7.</w:t>
      </w:r>
    </w:p>
    <w:p w14:paraId="56FE8FF6" w14:textId="77777777" w:rsidR="00943A74" w:rsidRDefault="00000000">
      <w:pPr>
        <w:pStyle w:val="SourceNote"/>
        <w:keepLines/>
      </w:pPr>
      <w:r>
        <w:t>[2] A2A Payments Roundtable, Public consultation on the draft vision for account-to-account payments in Australia: Summary of submissions, July 2026, especially section 4 and 'Next steps'.</w:t>
      </w:r>
    </w:p>
    <w:p w14:paraId="7EE5B897" w14:textId="77777777" w:rsidR="00943A74" w:rsidRDefault="00000000">
      <w:pPr>
        <w:pStyle w:val="SourceNote"/>
        <w:keepLines/>
      </w:pPr>
      <w:r>
        <w:t>[3] A2A Payments Roundtable, The vision for account-to-account payments in Australia, July 2026, especially sections 4.4, 4.6, 5 and 6.</w:t>
      </w:r>
    </w:p>
    <w:p w14:paraId="4DE76C18" w14:textId="77777777" w:rsidR="00943A74" w:rsidRDefault="00000000">
      <w:pPr>
        <w:pStyle w:val="SourceNote"/>
        <w:keepLines/>
      </w:pPr>
      <w:r>
        <w:t>[4] Mobypay Pty Ltd, A2A Vision Response, 21 May 2026. This submission draws only on that document's general positions concerning access, governance, participation, interoperability and payment-system architecture.</w:t>
      </w:r>
    </w:p>
    <w:sectPr w:rsidR="00943A74" w:rsidSect="000D73FF">
      <w:headerReference w:type="even" r:id="rId8"/>
      <w:headerReference w:type="default" r:id="rId9"/>
      <w:footerReference w:type="even" r:id="rId10"/>
      <w:footerReference w:type="default" r:id="rId11"/>
      <w:headerReference w:type="first" r:id="rId12"/>
      <w:footerReference w:type="first" r:id="rId13"/>
      <w:pgSz w:w="12240" w:h="15840"/>
      <w:pgMar w:top="1181" w:right="1296" w:bottom="993" w:left="1296" w:header="605" w:footer="6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8C39" w14:textId="77777777" w:rsidR="0003591F" w:rsidRDefault="0003591F">
      <w:pPr>
        <w:spacing w:after="0" w:line="240" w:lineRule="auto"/>
      </w:pPr>
      <w:r>
        <w:separator/>
      </w:r>
    </w:p>
  </w:endnote>
  <w:endnote w:type="continuationSeparator" w:id="0">
    <w:p w14:paraId="0B342696" w14:textId="77777777" w:rsidR="0003591F" w:rsidRDefault="0003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8F8C" w14:textId="77777777" w:rsidR="00943A74" w:rsidRDefault="00000000">
    <w:pPr>
      <w:pStyle w:val="SourceNote"/>
      <w:jc w:val="right"/>
    </w:pPr>
    <w:r>
      <w:t xml:space="preserve">Page </w:t>
    </w: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3C44" w14:textId="77777777" w:rsidR="00943A74" w:rsidRDefault="00000000">
    <w:pPr>
      <w:pStyle w:val="SourceNote"/>
      <w:jc w:val="right"/>
    </w:pPr>
    <w:r>
      <w:t xml:space="preserve">Page </w:t>
    </w:r>
    <w:r>
      <w:fldChar w:fldCharType="begin"/>
    </w:r>
    <w:r>
      <w:instrText>PAGE</w:instrText>
    </w:r>
    <w:r>
      <w:fldChar w:fldCharType="separate"/>
    </w:r>
    <w:r w:rsidR="000D73F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911B" w14:textId="77777777" w:rsidR="00943A74" w:rsidRDefault="00000000">
    <w:pPr>
      <w:pStyle w:val="SourceNote"/>
      <w:jc w:val="right"/>
    </w:pPr>
    <w:r>
      <w:t xml:space="preserve">Page </w:t>
    </w: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32490" w14:textId="77777777" w:rsidR="0003591F" w:rsidRDefault="0003591F">
      <w:pPr>
        <w:spacing w:after="0" w:line="240" w:lineRule="auto"/>
      </w:pPr>
      <w:r>
        <w:separator/>
      </w:r>
    </w:p>
  </w:footnote>
  <w:footnote w:type="continuationSeparator" w:id="0">
    <w:p w14:paraId="74475B0B" w14:textId="77777777" w:rsidR="0003591F" w:rsidRDefault="00035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6208" w14:textId="77777777" w:rsidR="00943A74" w:rsidRDefault="00943A74">
    <w:pPr>
      <w:pStyle w:val="SourceNote"/>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5877" w14:textId="77777777" w:rsidR="00943A74" w:rsidRDefault="00943A74">
    <w:pPr>
      <w:pStyle w:val="SourceNote"/>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820E" w14:textId="77777777" w:rsidR="00943A74" w:rsidRDefault="00943A74">
    <w:pPr>
      <w:pStyle w:val="SourceNot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6074508">
    <w:abstractNumId w:val="8"/>
  </w:num>
  <w:num w:numId="2" w16cid:durableId="729960433">
    <w:abstractNumId w:val="6"/>
  </w:num>
  <w:num w:numId="3" w16cid:durableId="2035689944">
    <w:abstractNumId w:val="5"/>
  </w:num>
  <w:num w:numId="4" w16cid:durableId="919411613">
    <w:abstractNumId w:val="4"/>
  </w:num>
  <w:num w:numId="5" w16cid:durableId="1972906894">
    <w:abstractNumId w:val="7"/>
  </w:num>
  <w:num w:numId="6" w16cid:durableId="329673309">
    <w:abstractNumId w:val="3"/>
  </w:num>
  <w:num w:numId="7" w16cid:durableId="1004287055">
    <w:abstractNumId w:val="2"/>
  </w:num>
  <w:num w:numId="8" w16cid:durableId="188111569">
    <w:abstractNumId w:val="1"/>
  </w:num>
  <w:num w:numId="9" w16cid:durableId="86968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91F"/>
    <w:rsid w:val="0006063C"/>
    <w:rsid w:val="000D73FF"/>
    <w:rsid w:val="0015074B"/>
    <w:rsid w:val="0029639D"/>
    <w:rsid w:val="00326F90"/>
    <w:rsid w:val="004308BB"/>
    <w:rsid w:val="00943A7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DE60B"/>
  <w14:defaultImageDpi w14:val="300"/>
  <w15:docId w15:val="{3C95C870-A796-40F9-BE05-C2380250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9" w:lineRule="auto"/>
    </w:pPr>
    <w:rPr>
      <w:rFonts w:ascii="Calibri" w:hAnsi="Calibri"/>
      <w:color w:val="1E2328"/>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2E74B5"/>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E74B5"/>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40" w:after="80" w:line="240" w:lineRule="auto"/>
    </w:pPr>
    <w:rPr>
      <w:rFonts w:ascii="Calibri" w:hAnsi="Calibri"/>
      <w:color w:val="5A626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W5QWCE3MWNWV-1111276950-157</_dlc_DocId>
    <_dlc_DocIdUrl xmlns="a2aa19ac-7254-4672-b5f3-36bb7be1aecc">
      <Url>https://rbaau.sharepoint.com/sites/py-rrpr/_layouts/15/DocIdRedir.aspx?ID=W5QWCE3MWNWV-1111276950-157</Url>
      <Description>W5QWCE3MWNWV-1111276950-157</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24C9120-C5DF-4E16-8BCB-069EA6C9BB0E}"/>
</file>

<file path=customXml/itemProps3.xml><?xml version="1.0" encoding="utf-8"?>
<ds:datastoreItem xmlns:ds="http://schemas.openxmlformats.org/officeDocument/2006/customXml" ds:itemID="{0A2752B1-2B0A-4EA8-8424-0DFC2F8AAD44}"/>
</file>

<file path=customXml/itemProps4.xml><?xml version="1.0" encoding="utf-8"?>
<ds:datastoreItem xmlns:ds="http://schemas.openxmlformats.org/officeDocument/2006/customXml" ds:itemID="{B349DED9-77FC-4CA5-A13E-42F495EBC40F}"/>
</file>

<file path=customXml/itemProps5.xml><?xml version="1.0" encoding="utf-8"?>
<ds:datastoreItem xmlns:ds="http://schemas.openxmlformats.org/officeDocument/2006/customXml" ds:itemID="{D5EAA256-0347-488E-A404-D00CE2838574}"/>
</file>

<file path=docProps/app.xml><?xml version="1.0" encoding="utf-8"?>
<Properties xmlns="http://schemas.openxmlformats.org/officeDocument/2006/extended-properties" xmlns:vt="http://schemas.openxmlformats.org/officeDocument/2006/docPropsVTypes">
  <Template>Normal</Template>
  <TotalTime>2</TotalTime>
  <Pages>6</Pages>
  <Words>3007</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Mobypay submission - Review of Payments System Regulation</dc:title>
  <dc:subject>Practical pathway for independent innovation in retail A2A payments</dc:subject>
  <dc:creator>Matthew Byrne</dc:creator>
  <cp:keywords>RBA, payments regulation, account-to-account payments, competition, access</cp:keywords>
  <dc:description>generated by python-docx</dc:description>
  <cp:lastModifiedBy>Matthew Byrne</cp:lastModifiedBy>
  <cp:revision>2</cp:revision>
  <dcterms:created xsi:type="dcterms:W3CDTF">2026-08-09T15:23:00Z</dcterms:created>
  <dcterms:modified xsi:type="dcterms:W3CDTF">2026-08-09T15:23:00Z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937af250-3b98-4a60-a7b7-2b1339101be9</vt:lpwstr>
  </property>
</Properties>
</file>