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0" w:lineRule="auto"/>
        <w:rPr/>
      </w:pPr>
      <w:r w:rsidDel="00000000" w:rsidR="00000000" w:rsidRPr="00000000">
        <w:rPr/>
        <w:drawing>
          <wp:inline distB="0" distT="0" distL="0" distR="0">
            <wp:extent cx="1428750" cy="2286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28750" cy="2286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lineRule="auto"/>
        <w:jc w:val="center"/>
        <w:rPr/>
      </w:pPr>
      <w:r w:rsidDel="00000000" w:rsidR="00000000" w:rsidRPr="00000000">
        <w:rPr>
          <w:b w:val="1"/>
          <w:bCs w:val="1"/>
          <w:sz w:val="26"/>
          <w:szCs w:val="26"/>
          <w:rtl w:val="0"/>
        </w:rPr>
        <w:t xml:space="preserve">SUBMISSION TO THE RESERVE BANK OF AUSTRALIA</w:t>
      </w:r>
      <w:r w:rsidDel="00000000" w:rsidR="00000000" w:rsidRPr="00000000">
        <w:rPr>
          <w:rtl w:val="0"/>
        </w:rPr>
      </w:r>
    </w:p>
    <w:p w:rsidR="00000000" w:rsidDel="00000000" w:rsidP="00000000" w:rsidRDefault="00000000" w:rsidRPr="00000000" w14:paraId="00000003">
      <w:pPr>
        <w:spacing w:after="120" w:lineRule="auto"/>
        <w:jc w:val="center"/>
        <w:rPr/>
      </w:pPr>
      <w:r w:rsidDel="00000000" w:rsidR="00000000" w:rsidRPr="00000000">
        <w:rPr>
          <w:b w:val="1"/>
          <w:bCs w:val="1"/>
          <w:sz w:val="24"/>
          <w:szCs w:val="24"/>
          <w:rtl w:val="0"/>
        </w:rPr>
        <w:t xml:space="preserve">Review of Payments System Regulation</w:t>
      </w:r>
      <w:r w:rsidDel="00000000" w:rsidR="00000000" w:rsidRPr="00000000">
        <w:rPr>
          <w:rtl w:val="0"/>
        </w:rPr>
      </w:r>
    </w:p>
    <w:p w:rsidR="00000000" w:rsidDel="00000000" w:rsidP="00000000" w:rsidRDefault="00000000" w:rsidRPr="00000000" w14:paraId="00000004">
      <w:pPr>
        <w:spacing w:after="120" w:lineRule="auto"/>
        <w:jc w:val="center"/>
        <w:rPr/>
      </w:pPr>
      <w:r w:rsidDel="00000000" w:rsidR="00000000" w:rsidRPr="00000000">
        <w:rPr>
          <w:i w:val="1"/>
          <w:iCs w:val="1"/>
          <w:sz w:val="22"/>
          <w:szCs w:val="22"/>
          <w:rtl w:val="0"/>
        </w:rPr>
        <w:t xml:space="preserve">Issues Paper, 25 June 2026</w:t>
      </w:r>
      <w:r w:rsidDel="00000000" w:rsidR="00000000" w:rsidRPr="00000000">
        <w:rPr>
          <w:rtl w:val="0"/>
        </w:rPr>
      </w:r>
    </w:p>
    <w:p w:rsidR="00000000" w:rsidDel="00000000" w:rsidP="00000000" w:rsidRDefault="00000000" w:rsidRPr="00000000" w14:paraId="00000005">
      <w:pPr>
        <w:spacing w:after="200" w:lineRule="auto"/>
        <w:rPr/>
      </w:pPr>
      <w:r w:rsidDel="00000000" w:rsidR="00000000" w:rsidRPr="00000000">
        <w:rPr>
          <w:rtl w:val="0"/>
        </w:rPr>
      </w:r>
    </w:p>
    <w:p w:rsidR="00000000" w:rsidDel="00000000" w:rsidP="00000000" w:rsidRDefault="00000000" w:rsidRPr="00000000" w14:paraId="00000006">
      <w:pPr>
        <w:spacing w:after="120" w:lineRule="auto"/>
        <w:jc w:val="center"/>
        <w:rPr/>
      </w:pPr>
      <w:r w:rsidDel="00000000" w:rsidR="00000000" w:rsidRPr="00000000">
        <w:rPr>
          <w:i w:val="1"/>
          <w:iCs w:val="1"/>
          <w:sz w:val="22"/>
          <w:szCs w:val="22"/>
          <w:rtl w:val="0"/>
        </w:rPr>
        <w:t xml:space="preserve">Submitted by</w:t>
      </w:r>
      <w:r w:rsidDel="00000000" w:rsidR="00000000" w:rsidRPr="00000000">
        <w:rPr>
          <w:rtl w:val="0"/>
        </w:rPr>
      </w:r>
    </w:p>
    <w:p w:rsidR="00000000" w:rsidDel="00000000" w:rsidP="00000000" w:rsidRDefault="00000000" w:rsidRPr="00000000" w14:paraId="00000007">
      <w:pPr>
        <w:spacing w:after="120" w:lineRule="auto"/>
        <w:jc w:val="center"/>
        <w:rPr/>
      </w:pPr>
      <w:r w:rsidDel="00000000" w:rsidR="00000000" w:rsidRPr="00000000">
        <w:rPr>
          <w:b w:val="1"/>
          <w:bCs w:val="1"/>
          <w:sz w:val="22"/>
          <w:szCs w:val="22"/>
          <w:rtl w:val="0"/>
        </w:rPr>
        <w:t xml:space="preserve">Catena Digital Pty Ltd, trading as Macropod Global</w:t>
      </w:r>
      <w:r w:rsidDel="00000000" w:rsidR="00000000" w:rsidRPr="00000000">
        <w:rPr>
          <w:rtl w:val="0"/>
        </w:rPr>
      </w:r>
    </w:p>
    <w:p w:rsidR="00000000" w:rsidDel="00000000" w:rsidP="00000000" w:rsidRDefault="00000000" w:rsidRPr="00000000" w14:paraId="00000008">
      <w:pPr>
        <w:spacing w:after="120" w:lineRule="auto"/>
        <w:jc w:val="center"/>
        <w:rPr/>
      </w:pPr>
      <w:r w:rsidDel="00000000" w:rsidR="00000000" w:rsidRPr="00000000">
        <w:rPr>
          <w:sz w:val="22"/>
          <w:szCs w:val="22"/>
          <w:rtl w:val="0"/>
        </w:rPr>
        <w:t xml:space="preserve">Australian Financial Services Licence 566313   |   ABN 78 669 901 302</w:t>
      </w:r>
      <w:r w:rsidDel="00000000" w:rsidR="00000000" w:rsidRPr="00000000">
        <w:rPr>
          <w:rtl w:val="0"/>
        </w:rPr>
      </w:r>
    </w:p>
    <w:p w:rsidR="00000000" w:rsidDel="00000000" w:rsidP="00000000" w:rsidRDefault="00000000" w:rsidRPr="00000000" w14:paraId="00000009">
      <w:pPr>
        <w:spacing w:after="120" w:lineRule="auto"/>
        <w:jc w:val="center"/>
        <w:rPr/>
      </w:pPr>
      <w:r w:rsidDel="00000000" w:rsidR="00000000" w:rsidRPr="00000000">
        <w:rPr>
          <w:sz w:val="22"/>
          <w:szCs w:val="22"/>
          <w:rtl w:val="0"/>
        </w:rPr>
        <w:t xml:space="preserve">August 2026</w:t>
      </w:r>
      <w:r w:rsidDel="00000000" w:rsidR="00000000" w:rsidRPr="00000000">
        <w:rPr>
          <w:rtl w:val="0"/>
        </w:rPr>
      </w:r>
    </w:p>
    <w:p w:rsidR="00000000" w:rsidDel="00000000" w:rsidP="00000000" w:rsidRDefault="00000000" w:rsidRPr="00000000" w14:paraId="0000000A">
      <w:pPr>
        <w:spacing w:after="300" w:lineRule="auto"/>
        <w:rPr/>
      </w:pPr>
      <w:r w:rsidDel="00000000" w:rsidR="00000000" w:rsidRPr="00000000">
        <w:rPr>
          <w:rtl w:val="0"/>
        </w:rPr>
      </w:r>
    </w:p>
    <w:p w:rsidR="00000000" w:rsidDel="00000000" w:rsidP="00000000" w:rsidRDefault="00000000" w:rsidRPr="00000000" w14:paraId="0000000B">
      <w:pPr>
        <w:pStyle w:val="Heading1"/>
        <w:spacing w:after="120" w:before="220" w:line="360" w:lineRule="auto"/>
        <w:rPr>
          <w:b w:val="1"/>
          <w:bCs w:val="1"/>
          <w:color w:val="000000"/>
          <w:sz w:val="28"/>
          <w:szCs w:val="28"/>
        </w:rPr>
      </w:pPr>
      <w:bookmarkStart w:colFirst="0" w:colLast="0" w:name="_heading=h.c4k5s74s5g6d" w:id="0"/>
      <w:bookmarkEnd w:id="0"/>
      <w:r w:rsidDel="00000000" w:rsidR="00000000" w:rsidRPr="00000000">
        <w:rPr>
          <w:b w:val="1"/>
          <w:bCs w:val="1"/>
          <w:color w:val="000000"/>
          <w:sz w:val="28"/>
          <w:szCs w:val="28"/>
          <w:rtl w:val="0"/>
        </w:rPr>
        <w:t xml:space="preserve">About this submission</w:t>
      </w:r>
    </w:p>
    <w:p w:rsidR="00000000" w:rsidDel="00000000" w:rsidP="00000000" w:rsidRDefault="00000000" w:rsidRPr="00000000" w14:paraId="0000000C">
      <w:pPr>
        <w:spacing w:line="360" w:lineRule="auto"/>
        <w:rPr>
          <w:sz w:val="22"/>
          <w:szCs w:val="22"/>
        </w:rPr>
      </w:pPr>
      <w:r w:rsidDel="00000000" w:rsidR="00000000" w:rsidRPr="00000000">
        <w:rPr>
          <w:sz w:val="22"/>
          <w:szCs w:val="22"/>
          <w:rtl w:val="0"/>
        </w:rPr>
        <w:t xml:space="preserve">Catena Digital Pty Ltd, AFSL 566313, trading as Macropod Global, issues an Australian dollar payment stablecoin and is registered with AUSTRAC as a digital currency exchange. We participated in Project Acacia, the joint initiative of the Reserve Bank of Australia and the Digital Finance Cooperative Research Centre on wholesale tokenised asset markets, leading a use case in which a tokenised </w:t>
      </w:r>
      <w:r w:rsidDel="00000000" w:rsidR="00000000" w:rsidRPr="00000000">
        <w:rPr>
          <w:sz w:val="22"/>
          <w:szCs w:val="22"/>
          <w:rtl w:val="0"/>
        </w:rPr>
        <w:t xml:space="preserve">corporate</w:t>
      </w:r>
      <w:r w:rsidDel="00000000" w:rsidR="00000000" w:rsidRPr="00000000">
        <w:rPr>
          <w:sz w:val="22"/>
          <w:szCs w:val="22"/>
          <w:rtl w:val="0"/>
        </w:rPr>
        <w:t xml:space="preserve"> bond was settled using an Australian dollar stablecoin on a public ledger. Macropod also gave evidence to the House of Representatives Standing Committee on Economics inquiry into schemes, digital wallets and innovation in the payments sector (Submission 45), which is cited in the committee’s report, </w:t>
      </w:r>
      <w:r w:rsidDel="00000000" w:rsidR="00000000" w:rsidRPr="00000000">
        <w:rPr>
          <w:i w:val="1"/>
          <w:iCs w:val="1"/>
          <w:sz w:val="22"/>
          <w:szCs w:val="22"/>
          <w:rtl w:val="0"/>
        </w:rPr>
        <w:t xml:space="preserve">A Level Paying Field</w:t>
      </w:r>
      <w:r w:rsidDel="00000000" w:rsidR="00000000" w:rsidRPr="00000000">
        <w:rPr>
          <w:sz w:val="22"/>
          <w:szCs w:val="22"/>
          <w:rtl w:val="0"/>
        </w:rPr>
        <w:t xml:space="preserve">, tabled on 29 June 2026.</w:t>
      </w:r>
    </w:p>
    <w:p w:rsidR="00000000" w:rsidDel="00000000" w:rsidP="00000000" w:rsidRDefault="00000000" w:rsidRPr="00000000" w14:paraId="0000000D">
      <w:pPr>
        <w:spacing w:line="360" w:lineRule="auto"/>
        <w:rPr>
          <w:sz w:val="22"/>
          <w:szCs w:val="22"/>
        </w:rPr>
      </w:pPr>
      <w:r w:rsidDel="00000000" w:rsidR="00000000" w:rsidRPr="00000000">
        <w:rPr>
          <w:rtl w:val="0"/>
        </w:rPr>
      </w:r>
    </w:p>
    <w:p w:rsidR="00000000" w:rsidDel="00000000" w:rsidP="00000000" w:rsidRDefault="00000000" w:rsidRPr="00000000" w14:paraId="0000000E">
      <w:pPr>
        <w:spacing w:line="360" w:lineRule="auto"/>
        <w:rPr>
          <w:sz w:val="22"/>
          <w:szCs w:val="22"/>
        </w:rPr>
      </w:pPr>
      <w:r w:rsidDel="00000000" w:rsidR="00000000" w:rsidRPr="00000000">
        <w:rPr>
          <w:sz w:val="22"/>
          <w:szCs w:val="22"/>
          <w:rtl w:val="0"/>
        </w:rPr>
        <w:t xml:space="preserve">Macropod welcomes the opportunity to comment on payments system regulation issues, and agrees</w:t>
      </w:r>
    </w:p>
    <w:p w:rsidR="00000000" w:rsidDel="00000000" w:rsidP="00000000" w:rsidRDefault="00000000" w:rsidRPr="00000000" w14:paraId="0000000F">
      <w:pPr>
        <w:spacing w:line="360" w:lineRule="auto"/>
        <w:rPr>
          <w:sz w:val="22"/>
          <w:szCs w:val="22"/>
        </w:rPr>
      </w:pPr>
      <w:r w:rsidDel="00000000" w:rsidR="00000000" w:rsidRPr="00000000">
        <w:rPr>
          <w:sz w:val="22"/>
          <w:szCs w:val="22"/>
          <w:rtl w:val="0"/>
        </w:rPr>
        <w:t xml:space="preserve">with the RBA that this review comes at a time of significant innovation and structural change in the</w:t>
      </w:r>
    </w:p>
    <w:p w:rsidR="00000000" w:rsidDel="00000000" w:rsidP="00000000" w:rsidRDefault="00000000" w:rsidRPr="00000000" w14:paraId="00000010">
      <w:pPr>
        <w:spacing w:line="360" w:lineRule="auto"/>
        <w:rPr>
          <w:sz w:val="22"/>
          <w:szCs w:val="22"/>
        </w:rPr>
      </w:pPr>
      <w:r w:rsidDel="00000000" w:rsidR="00000000" w:rsidRPr="00000000">
        <w:rPr>
          <w:sz w:val="22"/>
          <w:szCs w:val="22"/>
          <w:rtl w:val="0"/>
        </w:rPr>
        <w:t xml:space="preserve">payments landscape. As a stablecoin issuer and ‘new player’ in payments, Macropod sits at the</w:t>
      </w:r>
    </w:p>
    <w:p w:rsidR="00000000" w:rsidDel="00000000" w:rsidP="00000000" w:rsidRDefault="00000000" w:rsidRPr="00000000" w14:paraId="00000011">
      <w:pPr>
        <w:spacing w:line="360" w:lineRule="auto"/>
        <w:rPr>
          <w:sz w:val="22"/>
          <w:szCs w:val="22"/>
        </w:rPr>
      </w:pPr>
      <w:r w:rsidDel="00000000" w:rsidR="00000000" w:rsidRPr="00000000">
        <w:rPr>
          <w:sz w:val="22"/>
          <w:szCs w:val="22"/>
          <w:rtl w:val="0"/>
        </w:rPr>
        <w:t xml:space="preserve">coalface of these developments, and can offer first-hand insight into opportunities and issues for</w:t>
      </w:r>
    </w:p>
    <w:p w:rsidR="00000000" w:rsidDel="00000000" w:rsidP="00000000" w:rsidRDefault="00000000" w:rsidRPr="00000000" w14:paraId="00000012">
      <w:pPr>
        <w:spacing w:line="360" w:lineRule="auto"/>
        <w:rPr>
          <w:sz w:val="22"/>
          <w:szCs w:val="22"/>
        </w:rPr>
      </w:pPr>
      <w:r w:rsidDel="00000000" w:rsidR="00000000" w:rsidRPr="00000000">
        <w:rPr>
          <w:sz w:val="22"/>
          <w:szCs w:val="22"/>
          <w:rtl w:val="0"/>
        </w:rPr>
        <w:t xml:space="preserve">competition, efficiency or financial safety in the Australian payment system. </w:t>
      </w:r>
    </w:p>
    <w:p w:rsidR="00000000" w:rsidDel="00000000" w:rsidP="00000000" w:rsidRDefault="00000000" w:rsidRPr="00000000" w14:paraId="00000013">
      <w:pPr>
        <w:pStyle w:val="Heading1"/>
        <w:spacing w:after="120" w:before="220" w:line="360" w:lineRule="auto"/>
        <w:rPr>
          <w:b w:val="1"/>
          <w:bCs w:val="1"/>
          <w:color w:val="000000"/>
          <w:sz w:val="28"/>
          <w:szCs w:val="28"/>
        </w:rPr>
      </w:pPr>
      <w:bookmarkStart w:colFirst="0" w:colLast="0" w:name="_heading=h.rub7f8akguwr" w:id="1"/>
      <w:bookmarkEnd w:id="1"/>
      <w:r w:rsidDel="00000000" w:rsidR="00000000" w:rsidRPr="00000000">
        <w:rPr>
          <w:b w:val="1"/>
          <w:bCs w:val="1"/>
          <w:color w:val="000000"/>
          <w:sz w:val="28"/>
          <w:szCs w:val="28"/>
          <w:rtl w:val="0"/>
        </w:rPr>
        <w:t xml:space="preserve">Summary of recommendations</w:t>
      </w:r>
    </w:p>
    <w:p w:rsidR="00000000" w:rsidDel="00000000" w:rsidP="00000000" w:rsidRDefault="00000000" w:rsidRPr="00000000" w14:paraId="00000014">
      <w:pPr>
        <w:pStyle w:val="Heading3"/>
        <w:numPr>
          <w:ilvl w:val="0"/>
          <w:numId w:val="1"/>
        </w:numPr>
        <w:spacing w:after="0" w:line="360" w:lineRule="auto"/>
        <w:ind w:left="720" w:hanging="360"/>
        <w:rPr>
          <w:color w:val="000000"/>
          <w:sz w:val="22"/>
          <w:szCs w:val="22"/>
        </w:rPr>
      </w:pPr>
      <w:bookmarkStart w:colFirst="0" w:colLast="0" w:name="_heading=h.7afmgo4w51hf" w:id="2"/>
      <w:bookmarkEnd w:id="2"/>
      <w:r w:rsidDel="00000000" w:rsidR="00000000" w:rsidRPr="00000000">
        <w:rPr>
          <w:color w:val="000000"/>
          <w:sz w:val="22"/>
          <w:szCs w:val="22"/>
          <w:rtl w:val="0"/>
        </w:rPr>
        <w:t xml:space="preserve">Include payment stablecoins in the regulatory priorities the RBA publishes by the end of 2026.</w:t>
      </w:r>
    </w:p>
    <w:p w:rsidR="00000000" w:rsidDel="00000000" w:rsidP="00000000" w:rsidRDefault="00000000" w:rsidRPr="00000000" w14:paraId="00000015">
      <w:pPr>
        <w:pStyle w:val="Heading3"/>
        <w:numPr>
          <w:ilvl w:val="0"/>
          <w:numId w:val="1"/>
        </w:numPr>
        <w:spacing w:after="0" w:line="360" w:lineRule="auto"/>
        <w:ind w:left="720" w:hanging="360"/>
        <w:rPr>
          <w:color w:val="000000"/>
          <w:sz w:val="22"/>
          <w:szCs w:val="22"/>
        </w:rPr>
      </w:pPr>
      <w:bookmarkStart w:colFirst="0" w:colLast="0" w:name="_heading=h.r0lnssdikdnl" w:id="3"/>
      <w:bookmarkEnd w:id="3"/>
      <w:r w:rsidDel="00000000" w:rsidR="00000000" w:rsidRPr="00000000">
        <w:rPr>
          <w:color w:val="000000"/>
          <w:sz w:val="22"/>
          <w:szCs w:val="22"/>
          <w:rtl w:val="0"/>
        </w:rPr>
        <w:t xml:space="preserve">Apply the RBA's assessment framework, and the definitions it adopts, on a technologically neutral and function-based basis, consistent with the activity-based approach the Government has taken in the payments licensing reforms.</w:t>
      </w:r>
    </w:p>
    <w:p w:rsidR="00000000" w:rsidDel="00000000" w:rsidP="00000000" w:rsidRDefault="00000000" w:rsidRPr="00000000" w14:paraId="00000016">
      <w:pPr>
        <w:pStyle w:val="Heading3"/>
        <w:numPr>
          <w:ilvl w:val="0"/>
          <w:numId w:val="1"/>
        </w:numPr>
        <w:spacing w:after="0" w:line="360" w:lineRule="auto"/>
        <w:ind w:left="720" w:hanging="360"/>
        <w:rPr>
          <w:color w:val="000000"/>
          <w:sz w:val="22"/>
          <w:szCs w:val="22"/>
        </w:rPr>
      </w:pPr>
      <w:bookmarkStart w:colFirst="0" w:colLast="0" w:name="_heading=h.5hhgj8jiqiqh" w:id="4"/>
      <w:bookmarkEnd w:id="4"/>
      <w:r w:rsidDel="00000000" w:rsidR="00000000" w:rsidRPr="00000000">
        <w:rPr>
          <w:color w:val="000000"/>
          <w:sz w:val="22"/>
          <w:szCs w:val="22"/>
          <w:rtl w:val="0"/>
        </w:rPr>
        <w:t xml:space="preserve"> Examine settlement access for licensed non-ADI payment providers, including Exchange Settlement Account access or an equivalent arrangement.</w:t>
      </w:r>
    </w:p>
    <w:p w:rsidR="00000000" w:rsidDel="00000000" w:rsidP="00000000" w:rsidRDefault="00000000" w:rsidRPr="00000000" w14:paraId="00000017">
      <w:pPr>
        <w:pStyle w:val="Heading3"/>
        <w:numPr>
          <w:ilvl w:val="0"/>
          <w:numId w:val="1"/>
        </w:numPr>
        <w:spacing w:after="100" w:line="360" w:lineRule="auto"/>
        <w:ind w:left="720" w:hanging="360"/>
        <w:rPr>
          <w:color w:val="000000"/>
          <w:sz w:val="22"/>
          <w:szCs w:val="22"/>
        </w:rPr>
      </w:pPr>
      <w:bookmarkStart w:colFirst="0" w:colLast="0" w:name="_heading=h.ji4g5jt0njtb" w:id="5"/>
      <w:bookmarkEnd w:id="5"/>
      <w:r w:rsidDel="00000000" w:rsidR="00000000" w:rsidRPr="00000000">
        <w:rPr>
          <w:color w:val="000000"/>
          <w:sz w:val="22"/>
          <w:szCs w:val="22"/>
          <w:rtl w:val="0"/>
        </w:rPr>
        <w:t xml:space="preserve">Support extension of the ePayments Code, or its successor consumer protection framework, to payment stablecoins on a technologically neutral basis.</w:t>
      </w:r>
    </w:p>
    <w:p w:rsidR="00000000" w:rsidDel="00000000" w:rsidP="00000000" w:rsidRDefault="00000000" w:rsidRPr="00000000" w14:paraId="00000018">
      <w:pPr>
        <w:spacing w:line="360" w:lineRule="auto"/>
        <w:rPr/>
      </w:pPr>
      <w:r w:rsidDel="00000000" w:rsidR="00000000" w:rsidRPr="00000000">
        <w:rPr>
          <w:rtl w:val="0"/>
        </w:rPr>
      </w:r>
    </w:p>
    <w:p w:rsidR="00000000" w:rsidDel="00000000" w:rsidP="00000000" w:rsidRDefault="00000000" w:rsidRPr="00000000" w14:paraId="00000019">
      <w:pPr>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pStyle w:val="Heading2"/>
        <w:numPr>
          <w:ilvl w:val="0"/>
          <w:numId w:val="2"/>
        </w:numPr>
        <w:spacing w:line="360" w:lineRule="auto"/>
        <w:ind w:left="720" w:hanging="360"/>
        <w:rPr/>
      </w:pPr>
      <w:bookmarkStart w:colFirst="0" w:colLast="0" w:name="_heading=h.62eig5yh42dy" w:id="6"/>
      <w:bookmarkEnd w:id="6"/>
      <w:r w:rsidDel="00000000" w:rsidR="00000000" w:rsidRPr="00000000">
        <w:rPr>
          <w:rtl w:val="0"/>
        </w:rPr>
        <w:t xml:space="preserve">Include payment stablecoins in the end-2026 priorities</w:t>
      </w:r>
      <w:r w:rsidDel="00000000" w:rsidR="00000000" w:rsidRPr="00000000">
        <w:rPr>
          <w:rtl w:val="0"/>
        </w:rPr>
      </w:r>
    </w:p>
    <w:p w:rsidR="00000000" w:rsidDel="00000000" w:rsidP="00000000" w:rsidRDefault="00000000" w:rsidRPr="00000000" w14:paraId="0000001C">
      <w:pPr>
        <w:spacing w:line="360" w:lineRule="auto"/>
        <w:ind w:left="0" w:firstLine="0"/>
        <w:rPr/>
      </w:pPr>
      <w:r w:rsidDel="00000000" w:rsidR="00000000" w:rsidRPr="00000000">
        <w:rPr>
          <w:rtl w:val="0"/>
        </w:rPr>
      </w:r>
    </w:p>
    <w:p w:rsidR="00000000" w:rsidDel="00000000" w:rsidP="00000000" w:rsidRDefault="00000000" w:rsidRPr="00000000" w14:paraId="0000001D">
      <w:pPr>
        <w:spacing w:after="120" w:line="360" w:lineRule="auto"/>
        <w:rPr>
          <w:sz w:val="22"/>
          <w:szCs w:val="22"/>
        </w:rPr>
      </w:pPr>
      <w:r w:rsidDel="00000000" w:rsidR="00000000" w:rsidRPr="00000000">
        <w:rPr>
          <w:sz w:val="22"/>
          <w:szCs w:val="22"/>
          <w:rtl w:val="0"/>
        </w:rPr>
        <w:t xml:space="preserve">The Issues Paper does not address payment stablecoins in Sections 2 to 5. Omission from the end-2026 regulatory priorities would defer consideration to the mid-2027 consultation at the earliest, delaying the RBA’s response to the industry-changing potential of this emerging blockchain technology. Payment stablecoins have been a subject of significant discussion and legislative reform, and this interest ought to be reflected in the RBA’s prioritisation of payments system regulation issues. Despite not being mentioned in the issues paper, as a payment service, stablecoins sit squarely within the bounds of the issues the paper raises, and thus an important element when understanding the range of rails available to Australians. For this reason, payment stablecoins should be specifically mentioned in the 2026 regulatory priorities list.</w:t>
      </w:r>
    </w:p>
    <w:p w:rsidR="00000000" w:rsidDel="00000000" w:rsidP="00000000" w:rsidRDefault="00000000" w:rsidRPr="00000000" w14:paraId="0000001E">
      <w:pPr>
        <w:spacing w:after="120" w:line="360" w:lineRule="auto"/>
        <w:rPr>
          <w:sz w:val="22"/>
          <w:szCs w:val="22"/>
        </w:rPr>
      </w:pPr>
      <w:r w:rsidDel="00000000" w:rsidR="00000000" w:rsidRPr="00000000">
        <w:rPr>
          <w:sz w:val="22"/>
          <w:szCs w:val="22"/>
          <w:rtl w:val="0"/>
        </w:rPr>
        <w:t xml:space="preserve">First, amended legislation already covers stablecoin technology. The Treasury Laws Amendment (Payments System Modernisation) Act 2025 received Royal Assent on 19 September 2025 and amended the Payment Systems (Regulation) Act 1998. The amended definition of payment system in section 7A of the act extends beyond arrangements facilitating the circulation of money to cover arrangements facilitating payments using digital assets, and the amended definition of participant captures entities across the payments value chain rather than only those participating in or administering a system. The explanatory materials identify crypto payment facilities, including stablecoins, among the arrangements intended to be captured. These arrangements are additionally regulated as non-cash payment facilities under the Corporations Act, following ASIC Corporations (Stablecoin Distribution Exemption) Instrument 2025/631 and ASIC Corporations (Stablecoin and Wrapped Token Relief) Instrument 2025/867. This is a supervised category of payment provider sitting inside the perimeter Parliament set in 2025 and outside the analysis in this paper.</w:t>
      </w:r>
    </w:p>
    <w:p w:rsidR="00000000" w:rsidDel="00000000" w:rsidP="00000000" w:rsidRDefault="00000000" w:rsidRPr="00000000" w14:paraId="0000001F">
      <w:pPr>
        <w:spacing w:after="120" w:line="360" w:lineRule="auto"/>
        <w:rPr>
          <w:sz w:val="22"/>
          <w:szCs w:val="22"/>
        </w:rPr>
      </w:pPr>
      <w:r w:rsidDel="00000000" w:rsidR="00000000" w:rsidRPr="00000000">
        <w:rPr>
          <w:rtl w:val="0"/>
        </w:rPr>
      </w:r>
    </w:p>
    <w:p w:rsidR="00000000" w:rsidDel="00000000" w:rsidP="00000000" w:rsidRDefault="00000000" w:rsidRPr="00000000" w14:paraId="00000020">
      <w:pPr>
        <w:spacing w:after="120" w:line="360" w:lineRule="auto"/>
        <w:rPr>
          <w:sz w:val="22"/>
          <w:szCs w:val="22"/>
        </w:rPr>
      </w:pPr>
      <w:r w:rsidDel="00000000" w:rsidR="00000000" w:rsidRPr="00000000">
        <w:rPr>
          <w:sz w:val="22"/>
          <w:szCs w:val="22"/>
          <w:rtl w:val="0"/>
        </w:rPr>
        <w:t xml:space="preserve">Second, the Parliament has already recommended enablement as a matter of urgency. On 29 June</w:t>
      </w:r>
    </w:p>
    <w:p w:rsidR="00000000" w:rsidDel="00000000" w:rsidP="00000000" w:rsidRDefault="00000000" w:rsidRPr="00000000" w14:paraId="00000021">
      <w:pPr>
        <w:spacing w:after="120" w:line="360" w:lineRule="auto"/>
        <w:rPr>
          <w:sz w:val="22"/>
          <w:szCs w:val="22"/>
        </w:rPr>
      </w:pPr>
      <w:r w:rsidDel="00000000" w:rsidR="00000000" w:rsidRPr="00000000">
        <w:rPr>
          <w:sz w:val="22"/>
          <w:szCs w:val="22"/>
          <w:rtl w:val="0"/>
        </w:rPr>
        <w:t xml:space="preserve">2026 the House of Representatives Standing Committee on Economics tabled A Level Paying Field,</w:t>
      </w:r>
    </w:p>
    <w:p w:rsidR="00000000" w:rsidDel="00000000" w:rsidP="00000000" w:rsidRDefault="00000000" w:rsidRPr="00000000" w14:paraId="00000022">
      <w:pPr>
        <w:spacing w:after="120" w:line="360" w:lineRule="auto"/>
        <w:rPr>
          <w:sz w:val="22"/>
          <w:szCs w:val="22"/>
        </w:rPr>
      </w:pPr>
      <w:r w:rsidDel="00000000" w:rsidR="00000000" w:rsidRPr="00000000">
        <w:rPr>
          <w:sz w:val="22"/>
          <w:szCs w:val="22"/>
          <w:rtl w:val="0"/>
        </w:rPr>
        <w:t xml:space="preserve">its report on the inquiry into schemes, digital wallets and innovation in the payments sector.</w:t>
      </w:r>
    </w:p>
    <w:p w:rsidR="00000000" w:rsidDel="00000000" w:rsidP="00000000" w:rsidRDefault="00000000" w:rsidRPr="00000000" w14:paraId="00000023">
      <w:pPr>
        <w:spacing w:after="120" w:line="360" w:lineRule="auto"/>
        <w:rPr>
          <w:sz w:val="22"/>
          <w:szCs w:val="22"/>
        </w:rPr>
      </w:pPr>
      <w:r w:rsidDel="00000000" w:rsidR="00000000" w:rsidRPr="00000000">
        <w:rPr>
          <w:sz w:val="22"/>
          <w:szCs w:val="22"/>
          <w:rtl w:val="0"/>
        </w:rPr>
        <w:t xml:space="preserve">Recommendation 12 of that report calls on the Government, through Treasury, to establish a</w:t>
      </w:r>
    </w:p>
    <w:p w:rsidR="00000000" w:rsidDel="00000000" w:rsidP="00000000" w:rsidRDefault="00000000" w:rsidRPr="00000000" w14:paraId="00000024">
      <w:pPr>
        <w:spacing w:after="120" w:line="360" w:lineRule="auto"/>
        <w:rPr>
          <w:sz w:val="22"/>
          <w:szCs w:val="22"/>
        </w:rPr>
      </w:pPr>
      <w:r w:rsidDel="00000000" w:rsidR="00000000" w:rsidRPr="00000000">
        <w:rPr>
          <w:sz w:val="22"/>
          <w:szCs w:val="22"/>
          <w:rtl w:val="0"/>
        </w:rPr>
        <w:t xml:space="preserve">framework for the enablement of stablecoins as an alternate payment rail within the Australian</w:t>
      </w:r>
    </w:p>
    <w:p w:rsidR="00000000" w:rsidDel="00000000" w:rsidP="00000000" w:rsidRDefault="00000000" w:rsidRPr="00000000" w14:paraId="00000025">
      <w:pPr>
        <w:spacing w:after="120" w:line="360" w:lineRule="auto"/>
        <w:rPr>
          <w:sz w:val="22"/>
          <w:szCs w:val="22"/>
        </w:rPr>
      </w:pPr>
      <w:r w:rsidDel="00000000" w:rsidR="00000000" w:rsidRPr="00000000">
        <w:rPr>
          <w:sz w:val="22"/>
          <w:szCs w:val="22"/>
          <w:rtl w:val="0"/>
        </w:rPr>
        <w:t xml:space="preserve">payments system as a matter of urgency, informed by the findings of Project Acacia. Macropod’s</w:t>
      </w:r>
    </w:p>
    <w:p w:rsidR="00000000" w:rsidDel="00000000" w:rsidP="00000000" w:rsidRDefault="00000000" w:rsidRPr="00000000" w14:paraId="00000026">
      <w:pPr>
        <w:spacing w:after="120" w:line="360" w:lineRule="auto"/>
        <w:rPr>
          <w:sz w:val="22"/>
          <w:szCs w:val="22"/>
        </w:rPr>
      </w:pPr>
      <w:r w:rsidDel="00000000" w:rsidR="00000000" w:rsidRPr="00000000">
        <w:rPr>
          <w:sz w:val="22"/>
          <w:szCs w:val="22"/>
          <w:rtl w:val="0"/>
        </w:rPr>
        <w:t xml:space="preserve">evidence to that inquiry (Submission 45) is cited in the committee’s consideration of point-of-sale</w:t>
      </w:r>
    </w:p>
    <w:p w:rsidR="00000000" w:rsidDel="00000000" w:rsidP="00000000" w:rsidRDefault="00000000" w:rsidRPr="00000000" w14:paraId="00000027">
      <w:pPr>
        <w:spacing w:after="120" w:line="360" w:lineRule="auto"/>
        <w:rPr>
          <w:sz w:val="22"/>
          <w:szCs w:val="22"/>
        </w:rPr>
      </w:pPr>
      <w:r w:rsidDel="00000000" w:rsidR="00000000" w:rsidRPr="00000000">
        <w:rPr>
          <w:sz w:val="22"/>
          <w:szCs w:val="22"/>
          <w:rtl w:val="0"/>
        </w:rPr>
        <w:t xml:space="preserve">stablecoin payments (paragraph 5.77) and of cross-border and remittance use cases (paragraphs</w:t>
      </w:r>
    </w:p>
    <w:p w:rsidR="00000000" w:rsidDel="00000000" w:rsidP="00000000" w:rsidRDefault="00000000" w:rsidRPr="00000000" w14:paraId="00000028">
      <w:pPr>
        <w:spacing w:after="120" w:line="360" w:lineRule="auto"/>
        <w:rPr>
          <w:sz w:val="22"/>
          <w:szCs w:val="22"/>
        </w:rPr>
      </w:pPr>
      <w:r w:rsidDel="00000000" w:rsidR="00000000" w:rsidRPr="00000000">
        <w:rPr>
          <w:sz w:val="22"/>
          <w:szCs w:val="22"/>
          <w:rtl w:val="0"/>
        </w:rPr>
        <w:t xml:space="preserve">5.117 to 5.119). Omitting the category from the end-2026 priorities would leave the RBA’s work</w:t>
      </w:r>
    </w:p>
    <w:p w:rsidR="00000000" w:rsidDel="00000000" w:rsidP="00000000" w:rsidRDefault="00000000" w:rsidRPr="00000000" w14:paraId="00000029">
      <w:pPr>
        <w:spacing w:after="120" w:line="360" w:lineRule="auto"/>
        <w:rPr>
          <w:sz w:val="22"/>
          <w:szCs w:val="22"/>
        </w:rPr>
      </w:pPr>
      <w:r w:rsidDel="00000000" w:rsidR="00000000" w:rsidRPr="00000000">
        <w:rPr>
          <w:sz w:val="22"/>
          <w:szCs w:val="22"/>
          <w:rtl w:val="0"/>
        </w:rPr>
        <w:t xml:space="preserve">programme out of step with the direction set by the Parliament: Treasury would be developing an</w:t>
      </w:r>
    </w:p>
    <w:p w:rsidR="00000000" w:rsidDel="00000000" w:rsidP="00000000" w:rsidRDefault="00000000" w:rsidRPr="00000000" w14:paraId="0000002A">
      <w:pPr>
        <w:spacing w:after="120" w:line="360" w:lineRule="auto"/>
        <w:rPr>
          <w:sz w:val="22"/>
          <w:szCs w:val="22"/>
        </w:rPr>
      </w:pPr>
      <w:r w:rsidDel="00000000" w:rsidR="00000000" w:rsidRPr="00000000">
        <w:rPr>
          <w:sz w:val="22"/>
          <w:szCs w:val="22"/>
          <w:rtl w:val="0"/>
        </w:rPr>
        <w:t xml:space="preserve">enablement framework for a payment rail whose competition, efficiency and safety characteristics</w:t>
      </w:r>
    </w:p>
    <w:p w:rsidR="00000000" w:rsidDel="00000000" w:rsidP="00000000" w:rsidRDefault="00000000" w:rsidRPr="00000000" w14:paraId="0000002B">
      <w:pPr>
        <w:spacing w:after="120" w:line="360" w:lineRule="auto"/>
        <w:rPr>
          <w:sz w:val="22"/>
          <w:szCs w:val="22"/>
        </w:rPr>
      </w:pPr>
      <w:r w:rsidDel="00000000" w:rsidR="00000000" w:rsidRPr="00000000">
        <w:rPr>
          <w:sz w:val="22"/>
          <w:szCs w:val="22"/>
          <w:rtl w:val="0"/>
        </w:rPr>
        <w:t xml:space="preserve">the RBA had deferred assessing until mid-2027 at the earliest. Inclusion in the 2026 priorities would</w:t>
      </w:r>
    </w:p>
    <w:p w:rsidR="00000000" w:rsidDel="00000000" w:rsidP="00000000" w:rsidRDefault="00000000" w:rsidRPr="00000000" w14:paraId="0000002C">
      <w:pPr>
        <w:spacing w:after="120" w:line="360" w:lineRule="auto"/>
        <w:rPr>
          <w:sz w:val="22"/>
          <w:szCs w:val="22"/>
        </w:rPr>
      </w:pPr>
      <w:r w:rsidDel="00000000" w:rsidR="00000000" w:rsidRPr="00000000">
        <w:rPr>
          <w:sz w:val="22"/>
          <w:szCs w:val="22"/>
          <w:rtl w:val="0"/>
        </w:rPr>
        <w:t xml:space="preserve">allow the RBA’s assessment to inform, and be informed by, the Government’s response to</w:t>
      </w:r>
    </w:p>
    <w:p w:rsidR="00000000" w:rsidDel="00000000" w:rsidP="00000000" w:rsidRDefault="00000000" w:rsidRPr="00000000" w14:paraId="0000002D">
      <w:pPr>
        <w:spacing w:after="120" w:line="360" w:lineRule="auto"/>
        <w:rPr>
          <w:sz w:val="22"/>
          <w:szCs w:val="22"/>
        </w:rPr>
      </w:pPr>
      <w:r w:rsidDel="00000000" w:rsidR="00000000" w:rsidRPr="00000000">
        <w:rPr>
          <w:sz w:val="22"/>
          <w:szCs w:val="22"/>
          <w:rtl w:val="0"/>
        </w:rPr>
        <w:t xml:space="preserve">Recommendation 12.</w:t>
      </w:r>
    </w:p>
    <w:p w:rsidR="00000000" w:rsidDel="00000000" w:rsidP="00000000" w:rsidRDefault="00000000" w:rsidRPr="00000000" w14:paraId="0000002E">
      <w:pPr>
        <w:spacing w:after="120" w:line="360" w:lineRule="auto"/>
        <w:rPr>
          <w:sz w:val="22"/>
          <w:szCs w:val="22"/>
        </w:rPr>
      </w:pPr>
      <w:r w:rsidDel="00000000" w:rsidR="00000000" w:rsidRPr="00000000">
        <w:rPr>
          <w:rtl w:val="0"/>
        </w:rPr>
      </w:r>
    </w:p>
    <w:p w:rsidR="00000000" w:rsidDel="00000000" w:rsidP="00000000" w:rsidRDefault="00000000" w:rsidRPr="00000000" w14:paraId="0000002F">
      <w:pPr>
        <w:spacing w:after="120" w:line="360" w:lineRule="auto"/>
        <w:rPr>
          <w:sz w:val="22"/>
          <w:szCs w:val="22"/>
        </w:rPr>
      </w:pPr>
      <w:r w:rsidDel="00000000" w:rsidR="00000000" w:rsidRPr="00000000">
        <w:rPr>
          <w:sz w:val="22"/>
          <w:szCs w:val="22"/>
          <w:rtl w:val="0"/>
        </w:rPr>
        <w:t xml:space="preserve">Payment stablecoins also meet the RBA Issue Paper’s assessment criteria. On competition, these rails carry neither interchange nor scheme fees; where an issuer charges nothing to issue, redeem or transfer, the cost borne by the payer is the network fee, paid to the network rather than to an intermediary. From 1 October 2026 the domestic debit and prepaid interchange cap falls to 8 cents or 0.16 per cent and domestic consumer credit to 0.3 per cent, which the RBA estimated would reduce wholesale card costs by around $910 million a year. A rail with no issuer-charged transaction fee is a competitive constraint on card and account-to-account pricing. On efficiency, settlement happens at high speed, without clearing windows, cut-off times or batch processing, and without either party holding participant status in a bank-operated clearing system. Confirmation typically occurs within seconds, while economic finality on some widely used networks is reached in minutes rather than instantaneously, and those differences between networks are material to any assessment the RBA undertakes. On financial safety, reserve reporting is already mandated by paragraph 12 of ASIC Instrument 2025/867, Australian issuers commonly hold reserves in trust so that redemption value is remote from issuer insolvency, sanctions and blocklist screening can be enforced in the token contract itself so that it applies to every transfer rather than only those passing through a screening intermediary, and the ledger produces a timestamped, independently verifiable transaction record that shortens examination and incident investigation. The category also carries real consumer protection gaps, addressed at recommendation 5.</w:t>
      </w:r>
    </w:p>
    <w:p w:rsidR="00000000" w:rsidDel="00000000" w:rsidP="00000000" w:rsidRDefault="00000000" w:rsidRPr="00000000" w14:paraId="00000030">
      <w:pPr>
        <w:spacing w:after="120" w:line="360" w:lineRule="auto"/>
        <w:rPr>
          <w:sz w:val="22"/>
          <w:szCs w:val="22"/>
        </w:rPr>
      </w:pPr>
      <w:r w:rsidDel="00000000" w:rsidR="00000000" w:rsidRPr="00000000">
        <w:rPr>
          <w:sz w:val="22"/>
          <w:szCs w:val="22"/>
          <w:rtl w:val="0"/>
        </w:rPr>
        <w:t xml:space="preserve">Furthermore, the RBA has already examined the rail. Project Acacia tested settlement across twenty use cases using stablecoins, tokenised bank deposits, a pilot wholesale central bank digital currency and Exchange Settlement Account balances, with findings published in May 2026. We ask that the retail and commercial payments implications now enter the payments policy work programme rather than remaining on a separate track.</w:t>
      </w:r>
    </w:p>
    <w:p w:rsidR="00000000" w:rsidDel="00000000" w:rsidP="00000000" w:rsidRDefault="00000000" w:rsidRPr="00000000" w14:paraId="00000031">
      <w:pPr>
        <w:spacing w:after="120" w:line="360" w:lineRule="auto"/>
        <w:rPr>
          <w:sz w:val="22"/>
          <w:szCs w:val="22"/>
        </w:rPr>
      </w:pPr>
      <w:r w:rsidDel="00000000" w:rsidR="00000000" w:rsidRPr="00000000">
        <w:rPr>
          <w:sz w:val="22"/>
          <w:szCs w:val="22"/>
          <w:rtl w:val="0"/>
        </w:rPr>
        <w:t xml:space="preserve">Finally, priority inclusion would suit the timing of regulatory development. Four reform timetables</w:t>
      </w:r>
    </w:p>
    <w:p w:rsidR="00000000" w:rsidDel="00000000" w:rsidP="00000000" w:rsidRDefault="00000000" w:rsidRPr="00000000" w14:paraId="00000032">
      <w:pPr>
        <w:spacing w:after="120" w:line="360" w:lineRule="auto"/>
        <w:rPr>
          <w:sz w:val="22"/>
          <w:szCs w:val="22"/>
        </w:rPr>
      </w:pPr>
      <w:r w:rsidDel="00000000" w:rsidR="00000000" w:rsidRPr="00000000">
        <w:rPr>
          <w:sz w:val="22"/>
          <w:szCs w:val="22"/>
          <w:rtl w:val="0"/>
        </w:rPr>
        <w:t xml:space="preserve">run together: the Corporations Amendment (Digital Assets Framework) Act 2026, assented on 8 April</w:t>
      </w:r>
    </w:p>
    <w:p w:rsidR="00000000" w:rsidDel="00000000" w:rsidP="00000000" w:rsidRDefault="00000000" w:rsidRPr="00000000" w14:paraId="00000033">
      <w:pPr>
        <w:spacing w:after="120" w:line="360" w:lineRule="auto"/>
        <w:rPr>
          <w:sz w:val="22"/>
          <w:szCs w:val="22"/>
        </w:rPr>
      </w:pPr>
      <w:r w:rsidDel="00000000" w:rsidR="00000000" w:rsidRPr="00000000">
        <w:rPr>
          <w:sz w:val="22"/>
          <w:szCs w:val="22"/>
          <w:rtl w:val="0"/>
        </w:rPr>
        <w:t xml:space="preserve">2026 and commencing 9 April 2027; the payments licensing reforms, with Tranche 1 consultation</w:t>
      </w:r>
    </w:p>
    <w:p w:rsidR="00000000" w:rsidDel="00000000" w:rsidP="00000000" w:rsidRDefault="00000000" w:rsidRPr="00000000" w14:paraId="00000034">
      <w:pPr>
        <w:spacing w:after="120" w:line="360" w:lineRule="auto"/>
        <w:rPr>
          <w:sz w:val="22"/>
          <w:szCs w:val="22"/>
        </w:rPr>
      </w:pPr>
      <w:r w:rsidDel="00000000" w:rsidR="00000000" w:rsidRPr="00000000">
        <w:rPr>
          <w:sz w:val="22"/>
          <w:szCs w:val="22"/>
          <w:rtl w:val="0"/>
        </w:rPr>
        <w:t xml:space="preserve">closed on 9 April 2026; Tranche 2 of those reforms, to follow on access regimes and industry</w:t>
      </w:r>
    </w:p>
    <w:p w:rsidR="00000000" w:rsidDel="00000000" w:rsidP="00000000" w:rsidRDefault="00000000" w:rsidRPr="00000000" w14:paraId="00000035">
      <w:pPr>
        <w:spacing w:after="120" w:line="360" w:lineRule="auto"/>
        <w:rPr>
          <w:sz w:val="22"/>
          <w:szCs w:val="22"/>
        </w:rPr>
      </w:pPr>
      <w:r w:rsidDel="00000000" w:rsidR="00000000" w:rsidRPr="00000000">
        <w:rPr>
          <w:sz w:val="22"/>
          <w:szCs w:val="22"/>
          <w:rtl w:val="0"/>
        </w:rPr>
        <w:t xml:space="preserve">standards; and the Government’s forthcoming response to A Level Paying Field, whose</w:t>
      </w:r>
    </w:p>
    <w:p w:rsidR="00000000" w:rsidDel="00000000" w:rsidP="00000000" w:rsidRDefault="00000000" w:rsidRPr="00000000" w14:paraId="00000036">
      <w:pPr>
        <w:spacing w:after="120" w:line="360" w:lineRule="auto"/>
        <w:rPr>
          <w:sz w:val="22"/>
          <w:szCs w:val="22"/>
        </w:rPr>
      </w:pPr>
      <w:r w:rsidDel="00000000" w:rsidR="00000000" w:rsidRPr="00000000">
        <w:rPr>
          <w:sz w:val="22"/>
          <w:szCs w:val="22"/>
          <w:rtl w:val="0"/>
        </w:rPr>
        <w:t xml:space="preserve">Recommendation 12 directs Treasury to establish a stablecoin enablement framework as a matter of</w:t>
      </w:r>
    </w:p>
    <w:p w:rsidR="00000000" w:rsidDel="00000000" w:rsidP="00000000" w:rsidRDefault="00000000" w:rsidRPr="00000000" w14:paraId="00000037">
      <w:pPr>
        <w:spacing w:after="120" w:line="360" w:lineRule="auto"/>
        <w:rPr>
          <w:sz w:val="22"/>
          <w:szCs w:val="22"/>
        </w:rPr>
      </w:pPr>
      <w:r w:rsidDel="00000000" w:rsidR="00000000" w:rsidRPr="00000000">
        <w:rPr>
          <w:sz w:val="22"/>
          <w:szCs w:val="22"/>
          <w:rtl w:val="0"/>
        </w:rPr>
        <w:t xml:space="preserve">urgency. Including payment stablecoins would allow the RBA’s work to develop alongside these</w:t>
      </w:r>
    </w:p>
    <w:p w:rsidR="00000000" w:rsidDel="00000000" w:rsidP="00000000" w:rsidRDefault="00000000" w:rsidRPr="00000000" w14:paraId="00000038">
      <w:pPr>
        <w:spacing w:after="120" w:line="360" w:lineRule="auto"/>
        <w:rPr>
          <w:sz w:val="22"/>
          <w:szCs w:val="22"/>
        </w:rPr>
      </w:pPr>
      <w:r w:rsidDel="00000000" w:rsidR="00000000" w:rsidRPr="00000000">
        <w:rPr>
          <w:sz w:val="22"/>
          <w:szCs w:val="22"/>
          <w:rtl w:val="0"/>
        </w:rPr>
        <w:t xml:space="preserve">reforms rather than behind them.</w:t>
      </w:r>
    </w:p>
    <w:p w:rsidR="00000000" w:rsidDel="00000000" w:rsidP="00000000" w:rsidRDefault="00000000" w:rsidRPr="00000000" w14:paraId="00000039">
      <w:pPr>
        <w:spacing w:after="120" w:line="360" w:lineRule="auto"/>
        <w:rPr>
          <w:sz w:val="22"/>
          <w:szCs w:val="22"/>
        </w:rPr>
      </w:pPr>
      <w:r w:rsidDel="00000000" w:rsidR="00000000" w:rsidRPr="00000000">
        <w:rPr>
          <w:rtl w:val="0"/>
        </w:rPr>
      </w:r>
    </w:p>
    <w:p w:rsidR="00000000" w:rsidDel="00000000" w:rsidP="00000000" w:rsidRDefault="00000000" w:rsidRPr="00000000" w14:paraId="0000003A">
      <w:pPr>
        <w:pStyle w:val="Heading2"/>
        <w:numPr>
          <w:ilvl w:val="0"/>
          <w:numId w:val="2"/>
        </w:numPr>
        <w:spacing w:line="360" w:lineRule="auto"/>
        <w:ind w:left="720" w:hanging="360"/>
        <w:rPr/>
      </w:pPr>
      <w:bookmarkStart w:colFirst="0" w:colLast="0" w:name="_heading=h.vdshla323k24" w:id="7"/>
      <w:bookmarkEnd w:id="7"/>
      <w:r w:rsidDel="00000000" w:rsidR="00000000" w:rsidRPr="00000000">
        <w:rPr>
          <w:rtl w:val="0"/>
        </w:rPr>
        <w:t xml:space="preserve">Technological neutrality in goals, definitions and decisions</w:t>
      </w:r>
      <w:r w:rsidDel="00000000" w:rsidR="00000000" w:rsidRPr="00000000">
        <w:rPr>
          <w:rtl w:val="0"/>
        </w:rPr>
      </w:r>
    </w:p>
    <w:p w:rsidR="00000000" w:rsidDel="00000000" w:rsidP="00000000" w:rsidRDefault="00000000" w:rsidRPr="00000000" w14:paraId="0000003B">
      <w:pPr>
        <w:spacing w:after="120" w:line="360" w:lineRule="auto"/>
        <w:rPr>
          <w:sz w:val="22"/>
          <w:szCs w:val="22"/>
        </w:rPr>
      </w:pPr>
      <w:r w:rsidDel="00000000" w:rsidR="00000000" w:rsidRPr="00000000">
        <w:rPr>
          <w:sz w:val="22"/>
          <w:szCs w:val="22"/>
          <w:rtl w:val="0"/>
        </w:rPr>
        <w:t xml:space="preserve">The RBA's framing is that a well-functioning payments system is characterised by strong contestability, effective interoperability and appropriate standardisation, and that these features support entry and switching, improve price and service outcomes and strengthen resilience. We ask that decisions made against those standards be applied consistently across rails, rather than read as a description of cards and bank-operated clearing systems.</w:t>
      </w:r>
    </w:p>
    <w:p w:rsidR="00000000" w:rsidDel="00000000" w:rsidP="00000000" w:rsidRDefault="00000000" w:rsidRPr="00000000" w14:paraId="0000003C">
      <w:pPr>
        <w:spacing w:after="120" w:line="360" w:lineRule="auto"/>
        <w:rPr>
          <w:sz w:val="22"/>
          <w:szCs w:val="22"/>
        </w:rPr>
      </w:pPr>
      <w:r w:rsidDel="00000000" w:rsidR="00000000" w:rsidRPr="00000000">
        <w:rPr>
          <w:sz w:val="22"/>
          <w:szCs w:val="22"/>
          <w:rtl w:val="0"/>
        </w:rPr>
        <w:t xml:space="preserve">This is the approach the Government has already adopted. The Tranche 1 exposure draft released on 12 March 2026 replaces the existing product-based framework with an activity-based regime that regulates a provider according to the payment function it performs rather than the technology used to perform it, and brings stored value facility providers exceeding $200 million in aggregate stored value within APRA prudential standards. Alignment between the RBA's framing and that framework would avoid an arrangement being regulated as a payment service by Treasury and ASIC while being treated as outside the payments system by the RBA. The same approach is now evident in the European Union under the Markets in Crypto-Assets Regulation, in Singapore under the framework connected to the Payment Services Act, in the United Kingdom under the Financial Services and Markets Act 2023, and in the United States under the GENIUS Act.</w:t>
      </w:r>
    </w:p>
    <w:p w:rsidR="00000000" w:rsidDel="00000000" w:rsidP="00000000" w:rsidRDefault="00000000" w:rsidRPr="00000000" w14:paraId="0000003D">
      <w:pPr>
        <w:pStyle w:val="Heading2"/>
        <w:numPr>
          <w:ilvl w:val="1"/>
          <w:numId w:val="2"/>
        </w:numPr>
        <w:spacing w:line="360" w:lineRule="auto"/>
        <w:ind w:left="1440" w:hanging="360"/>
        <w:rPr/>
      </w:pPr>
      <w:bookmarkStart w:colFirst="0" w:colLast="0" w:name="_heading=h.sqn2i52zxmod" w:id="8"/>
      <w:bookmarkEnd w:id="8"/>
      <w:r w:rsidDel="00000000" w:rsidR="00000000" w:rsidRPr="00000000">
        <w:rPr>
          <w:rtl w:val="0"/>
        </w:rPr>
        <w:t xml:space="preserve">Application to the definition of account-to-account payments (Q14)</w:t>
      </w:r>
      <w:r w:rsidDel="00000000" w:rsidR="00000000" w:rsidRPr="00000000">
        <w:rPr>
          <w:rtl w:val="0"/>
        </w:rPr>
      </w:r>
    </w:p>
    <w:p w:rsidR="00000000" w:rsidDel="00000000" w:rsidP="00000000" w:rsidRDefault="00000000" w:rsidRPr="00000000" w14:paraId="0000003E">
      <w:pPr>
        <w:spacing w:after="120" w:line="360" w:lineRule="auto"/>
        <w:ind w:left="720" w:firstLine="0"/>
        <w:rPr>
          <w:sz w:val="22"/>
          <w:szCs w:val="22"/>
        </w:rPr>
      </w:pPr>
      <w:r w:rsidDel="00000000" w:rsidR="00000000" w:rsidRPr="00000000">
        <w:rPr>
          <w:rtl w:val="0"/>
        </w:rPr>
      </w:r>
    </w:p>
    <w:p w:rsidR="00000000" w:rsidDel="00000000" w:rsidP="00000000" w:rsidRDefault="00000000" w:rsidRPr="00000000" w14:paraId="0000003F">
      <w:pPr>
        <w:spacing w:after="120" w:line="360" w:lineRule="auto"/>
        <w:ind w:left="720" w:firstLine="0"/>
        <w:rPr>
          <w:sz w:val="22"/>
          <w:szCs w:val="22"/>
        </w:rPr>
      </w:pPr>
      <w:r w:rsidDel="00000000" w:rsidR="00000000" w:rsidRPr="00000000">
        <w:rPr>
          <w:sz w:val="22"/>
          <w:szCs w:val="22"/>
          <w:rtl w:val="0"/>
        </w:rPr>
        <w:t xml:space="preserve">The most immediate application of this approach concerns the definitions adopted for account-to-account payments. Defining the concept by reference to BECS and the New Payments Platform excludes rails performing the same economic operation, and carries that exclusion into whatever regulatory settings follow. We propose an outcomes based definition: a transfer of value between accounts or facilities held in the name of the payer and the payee at regulated entities, initiated with the authority of the payer and settled as a direct debit or credit between those accounts or facilities, irrespective of the clearing or settlement infrastructure used.</w:t>
      </w:r>
    </w:p>
    <w:p w:rsidR="00000000" w:rsidDel="00000000" w:rsidP="00000000" w:rsidRDefault="00000000" w:rsidRPr="00000000" w14:paraId="00000040">
      <w:pPr>
        <w:spacing w:after="120" w:line="360" w:lineRule="auto"/>
        <w:ind w:left="720" w:firstLine="0"/>
        <w:rPr>
          <w:sz w:val="22"/>
          <w:szCs w:val="22"/>
        </w:rPr>
      </w:pPr>
      <w:r w:rsidDel="00000000" w:rsidR="00000000" w:rsidRPr="00000000">
        <w:rPr>
          <w:sz w:val="22"/>
          <w:szCs w:val="22"/>
          <w:rtl w:val="0"/>
        </w:rPr>
        <w:t xml:space="preserve">Defining account-to-account payments based on outcome rather than architecture reveals ledger-settled rails as a presently overlooked service, and one which specifically redresses barriers to interoperability which the paper identifies in Section 4.1. On standardisation and interoperability, the paper notes that A2A rails tend to be less compatible with one another due to a combination of technical, procedural and coordination challenges; tokens interoperate by construction, since an application supporting one widely adopted standard can transact with any counterparty using that standard, across institutions and networks, without bilateral integration. We ask that any RBA-coordinated standardisation programme be scoped in architecture-neutral terms, so that ledger-settled payment rails can contribute to greater interoperability across account-to-account payments alongside BECS and the New Payments Platform. </w:t>
      </w:r>
    </w:p>
    <w:p w:rsidR="00000000" w:rsidDel="00000000" w:rsidP="00000000" w:rsidRDefault="00000000" w:rsidRPr="00000000" w14:paraId="00000041">
      <w:pPr>
        <w:pStyle w:val="Heading2"/>
        <w:numPr>
          <w:ilvl w:val="0"/>
          <w:numId w:val="2"/>
        </w:numPr>
        <w:spacing w:after="120" w:before="220" w:line="360" w:lineRule="auto"/>
        <w:ind w:left="720" w:hanging="360"/>
        <w:rPr/>
      </w:pPr>
      <w:bookmarkStart w:colFirst="0" w:colLast="0" w:name="_heading=h.i69o7jgwibz" w:id="9"/>
      <w:bookmarkEnd w:id="9"/>
      <w:r w:rsidDel="00000000" w:rsidR="00000000" w:rsidRPr="00000000">
        <w:rPr>
          <w:rtl w:val="0"/>
        </w:rPr>
        <w:t xml:space="preserve">Settlement access for licensed non-ADI payment providers</w:t>
      </w:r>
      <w:r w:rsidDel="00000000" w:rsidR="00000000" w:rsidRPr="00000000">
        <w:rPr>
          <w:rtl w:val="0"/>
        </w:rPr>
      </w:r>
    </w:p>
    <w:p w:rsidR="00000000" w:rsidDel="00000000" w:rsidP="00000000" w:rsidRDefault="00000000" w:rsidRPr="00000000" w14:paraId="00000042">
      <w:pPr>
        <w:spacing w:after="120" w:line="360" w:lineRule="auto"/>
        <w:rPr>
          <w:sz w:val="22"/>
          <w:szCs w:val="22"/>
        </w:rPr>
      </w:pPr>
      <w:r w:rsidDel="00000000" w:rsidR="00000000" w:rsidRPr="00000000">
        <w:rPr>
          <w:sz w:val="22"/>
          <w:szCs w:val="22"/>
          <w:rtl w:val="0"/>
        </w:rPr>
        <w:t xml:space="preserve">The paper identifies that eligibility criteria for direct access to A2A payment systems generally favour authorised deposit-taking institutions, that options for smaller institutions and non-bank payment service providers to participate directly are limited, that the process can be lengthy, challenging and uncertain, and that access barriers produce gaps in payment capability and variation in end users' experience. We endorse that analysis, and identify it as a challenge faced by participants in the A2A payments system (Q11). </w:t>
      </w:r>
    </w:p>
    <w:p w:rsidR="00000000" w:rsidDel="00000000" w:rsidP="00000000" w:rsidRDefault="00000000" w:rsidRPr="00000000" w14:paraId="00000043">
      <w:pPr>
        <w:spacing w:after="120" w:line="360" w:lineRule="auto"/>
        <w:rPr>
          <w:sz w:val="22"/>
          <w:szCs w:val="22"/>
        </w:rPr>
      </w:pPr>
      <w:r w:rsidDel="00000000" w:rsidR="00000000" w:rsidRPr="00000000">
        <w:rPr>
          <w:sz w:val="22"/>
          <w:szCs w:val="22"/>
          <w:rtl w:val="0"/>
        </w:rPr>
        <w:t xml:space="preserve">A non-ADI cannot hold settlement balances directly, so client funds, float and reserves must be held in accounts at ADIs, and every payment ultimately clears through an institution that is also a competitor. The result is a concentrated dependency in which an account-providing institution can close or freeze an account and the provider's capacity to serve customers depends on commercial decisions it does not control. Indirect access arrangements do not remedy this. Macropod’s position is that this concentration currently poses a barrier to efficiency and competition to the payments system (Q12).</w:t>
      </w:r>
    </w:p>
    <w:p w:rsidR="00000000" w:rsidDel="00000000" w:rsidP="00000000" w:rsidRDefault="00000000" w:rsidRPr="00000000" w14:paraId="00000044">
      <w:pPr>
        <w:spacing w:after="120" w:line="360" w:lineRule="auto"/>
        <w:rPr>
          <w:sz w:val="22"/>
          <w:szCs w:val="22"/>
        </w:rPr>
      </w:pPr>
      <w:r w:rsidDel="00000000" w:rsidR="00000000" w:rsidRPr="00000000">
        <w:rPr>
          <w:sz w:val="22"/>
          <w:szCs w:val="22"/>
          <w:rtl w:val="0"/>
        </w:rPr>
        <w:t xml:space="preserve">We ask that the RBA examine settlement arrangements for licensed non-ADI payment providers, including access to Exchange Settlement Accounts or an equivalent arrangement, with eligibility determined by prudential and operational capability rather than institutional form. Project Acacia already tested new applications of ESA balances in tokenised settlement, so the technical groundwork exists. Treasury has separately indicated it will consider common access requirements and an industry standard-setting body during 2026, and the A2A Payments Roundtable presently comprises AusPayNet, Australian Payments Plus, the RBA and Treasury, all incumbents or authorities. A formal channel for non-bank rail operators into those workstreams, before positions settle, would improve the evidence available to each.</w:t>
      </w:r>
    </w:p>
    <w:p w:rsidR="00000000" w:rsidDel="00000000" w:rsidP="00000000" w:rsidRDefault="00000000" w:rsidRPr="00000000" w14:paraId="00000045">
      <w:pPr>
        <w:spacing w:after="120" w:line="360" w:lineRule="auto"/>
        <w:rPr>
          <w:sz w:val="22"/>
          <w:szCs w:val="22"/>
        </w:rPr>
      </w:pPr>
      <w:r w:rsidDel="00000000" w:rsidR="00000000" w:rsidRPr="00000000">
        <w:rPr>
          <w:sz w:val="22"/>
          <w:szCs w:val="22"/>
          <w:rtl w:val="0"/>
        </w:rPr>
        <w:t xml:space="preserve">These are reasons to address the category now rather than to defer. The third is the most consequential and the least likely to be corrected without regulatory attention. Treasury has indicated that a Code-mandating power and a review of the ePayments Code form part of the payments licensing reform programme. We ask that the RBA support extension of the Code, or its successor framework, to payment stablecoins on a technologically neutral basis, with obligations calibrated to what an issuer controls and clear allocation of responsibility where custody sits with the holder or a third party. The industry should accept obligations on that basis. Further, consistent consumer protection across rails is a precondition for competition between them, because end users cannot meaningfully choose between payment methods whose recourse frameworks differ in ways they cannot assess.</w:t>
      </w:r>
    </w:p>
    <w:p w:rsidR="00000000" w:rsidDel="00000000" w:rsidP="00000000" w:rsidRDefault="00000000" w:rsidRPr="00000000" w14:paraId="00000046">
      <w:pPr>
        <w:spacing w:after="120" w:line="360" w:lineRule="auto"/>
        <w:rPr>
          <w:sz w:val="22"/>
          <w:szCs w:val="22"/>
        </w:rPr>
      </w:pPr>
      <w:r w:rsidDel="00000000" w:rsidR="00000000" w:rsidRPr="00000000">
        <w:rPr>
          <w:sz w:val="22"/>
          <w:szCs w:val="22"/>
          <w:rtl w:val="0"/>
        </w:rPr>
        <w:t xml:space="preserve">We ask that payment stablecoins be included within the scope of the RBA's further review. A deeper understanding of, and engagement with, stablecoin payment services is an important aspect of designing payments system policy capable of fairly and accurately representing consumer choice and competition in the evolving Australian payments landscape. </w:t>
      </w:r>
    </w:p>
    <w:p w:rsidR="00000000" w:rsidDel="00000000" w:rsidP="00000000" w:rsidRDefault="00000000" w:rsidRPr="00000000" w14:paraId="00000047">
      <w:pPr>
        <w:spacing w:after="120" w:line="276" w:lineRule="auto"/>
        <w:rPr/>
      </w:pPr>
      <w:r w:rsidDel="00000000" w:rsidR="00000000" w:rsidRPr="00000000">
        <w:rPr>
          <w:b w:val="1"/>
          <w:bCs w:val="1"/>
          <w:sz w:val="22"/>
          <w:szCs w:val="22"/>
          <w:rtl w:val="0"/>
        </w:rPr>
        <w:t xml:space="preserve">Drew Bradford</w:t>
      </w:r>
      <w:r w:rsidDel="00000000" w:rsidR="00000000" w:rsidRPr="00000000">
        <w:rPr>
          <w:rtl w:val="0"/>
        </w:rPr>
      </w:r>
    </w:p>
    <w:p w:rsidR="00000000" w:rsidDel="00000000" w:rsidP="00000000" w:rsidRDefault="00000000" w:rsidRPr="00000000" w14:paraId="00000048">
      <w:pPr>
        <w:spacing w:after="40" w:lineRule="auto"/>
        <w:rPr/>
      </w:pPr>
      <w:r w:rsidDel="00000000" w:rsidR="00000000" w:rsidRPr="00000000">
        <w:rPr>
          <w:b w:val="1"/>
          <w:bCs w:val="1"/>
          <w:sz w:val="22"/>
          <w:szCs w:val="22"/>
          <w:rtl w:val="0"/>
        </w:rPr>
        <w:t xml:space="preserve">CEO</w:t>
      </w:r>
      <w:r w:rsidDel="00000000" w:rsidR="00000000" w:rsidRPr="00000000">
        <w:rPr>
          <w:rtl w:val="0"/>
        </w:rPr>
      </w:r>
    </w:p>
    <w:p w:rsidR="00000000" w:rsidDel="00000000" w:rsidP="00000000" w:rsidRDefault="00000000" w:rsidRPr="00000000" w14:paraId="00000049">
      <w:pPr>
        <w:spacing w:after="40" w:lineRule="auto"/>
        <w:rPr/>
      </w:pPr>
      <w:r w:rsidDel="00000000" w:rsidR="00000000" w:rsidRPr="00000000">
        <w:rPr>
          <w:sz w:val="22"/>
          <w:szCs w:val="22"/>
          <w:rtl w:val="0"/>
        </w:rPr>
        <w:t xml:space="preserve">Catena Digital Pty Ltd, trading as Macropod Global</w:t>
      </w:r>
      <w:r w:rsidDel="00000000" w:rsidR="00000000" w:rsidRPr="00000000">
        <w:rPr>
          <w:rtl w:val="0"/>
        </w:rPr>
      </w:r>
    </w:p>
    <w:p w:rsidR="00000000" w:rsidDel="00000000" w:rsidP="00000000" w:rsidRDefault="00000000" w:rsidRPr="00000000" w14:paraId="0000004A">
      <w:pPr>
        <w:spacing w:after="40" w:lineRule="auto"/>
        <w:rPr/>
      </w:pPr>
      <w:r w:rsidDel="00000000" w:rsidR="00000000" w:rsidRPr="00000000">
        <w:rPr>
          <w:sz w:val="22"/>
          <w:szCs w:val="22"/>
          <w:rtl w:val="0"/>
        </w:rPr>
        <w:t xml:space="preserve">Australian Financial Services Licence 566313</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ind w:left="720" w:hanging="360"/>
    </w:pPr>
    <w:rPr>
      <w:b w:val="1"/>
      <w:bCs w:val="1"/>
      <w:sz w:val="26"/>
      <w:szCs w:val="26"/>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5.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wpKFpnhvrNMysifw7QCHYnwvUA==">CgMxLjAyDmguYzRrNXM3NHM1ZzZkMg5oLnJ1YjdmOGFrZ3V3cjIOaC43YWZtZ280dzUxaGYyDmgucjBsbnNzZGlrZG5sMg5oLjVoaGdqOGppcWlxaDIOaC5qaTRnNWp0MG5qdGIyDmguNjJlaWc1eWg0MmR5Mg5oLnZkc2hsYTMyM2syNDIOaC5zcW4yaTUyenhtb2QyDWguaTY5bzdqZ3dpYno4AHIhMWlDM0lBeURKeWpzRXhFVkJWNlpPa2JsN3hlWjJITWgx</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6474D5961133C4EAB4E06A228DFEE58" ma:contentTypeVersion="3" ma:contentTypeDescription="Create a new document." ma:contentTypeScope="" ma:versionID="9fcd54684af4bc2e3e12fba3d2ee663e">
  <xsd:schema xmlns:xsd="http://www.w3.org/2001/XMLSchema" xmlns:xs="http://www.w3.org/2001/XMLSchema" xmlns:p="http://schemas.microsoft.com/office/2006/metadata/properties" xmlns:ns2="83822f4d-e4c0-48bf-b768-841e5f404804" xmlns:ns3="a2aa19ac-7254-4672-b5f3-36bb7be1aecc" targetNamespace="http://schemas.microsoft.com/office/2006/metadata/properties" ma:root="true" ma:fieldsID="406ff5dc5739e50793881089d6d6d05a" ns2:_="" ns3:_="">
    <xsd:import namespace="83822f4d-e4c0-48bf-b768-841e5f404804"/>
    <xsd:import namespace="a2aa19ac-7254-4672-b5f3-36bb7be1ae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22f4d-e4c0-48bf-b768-841e5f404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a19ac-7254-4672-b5f3-36bb7be1aec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2aa19ac-7254-4672-b5f3-36bb7be1aecc">W5QWCE3MWNWV-1111276950-155</_dlc_DocId>
    <_dlc_DocIdUrl xmlns="a2aa19ac-7254-4672-b5f3-36bb7be1aecc">
      <Url>https://rbaau.sharepoint.com/sites/py-rrpr/_layouts/15/DocIdRedir.aspx?ID=W5QWCE3MWNWV-1111276950-155</Url>
      <Description>W5QWCE3MWNWV-1111276950-155</Description>
    </_dlc_DocIdUrl>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10CAE06-8E94-4A0C-9317-C4518EB751F3}"/>
</file>

<file path=customXML/itemProps3.xml><?xml version="1.0" encoding="utf-8"?>
<ds:datastoreItem xmlns:ds="http://schemas.openxmlformats.org/officeDocument/2006/customXml" ds:itemID="{F0D8EFF3-86E2-4E1F-8217-7E0E9FE7C4BF}"/>
</file>

<file path=customXML/itemProps4.xml><?xml version="1.0" encoding="utf-8"?>
<ds:datastoreItem xmlns:ds="http://schemas.openxmlformats.org/officeDocument/2006/customXml" ds:itemID="{90116FF0-0B2F-4253-843C-07A9AC2CF3A5}"/>
</file>

<file path=customXML/itemProps5.xml><?xml version="1.0" encoding="utf-8"?>
<ds:datastoreItem xmlns:ds="http://schemas.openxmlformats.org/officeDocument/2006/customXml" ds:itemID="{2C044375-4B35-41A8-94C3-866079524A5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0x010100C6474D5961133C4EAB4E06A228DFEE58</vt:lpwstr>
  </property>
  <property fmtid="{D5CDD505-2E9C-101B-9397-08002B2CF9AE}" pid="3" name="_dlc_DocIdItemGuid">
    <vt:lpwstr>f28616d4-9ef7-4a42-8044-cdf3944cfa54</vt:lpwstr>
  </property>
</Properties>
</file>