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3E652" w14:textId="6C1FF0FD" w:rsidR="00524725" w:rsidRPr="00524725" w:rsidRDefault="00050CAA" w:rsidP="00524725">
      <w:pPr>
        <w:rPr>
          <w:rFonts w:ascii="Arial" w:hAnsi="Arial" w:cs="Arial"/>
          <w:sz w:val="20"/>
          <w:szCs w:val="20"/>
        </w:rPr>
      </w:pPr>
      <w:r>
        <w:rPr>
          <w:rFonts w:ascii="Arial" w:hAnsi="Arial" w:cs="Arial"/>
          <w:sz w:val="20"/>
          <w:szCs w:val="20"/>
        </w:rPr>
        <w:t>7</w:t>
      </w:r>
      <w:r w:rsidR="003A2B05" w:rsidRPr="76537DA9">
        <w:rPr>
          <w:rFonts w:ascii="Arial" w:hAnsi="Arial" w:cs="Arial"/>
          <w:sz w:val="20"/>
          <w:szCs w:val="20"/>
        </w:rPr>
        <w:t xml:space="preserve"> August</w:t>
      </w:r>
      <w:r w:rsidR="00524725" w:rsidRPr="76537DA9">
        <w:rPr>
          <w:rFonts w:ascii="Arial" w:hAnsi="Arial" w:cs="Arial"/>
          <w:sz w:val="20"/>
          <w:szCs w:val="20"/>
        </w:rPr>
        <w:t xml:space="preserve"> 202</w:t>
      </w:r>
      <w:r>
        <w:rPr>
          <w:rFonts w:ascii="Arial" w:hAnsi="Arial" w:cs="Arial"/>
          <w:sz w:val="20"/>
          <w:szCs w:val="20"/>
        </w:rPr>
        <w:t>6</w:t>
      </w:r>
      <w:r w:rsidR="00524725" w:rsidRPr="76537DA9">
        <w:rPr>
          <w:rFonts w:ascii="Arial" w:hAnsi="Arial" w:cs="Arial"/>
          <w:sz w:val="20"/>
          <w:szCs w:val="20"/>
        </w:rPr>
        <w:t> </w:t>
      </w:r>
    </w:p>
    <w:p w14:paraId="3DC7A8A3" w14:textId="3975EA84" w:rsidR="00524725" w:rsidRPr="00524725" w:rsidRDefault="00524725" w:rsidP="002A182E">
      <w:pPr>
        <w:rPr>
          <w:rFonts w:ascii="Arial" w:hAnsi="Arial" w:cs="Arial"/>
          <w:sz w:val="20"/>
          <w:szCs w:val="20"/>
        </w:rPr>
      </w:pPr>
      <w:r>
        <w:rPr>
          <w:noProof/>
        </w:rPr>
        <w:drawing>
          <wp:inline distT="0" distB="0" distL="0" distR="0" wp14:anchorId="2D1FE221" wp14:editId="47DE8DC1">
            <wp:extent cx="790575" cy="857250"/>
            <wp:effectExtent l="0" t="0" r="9525" b="0"/>
            <wp:docPr id="208325864"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5864" name="Picture 4" descr="A black background with a black squar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p w14:paraId="40E03E68" w14:textId="29C98057" w:rsidR="00524725" w:rsidRDefault="00115160" w:rsidP="00CA0E96">
      <w:pPr>
        <w:spacing w:after="0" w:line="240" w:lineRule="auto"/>
        <w:rPr>
          <w:rFonts w:ascii="Arial" w:hAnsi="Arial" w:cs="Arial"/>
          <w:sz w:val="20"/>
          <w:szCs w:val="20"/>
        </w:rPr>
      </w:pPr>
      <w:r>
        <w:rPr>
          <w:rFonts w:ascii="Arial" w:hAnsi="Arial" w:cs="Arial"/>
          <w:sz w:val="20"/>
          <w:szCs w:val="20"/>
        </w:rPr>
        <w:t>Head of Payments Policy Department</w:t>
      </w:r>
    </w:p>
    <w:p w14:paraId="26E40A56" w14:textId="77777777" w:rsidR="00AE2B4E" w:rsidRPr="00524725" w:rsidRDefault="00AE2B4E" w:rsidP="00CA0E96">
      <w:pPr>
        <w:spacing w:after="0" w:line="240" w:lineRule="auto"/>
        <w:rPr>
          <w:rFonts w:ascii="Arial" w:hAnsi="Arial" w:cs="Arial"/>
          <w:sz w:val="20"/>
          <w:szCs w:val="20"/>
        </w:rPr>
      </w:pPr>
      <w:r>
        <w:rPr>
          <w:rFonts w:ascii="Arial" w:hAnsi="Arial" w:cs="Arial"/>
          <w:sz w:val="20"/>
          <w:szCs w:val="20"/>
        </w:rPr>
        <w:t xml:space="preserve">Reserve Bank of Australia </w:t>
      </w:r>
    </w:p>
    <w:p w14:paraId="58B15A5A" w14:textId="62DA5210" w:rsidR="00AE2B4E" w:rsidRDefault="009B3D7D" w:rsidP="00CA0E96">
      <w:pPr>
        <w:spacing w:after="0" w:line="240" w:lineRule="auto"/>
        <w:rPr>
          <w:rFonts w:ascii="Arial" w:hAnsi="Arial" w:cs="Arial"/>
          <w:sz w:val="20"/>
          <w:szCs w:val="20"/>
        </w:rPr>
      </w:pPr>
      <w:r>
        <w:rPr>
          <w:rFonts w:ascii="Arial" w:hAnsi="Arial" w:cs="Arial"/>
          <w:sz w:val="20"/>
          <w:szCs w:val="20"/>
        </w:rPr>
        <w:t>GPO Box 3947</w:t>
      </w:r>
    </w:p>
    <w:p w14:paraId="6A0F25DC" w14:textId="3833143B" w:rsidR="00524725" w:rsidRPr="00524725" w:rsidRDefault="009B3D7D" w:rsidP="00CA0E96">
      <w:pPr>
        <w:spacing w:after="0" w:line="240" w:lineRule="auto"/>
        <w:rPr>
          <w:rFonts w:ascii="Arial" w:hAnsi="Arial" w:cs="Arial"/>
          <w:sz w:val="20"/>
          <w:szCs w:val="20"/>
        </w:rPr>
      </w:pPr>
      <w:r>
        <w:rPr>
          <w:rFonts w:ascii="Arial" w:hAnsi="Arial" w:cs="Arial"/>
          <w:sz w:val="20"/>
          <w:szCs w:val="20"/>
        </w:rPr>
        <w:t>Sydney NSW 2001</w:t>
      </w:r>
    </w:p>
    <w:p w14:paraId="27E28687" w14:textId="77777777" w:rsidR="00A33DC5" w:rsidRDefault="00A33DC5">
      <w:pPr>
        <w:rPr>
          <w:rFonts w:ascii="Arial" w:hAnsi="Arial" w:cs="Arial"/>
          <w:sz w:val="20"/>
          <w:szCs w:val="20"/>
        </w:rPr>
      </w:pPr>
    </w:p>
    <w:p w14:paraId="5F2DEC72" w14:textId="07C99378" w:rsidR="002F00B1" w:rsidRPr="008E290E" w:rsidRDefault="00D75265">
      <w:pPr>
        <w:rPr>
          <w:rFonts w:ascii="Arial" w:hAnsi="Arial" w:cs="Arial"/>
          <w:b/>
          <w:bCs/>
          <w:sz w:val="20"/>
          <w:szCs w:val="20"/>
        </w:rPr>
      </w:pPr>
      <w:r w:rsidRPr="008E290E">
        <w:rPr>
          <w:rFonts w:ascii="Arial" w:hAnsi="Arial" w:cs="Arial"/>
          <w:b/>
          <w:bCs/>
          <w:sz w:val="20"/>
          <w:szCs w:val="20"/>
        </w:rPr>
        <w:t xml:space="preserve">By email: </w:t>
      </w:r>
      <w:r w:rsidR="000A239E">
        <w:rPr>
          <w:rFonts w:ascii="Arial" w:hAnsi="Arial" w:cs="Arial"/>
          <w:b/>
          <w:bCs/>
          <w:sz w:val="20"/>
          <w:szCs w:val="20"/>
        </w:rPr>
        <w:tab/>
      </w:r>
      <w:r w:rsidR="00AE3B90">
        <w:rPr>
          <w:rFonts w:ascii="Arial" w:hAnsi="Arial" w:cs="Arial"/>
          <w:b/>
          <w:bCs/>
          <w:sz w:val="20"/>
          <w:szCs w:val="20"/>
        </w:rPr>
        <w:t>pysubmission@rba.com.au</w:t>
      </w:r>
      <w:r w:rsidR="000A239E">
        <w:rPr>
          <w:rFonts w:ascii="Arial" w:hAnsi="Arial" w:cs="Arial"/>
          <w:b/>
          <w:bCs/>
          <w:sz w:val="20"/>
          <w:szCs w:val="20"/>
        </w:rPr>
        <w:t xml:space="preserve"> </w:t>
      </w:r>
    </w:p>
    <w:p w14:paraId="2ADBDF67" w14:textId="597962EA" w:rsidR="00A33DC5" w:rsidRPr="004331B8" w:rsidRDefault="000C4C45">
      <w:pPr>
        <w:rPr>
          <w:rFonts w:ascii="Arial" w:hAnsi="Arial" w:cs="Arial"/>
          <w:b/>
          <w:bCs/>
          <w:sz w:val="20"/>
          <w:szCs w:val="20"/>
        </w:rPr>
      </w:pPr>
      <w:r w:rsidRPr="008E290E">
        <w:rPr>
          <w:rFonts w:ascii="Arial" w:hAnsi="Arial" w:cs="Arial"/>
          <w:b/>
          <w:bCs/>
          <w:sz w:val="20"/>
          <w:szCs w:val="20"/>
        </w:rPr>
        <w:t xml:space="preserve">Re: </w:t>
      </w:r>
      <w:r w:rsidR="00AE3B90">
        <w:rPr>
          <w:rFonts w:ascii="Arial" w:hAnsi="Arial" w:cs="Arial"/>
          <w:b/>
          <w:bCs/>
          <w:sz w:val="20"/>
          <w:szCs w:val="20"/>
        </w:rPr>
        <w:t xml:space="preserve">Macquarie Bank Submission to </w:t>
      </w:r>
      <w:r w:rsidR="00293368">
        <w:rPr>
          <w:rFonts w:ascii="Arial" w:hAnsi="Arial" w:cs="Arial"/>
          <w:b/>
          <w:bCs/>
          <w:sz w:val="20"/>
          <w:szCs w:val="20"/>
        </w:rPr>
        <w:t>the RBA Review of Payments System Regulation</w:t>
      </w:r>
    </w:p>
    <w:p w14:paraId="12EFC1EA" w14:textId="3082BB38" w:rsidR="009C048E" w:rsidRPr="009C048E" w:rsidRDefault="00000000" w:rsidP="009C048E">
      <w:pPr>
        <w:rPr>
          <w:rFonts w:ascii="Arial" w:hAnsi="Arial" w:cs="Arial"/>
          <w:sz w:val="20"/>
          <w:szCs w:val="20"/>
        </w:rPr>
      </w:pPr>
      <w:r>
        <w:rPr>
          <w:noProof/>
        </w:rPr>
      </w:r>
      <w:r>
        <w:rPr>
          <w:noProof/>
        </w:rPr>
        <w:pict w14:anchorId="71780A5F">
          <v:rect id="Rectangle 7" o:spid="_x0000_s2055" alt="" style="width:451.3pt;height:.4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p>
    <w:p w14:paraId="12EEEBAD" w14:textId="77777777" w:rsidR="009C048E" w:rsidRPr="009C048E" w:rsidRDefault="009C048E" w:rsidP="009C048E">
      <w:pPr>
        <w:rPr>
          <w:rFonts w:ascii="Arial" w:hAnsi="Arial" w:cs="Arial"/>
          <w:b/>
          <w:bCs/>
          <w:sz w:val="20"/>
          <w:szCs w:val="20"/>
        </w:rPr>
      </w:pPr>
      <w:r w:rsidRPr="009C048E">
        <w:rPr>
          <w:rFonts w:ascii="Arial" w:hAnsi="Arial" w:cs="Arial"/>
          <w:b/>
          <w:bCs/>
          <w:sz w:val="20"/>
          <w:szCs w:val="20"/>
        </w:rPr>
        <w:t>Executive Summary</w:t>
      </w:r>
    </w:p>
    <w:p w14:paraId="72D41221" w14:textId="67BBD1D2" w:rsidR="009C048E" w:rsidRPr="009C048E" w:rsidRDefault="009C048E" w:rsidP="009C048E">
      <w:pPr>
        <w:rPr>
          <w:rFonts w:ascii="Arial" w:hAnsi="Arial" w:cs="Arial"/>
          <w:sz w:val="20"/>
          <w:szCs w:val="20"/>
        </w:rPr>
      </w:pPr>
      <w:r w:rsidRPr="5348FBE6">
        <w:rPr>
          <w:rFonts w:ascii="Arial" w:hAnsi="Arial" w:cs="Arial"/>
          <w:sz w:val="20"/>
          <w:szCs w:val="20"/>
        </w:rPr>
        <w:t>Macquarie Bank Limited (</w:t>
      </w:r>
      <w:r w:rsidRPr="5348FBE6">
        <w:rPr>
          <w:rFonts w:ascii="Arial" w:hAnsi="Arial" w:cs="Arial"/>
          <w:b/>
          <w:bCs/>
          <w:sz w:val="20"/>
          <w:szCs w:val="20"/>
        </w:rPr>
        <w:t>Macquarie</w:t>
      </w:r>
      <w:r w:rsidRPr="5348FBE6">
        <w:rPr>
          <w:rFonts w:ascii="Arial" w:hAnsi="Arial" w:cs="Arial"/>
          <w:sz w:val="20"/>
          <w:szCs w:val="20"/>
        </w:rPr>
        <w:t>) welcomes the opportunity to provide this submission to the Reserve Bank of Australia (</w:t>
      </w:r>
      <w:r w:rsidRPr="5348FBE6">
        <w:rPr>
          <w:rFonts w:ascii="Arial" w:hAnsi="Arial" w:cs="Arial"/>
          <w:b/>
          <w:bCs/>
          <w:sz w:val="20"/>
          <w:szCs w:val="20"/>
        </w:rPr>
        <w:t>RBA</w:t>
      </w:r>
      <w:r w:rsidRPr="5348FBE6">
        <w:rPr>
          <w:rFonts w:ascii="Arial" w:hAnsi="Arial" w:cs="Arial"/>
          <w:sz w:val="20"/>
          <w:szCs w:val="20"/>
        </w:rPr>
        <w:t xml:space="preserve">) in response to the </w:t>
      </w:r>
      <w:r w:rsidRPr="5348FBE6">
        <w:rPr>
          <w:rFonts w:ascii="Arial" w:hAnsi="Arial" w:cs="Arial"/>
          <w:i/>
          <w:iCs/>
          <w:sz w:val="20"/>
          <w:szCs w:val="20"/>
        </w:rPr>
        <w:t>Review of Payments System Regulation Issues Paper</w:t>
      </w:r>
      <w:r w:rsidRPr="5348FBE6">
        <w:rPr>
          <w:rFonts w:ascii="Arial" w:hAnsi="Arial" w:cs="Arial"/>
          <w:sz w:val="20"/>
          <w:szCs w:val="20"/>
        </w:rPr>
        <w:t xml:space="preserve"> (25 June 2026). </w:t>
      </w:r>
      <w:r w:rsidR="004331B8" w:rsidRPr="5348FBE6">
        <w:rPr>
          <w:rFonts w:ascii="Arial" w:hAnsi="Arial" w:cs="Arial"/>
          <w:sz w:val="20"/>
          <w:szCs w:val="20"/>
        </w:rPr>
        <w:t xml:space="preserve"> </w:t>
      </w:r>
      <w:r w:rsidRPr="5348FBE6">
        <w:rPr>
          <w:rFonts w:ascii="Arial" w:hAnsi="Arial" w:cs="Arial"/>
          <w:sz w:val="20"/>
          <w:szCs w:val="20"/>
        </w:rPr>
        <w:t xml:space="preserve">As a leading retail bank in Australia, Macquarie strongly supports the RBA’s exercise of its expanded powers under the amended </w:t>
      </w:r>
      <w:r w:rsidRPr="5348FBE6">
        <w:rPr>
          <w:rFonts w:ascii="Arial" w:hAnsi="Arial" w:cs="Arial"/>
          <w:i/>
          <w:iCs/>
          <w:sz w:val="20"/>
          <w:szCs w:val="20"/>
        </w:rPr>
        <w:t>Payment Systems (Regulation) Act 1998</w:t>
      </w:r>
      <w:r w:rsidRPr="5348FBE6">
        <w:rPr>
          <w:rFonts w:ascii="Arial" w:hAnsi="Arial" w:cs="Arial"/>
          <w:sz w:val="20"/>
          <w:szCs w:val="20"/>
        </w:rPr>
        <w:t xml:space="preserve"> (</w:t>
      </w:r>
      <w:r w:rsidRPr="5348FBE6">
        <w:rPr>
          <w:rFonts w:ascii="Arial" w:hAnsi="Arial" w:cs="Arial"/>
          <w:b/>
          <w:bCs/>
          <w:sz w:val="20"/>
          <w:szCs w:val="20"/>
        </w:rPr>
        <w:t>PSRA</w:t>
      </w:r>
      <w:r w:rsidRPr="5348FBE6">
        <w:rPr>
          <w:rFonts w:ascii="Arial" w:hAnsi="Arial" w:cs="Arial"/>
          <w:sz w:val="20"/>
          <w:szCs w:val="20"/>
        </w:rPr>
        <w:t>) to foster competition, efficiency, and financial safety across the payments ecosystem.</w:t>
      </w:r>
    </w:p>
    <w:p w14:paraId="4CC8645D" w14:textId="15DD1344" w:rsidR="009C048E" w:rsidRPr="009C048E" w:rsidRDefault="009C048E" w:rsidP="009C048E">
      <w:pPr>
        <w:rPr>
          <w:rFonts w:ascii="Arial" w:hAnsi="Arial" w:cs="Arial"/>
          <w:sz w:val="20"/>
          <w:szCs w:val="20"/>
        </w:rPr>
      </w:pPr>
      <w:r w:rsidRPr="009C048E">
        <w:rPr>
          <w:rFonts w:ascii="Arial" w:hAnsi="Arial" w:cs="Arial"/>
          <w:sz w:val="20"/>
          <w:szCs w:val="20"/>
        </w:rPr>
        <w:t xml:space="preserve">The core thesis of Macquarie’s submission is that </w:t>
      </w:r>
      <w:r w:rsidRPr="009C048E">
        <w:rPr>
          <w:rFonts w:ascii="Arial" w:hAnsi="Arial" w:cs="Arial"/>
          <w:b/>
          <w:bCs/>
          <w:sz w:val="20"/>
          <w:szCs w:val="20"/>
        </w:rPr>
        <w:t>the RBA’s primary regulatory priority must be actively driving the moderni</w:t>
      </w:r>
      <w:r w:rsidR="00DA253D">
        <w:rPr>
          <w:rFonts w:ascii="Arial" w:hAnsi="Arial" w:cs="Arial"/>
          <w:b/>
          <w:bCs/>
          <w:sz w:val="20"/>
          <w:szCs w:val="20"/>
        </w:rPr>
        <w:t>s</w:t>
      </w:r>
      <w:r w:rsidRPr="009C048E">
        <w:rPr>
          <w:rFonts w:ascii="Arial" w:hAnsi="Arial" w:cs="Arial"/>
          <w:b/>
          <w:bCs/>
          <w:sz w:val="20"/>
          <w:szCs w:val="20"/>
        </w:rPr>
        <w:t>ation and expansion of Australia’s Account-to-Account (A2A) payments infrastructure in the public interest</w:t>
      </w:r>
      <w:r w:rsidR="00DA253D">
        <w:rPr>
          <w:rFonts w:ascii="Arial" w:hAnsi="Arial" w:cs="Arial"/>
          <w:b/>
          <w:bCs/>
          <w:sz w:val="20"/>
          <w:szCs w:val="20"/>
        </w:rPr>
        <w:t>.</w:t>
      </w:r>
    </w:p>
    <w:p w14:paraId="692BBEF0" w14:textId="4E9E41EE" w:rsidR="0035178D" w:rsidRDefault="0035178D" w:rsidP="009C048E">
      <w:pPr>
        <w:rPr>
          <w:rFonts w:ascii="Arial" w:hAnsi="Arial" w:cs="Arial"/>
          <w:sz w:val="20"/>
          <w:szCs w:val="20"/>
        </w:rPr>
      </w:pPr>
      <w:r w:rsidRPr="09F9FD9F">
        <w:rPr>
          <w:rFonts w:ascii="Arial" w:hAnsi="Arial" w:cs="Arial"/>
          <w:sz w:val="20"/>
          <w:szCs w:val="20"/>
        </w:rPr>
        <w:t xml:space="preserve">Recent changes to cards regulation, capping interchange and allowing surcharging to be banned, are a significant step toward </w:t>
      </w:r>
      <w:r w:rsidR="00800498" w:rsidRPr="09F9FD9F">
        <w:rPr>
          <w:rFonts w:ascii="Arial" w:hAnsi="Arial" w:cs="Arial"/>
          <w:sz w:val="20"/>
          <w:szCs w:val="20"/>
        </w:rPr>
        <w:t xml:space="preserve">an Australian payments system that </w:t>
      </w:r>
      <w:r w:rsidR="006D45FD" w:rsidRPr="09F9FD9F">
        <w:rPr>
          <w:rFonts w:ascii="Arial" w:hAnsi="Arial" w:cs="Arial"/>
          <w:sz w:val="20"/>
          <w:szCs w:val="20"/>
        </w:rPr>
        <w:t xml:space="preserve">supports the public interest </w:t>
      </w:r>
      <w:r w:rsidR="00387969" w:rsidRPr="09F9FD9F">
        <w:rPr>
          <w:rFonts w:ascii="Arial" w:hAnsi="Arial" w:cs="Arial"/>
          <w:sz w:val="20"/>
          <w:szCs w:val="20"/>
        </w:rPr>
        <w:t xml:space="preserve">and ensures that incentives are aligned with the long-term interests of </w:t>
      </w:r>
      <w:r w:rsidR="00411480" w:rsidRPr="09F9FD9F">
        <w:rPr>
          <w:rFonts w:ascii="Arial" w:hAnsi="Arial" w:cs="Arial"/>
          <w:sz w:val="20"/>
          <w:szCs w:val="20"/>
        </w:rPr>
        <w:t>customers</w:t>
      </w:r>
      <w:r w:rsidR="00387969" w:rsidRPr="09F9FD9F">
        <w:rPr>
          <w:rFonts w:ascii="Arial" w:hAnsi="Arial" w:cs="Arial"/>
          <w:sz w:val="20"/>
          <w:szCs w:val="20"/>
        </w:rPr>
        <w:t>, businesses and the economy.</w:t>
      </w:r>
      <w:r w:rsidR="00D42E3F" w:rsidRPr="09F9FD9F">
        <w:rPr>
          <w:rFonts w:ascii="Arial" w:hAnsi="Arial" w:cs="Arial"/>
          <w:sz w:val="20"/>
          <w:szCs w:val="20"/>
        </w:rPr>
        <w:t xml:space="preserve">  </w:t>
      </w:r>
      <w:r w:rsidR="00003A9B" w:rsidRPr="09F9FD9F">
        <w:rPr>
          <w:rFonts w:ascii="Arial" w:hAnsi="Arial" w:cs="Arial"/>
          <w:sz w:val="20"/>
          <w:szCs w:val="20"/>
        </w:rPr>
        <w:t xml:space="preserve">Incremental refinements to debit card routing, tokenisation, and merchant surcharging remain relevant as part of RBA’s ongoing role, but the most impactful issues have been addressed in the recent Merchant Card Payment Costs and Surcharging Review.  </w:t>
      </w:r>
    </w:p>
    <w:p w14:paraId="6AA79090" w14:textId="324F8EFD" w:rsidR="008C6950" w:rsidRDefault="006B4FDE" w:rsidP="009C048E">
      <w:pPr>
        <w:rPr>
          <w:rFonts w:ascii="Arial" w:hAnsi="Arial" w:cs="Arial"/>
          <w:sz w:val="20"/>
          <w:szCs w:val="20"/>
        </w:rPr>
      </w:pPr>
      <w:r>
        <w:rPr>
          <w:rFonts w:ascii="Arial" w:hAnsi="Arial" w:cs="Arial"/>
          <w:sz w:val="20"/>
          <w:szCs w:val="20"/>
        </w:rPr>
        <w:t xml:space="preserve">The RBA’s main opportunity </w:t>
      </w:r>
      <w:r w:rsidR="00227206">
        <w:rPr>
          <w:rFonts w:ascii="Arial" w:hAnsi="Arial" w:cs="Arial"/>
          <w:sz w:val="20"/>
          <w:szCs w:val="20"/>
        </w:rPr>
        <w:t xml:space="preserve">to drive efficiency, safety and competition in payments </w:t>
      </w:r>
      <w:r w:rsidR="00CD3691">
        <w:rPr>
          <w:rFonts w:ascii="Arial" w:hAnsi="Arial" w:cs="Arial"/>
          <w:sz w:val="20"/>
          <w:szCs w:val="20"/>
        </w:rPr>
        <w:t>now lies in ensuring that Australia has an A2A system</w:t>
      </w:r>
      <w:r w:rsidR="0009095D">
        <w:rPr>
          <w:rFonts w:ascii="Arial" w:hAnsi="Arial" w:cs="Arial"/>
          <w:sz w:val="20"/>
          <w:szCs w:val="20"/>
        </w:rPr>
        <w:t xml:space="preserve"> that can be relied on for its traditional uses, and</w:t>
      </w:r>
      <w:r w:rsidR="00CD3691">
        <w:rPr>
          <w:rFonts w:ascii="Arial" w:hAnsi="Arial" w:cs="Arial"/>
          <w:sz w:val="20"/>
          <w:szCs w:val="20"/>
        </w:rPr>
        <w:t xml:space="preserve"> </w:t>
      </w:r>
      <w:r w:rsidR="00833ADB">
        <w:rPr>
          <w:rFonts w:ascii="Arial" w:hAnsi="Arial" w:cs="Arial"/>
          <w:sz w:val="20"/>
          <w:szCs w:val="20"/>
        </w:rPr>
        <w:t>that acts as a real alternative to cards for many retail use cases</w:t>
      </w:r>
      <w:r w:rsidR="0009095D">
        <w:rPr>
          <w:rFonts w:ascii="Arial" w:hAnsi="Arial" w:cs="Arial"/>
          <w:sz w:val="20"/>
          <w:szCs w:val="20"/>
        </w:rPr>
        <w:t>.</w:t>
      </w:r>
      <w:r w:rsidR="00BD310C">
        <w:rPr>
          <w:rFonts w:ascii="Arial" w:hAnsi="Arial" w:cs="Arial"/>
          <w:sz w:val="20"/>
          <w:szCs w:val="20"/>
        </w:rPr>
        <w:t xml:space="preserve">  A focus on A2A is necessary to ensure that the benefits of card reform are realised.</w:t>
      </w:r>
    </w:p>
    <w:p w14:paraId="3EBF1EAC" w14:textId="01C48178" w:rsidR="009C048E" w:rsidRPr="009C048E" w:rsidRDefault="009C048E" w:rsidP="009C048E">
      <w:pPr>
        <w:rPr>
          <w:rFonts w:ascii="Arial" w:hAnsi="Arial" w:cs="Arial"/>
          <w:sz w:val="20"/>
          <w:szCs w:val="20"/>
        </w:rPr>
      </w:pPr>
      <w:r w:rsidRPr="009C048E">
        <w:rPr>
          <w:rFonts w:ascii="Arial" w:hAnsi="Arial" w:cs="Arial"/>
          <w:sz w:val="20"/>
          <w:szCs w:val="20"/>
        </w:rPr>
        <w:t>An efficient, feature-rich, and resilient domestic real-time A2A network is essential to:</w:t>
      </w:r>
    </w:p>
    <w:p w14:paraId="450892FC" w14:textId="4F697A8D" w:rsidR="009C048E" w:rsidRPr="009C048E" w:rsidRDefault="009C048E">
      <w:pPr>
        <w:numPr>
          <w:ilvl w:val="0"/>
          <w:numId w:val="3"/>
        </w:numPr>
        <w:rPr>
          <w:rFonts w:ascii="Arial" w:hAnsi="Arial" w:cs="Arial"/>
          <w:sz w:val="20"/>
          <w:szCs w:val="20"/>
        </w:rPr>
      </w:pPr>
      <w:r w:rsidRPr="0EA844D9">
        <w:rPr>
          <w:rFonts w:ascii="Arial" w:hAnsi="Arial" w:cs="Arial"/>
          <w:b/>
          <w:bCs/>
          <w:sz w:val="20"/>
          <w:szCs w:val="20"/>
        </w:rPr>
        <w:t>Drive Genuine Banking Competition:</w:t>
      </w:r>
      <w:r w:rsidRPr="0EA844D9">
        <w:rPr>
          <w:rFonts w:ascii="Arial" w:hAnsi="Arial" w:cs="Arial"/>
          <w:sz w:val="20"/>
          <w:szCs w:val="20"/>
        </w:rPr>
        <w:t xml:space="preserve"> Establishing a frictionless, low-cost A2A alternative to card rails breaks the structural advantage enjoyed by incumbent card schemes and major acquirers, creating a level playing field</w:t>
      </w:r>
      <w:r w:rsidRPr="006E695B">
        <w:rPr>
          <w:rFonts w:eastAsiaTheme="minorEastAsia"/>
          <w:sz w:val="20"/>
          <w:szCs w:val="20"/>
        </w:rPr>
        <w:t xml:space="preserve"> for </w:t>
      </w:r>
      <w:r w:rsidR="45B19709" w:rsidRPr="006E695B">
        <w:rPr>
          <w:rFonts w:eastAsiaTheme="minorEastAsia"/>
          <w:sz w:val="20"/>
          <w:szCs w:val="20"/>
        </w:rPr>
        <w:t>smaller</w:t>
      </w:r>
      <w:r w:rsidRPr="0EA844D9">
        <w:rPr>
          <w:rFonts w:ascii="Arial" w:hAnsi="Arial" w:cs="Arial"/>
          <w:sz w:val="20"/>
          <w:szCs w:val="20"/>
        </w:rPr>
        <w:t xml:space="preserve"> banks and innovative fintechs</w:t>
      </w:r>
      <w:r w:rsidR="0034095B" w:rsidRPr="0EA844D9">
        <w:rPr>
          <w:rFonts w:ascii="Arial" w:hAnsi="Arial" w:cs="Arial"/>
          <w:sz w:val="20"/>
          <w:szCs w:val="20"/>
        </w:rPr>
        <w:t>.</w:t>
      </w:r>
    </w:p>
    <w:p w14:paraId="74FBB9F7" w14:textId="5DACC5F2" w:rsidR="009C048E" w:rsidRPr="009C048E" w:rsidRDefault="009C048E" w:rsidP="009C048E">
      <w:pPr>
        <w:numPr>
          <w:ilvl w:val="0"/>
          <w:numId w:val="3"/>
        </w:numPr>
        <w:rPr>
          <w:rFonts w:ascii="Arial" w:hAnsi="Arial" w:cs="Arial"/>
          <w:sz w:val="20"/>
          <w:szCs w:val="20"/>
        </w:rPr>
      </w:pPr>
      <w:r w:rsidRPr="009C048E">
        <w:rPr>
          <w:rFonts w:ascii="Arial" w:hAnsi="Arial" w:cs="Arial"/>
          <w:b/>
          <w:bCs/>
          <w:sz w:val="20"/>
          <w:szCs w:val="20"/>
        </w:rPr>
        <w:t>Lower Payment Acceptance Costs for Merchants:</w:t>
      </w:r>
      <w:r w:rsidRPr="009C048E">
        <w:rPr>
          <w:rFonts w:ascii="Arial" w:hAnsi="Arial" w:cs="Arial"/>
          <w:sz w:val="20"/>
          <w:szCs w:val="20"/>
        </w:rPr>
        <w:t xml:space="preserve"> International experience—most notably in the United Kingdom (</w:t>
      </w:r>
      <w:r w:rsidRPr="009C048E">
        <w:rPr>
          <w:rFonts w:ascii="Arial" w:hAnsi="Arial" w:cs="Arial"/>
          <w:i/>
          <w:iCs/>
          <w:sz w:val="20"/>
          <w:szCs w:val="20"/>
        </w:rPr>
        <w:t>Pay by Bank</w:t>
      </w:r>
      <w:r w:rsidRPr="009C048E">
        <w:rPr>
          <w:rFonts w:ascii="Arial" w:hAnsi="Arial" w:cs="Arial"/>
          <w:sz w:val="20"/>
          <w:szCs w:val="20"/>
        </w:rPr>
        <w:t xml:space="preserve"> / </w:t>
      </w:r>
      <w:r w:rsidRPr="00D926D1">
        <w:rPr>
          <w:rFonts w:ascii="Arial" w:hAnsi="Arial" w:cs="Arial"/>
          <w:i/>
          <w:iCs/>
          <w:sz w:val="20"/>
          <w:szCs w:val="20"/>
        </w:rPr>
        <w:t>Faster Payments</w:t>
      </w:r>
      <w:r w:rsidRPr="009C048E">
        <w:rPr>
          <w:rFonts w:ascii="Arial" w:hAnsi="Arial" w:cs="Arial"/>
          <w:sz w:val="20"/>
          <w:szCs w:val="20"/>
        </w:rPr>
        <w:t>) and Canada (</w:t>
      </w:r>
      <w:r w:rsidRPr="009C048E">
        <w:rPr>
          <w:rFonts w:ascii="Arial" w:hAnsi="Arial" w:cs="Arial"/>
          <w:i/>
          <w:iCs/>
          <w:sz w:val="20"/>
          <w:szCs w:val="20"/>
        </w:rPr>
        <w:t>Real-Time Rail</w:t>
      </w:r>
      <w:r w:rsidRPr="009C048E">
        <w:rPr>
          <w:rFonts w:ascii="Arial" w:hAnsi="Arial" w:cs="Arial"/>
          <w:sz w:val="20"/>
          <w:szCs w:val="20"/>
        </w:rPr>
        <w:t>)—demonstrates that well-governed real-time account rails exert immediate downward pressure on merchant service costs across the econom</w:t>
      </w:r>
      <w:r w:rsidR="00E31E4D">
        <w:rPr>
          <w:rFonts w:ascii="Arial" w:hAnsi="Arial" w:cs="Arial"/>
          <w:sz w:val="20"/>
          <w:szCs w:val="20"/>
        </w:rPr>
        <w:t>y.</w:t>
      </w:r>
    </w:p>
    <w:p w14:paraId="781A3290" w14:textId="6EFA5591" w:rsidR="009C048E" w:rsidRPr="009C048E" w:rsidRDefault="009C048E" w:rsidP="009C048E">
      <w:pPr>
        <w:numPr>
          <w:ilvl w:val="0"/>
          <w:numId w:val="3"/>
        </w:numPr>
        <w:rPr>
          <w:rFonts w:ascii="Arial" w:hAnsi="Arial" w:cs="Arial"/>
          <w:sz w:val="20"/>
          <w:szCs w:val="20"/>
        </w:rPr>
      </w:pPr>
      <w:r w:rsidRPr="009C048E">
        <w:rPr>
          <w:rFonts w:ascii="Arial" w:hAnsi="Arial" w:cs="Arial"/>
          <w:b/>
          <w:bCs/>
          <w:sz w:val="20"/>
          <w:szCs w:val="20"/>
        </w:rPr>
        <w:lastRenderedPageBreak/>
        <w:t>Enhance Systemic Resilience:</w:t>
      </w:r>
      <w:r w:rsidRPr="009C048E">
        <w:rPr>
          <w:rFonts w:ascii="Arial" w:hAnsi="Arial" w:cs="Arial"/>
          <w:sz w:val="20"/>
          <w:szCs w:val="20"/>
        </w:rPr>
        <w:t xml:space="preserve"> A robust retail A2A network provides a true, independent operational backup to international card rails during widespread disruptions, safeguarding Australia’s national financial infrastructure.</w:t>
      </w:r>
    </w:p>
    <w:p w14:paraId="2012A57E" w14:textId="6E8AEE03" w:rsidR="009C048E" w:rsidRDefault="009C048E" w:rsidP="009C048E">
      <w:pPr>
        <w:rPr>
          <w:rFonts w:ascii="Arial" w:hAnsi="Arial" w:cs="Arial"/>
          <w:sz w:val="20"/>
          <w:szCs w:val="20"/>
        </w:rPr>
      </w:pPr>
      <w:r w:rsidRPr="09F9FD9F">
        <w:rPr>
          <w:rFonts w:ascii="Arial" w:hAnsi="Arial" w:cs="Arial"/>
          <w:sz w:val="20"/>
          <w:szCs w:val="20"/>
        </w:rPr>
        <w:t xml:space="preserve">To achieve this vision, </w:t>
      </w:r>
      <w:r w:rsidR="008062AD" w:rsidRPr="09F9FD9F">
        <w:rPr>
          <w:rFonts w:ascii="Arial" w:hAnsi="Arial" w:cs="Arial"/>
          <w:sz w:val="20"/>
          <w:szCs w:val="20"/>
        </w:rPr>
        <w:t xml:space="preserve">we believe </w:t>
      </w:r>
      <w:r w:rsidRPr="09F9FD9F">
        <w:rPr>
          <w:rFonts w:ascii="Arial" w:hAnsi="Arial" w:cs="Arial"/>
          <w:sz w:val="20"/>
          <w:szCs w:val="20"/>
        </w:rPr>
        <w:t>the RBA must address the structural governance bottlenecks currently slowing A2A moderni</w:t>
      </w:r>
      <w:r w:rsidR="000C69F1" w:rsidRPr="09F9FD9F">
        <w:rPr>
          <w:rFonts w:ascii="Arial" w:hAnsi="Arial" w:cs="Arial"/>
          <w:sz w:val="20"/>
          <w:szCs w:val="20"/>
        </w:rPr>
        <w:t>s</w:t>
      </w:r>
      <w:r w:rsidRPr="09F9FD9F">
        <w:rPr>
          <w:rFonts w:ascii="Arial" w:hAnsi="Arial" w:cs="Arial"/>
          <w:sz w:val="20"/>
          <w:szCs w:val="20"/>
        </w:rPr>
        <w:t xml:space="preserve">ation. Macquarie advocates for a clear rationalisation of payments industry architecture: </w:t>
      </w:r>
      <w:r w:rsidRPr="09F9FD9F">
        <w:rPr>
          <w:rFonts w:ascii="Arial" w:hAnsi="Arial" w:cs="Arial"/>
          <w:b/>
          <w:bCs/>
          <w:sz w:val="20"/>
          <w:szCs w:val="20"/>
        </w:rPr>
        <w:t>Australian Payments Plus (AP+) should act as the single scheme operator for both BECS and the New Payments Platform (NPP)</w:t>
      </w:r>
      <w:r w:rsidRPr="09F9FD9F">
        <w:rPr>
          <w:rFonts w:ascii="Arial" w:hAnsi="Arial" w:cs="Arial"/>
          <w:sz w:val="20"/>
          <w:szCs w:val="20"/>
        </w:rPr>
        <w:t xml:space="preserve"> under a direct public interest mandate set by the </w:t>
      </w:r>
      <w:r w:rsidR="00CD57DF" w:rsidRPr="09F9FD9F">
        <w:rPr>
          <w:rFonts w:ascii="Arial" w:hAnsi="Arial" w:cs="Arial"/>
          <w:sz w:val="20"/>
          <w:szCs w:val="20"/>
        </w:rPr>
        <w:t>PSB (with Treasury)</w:t>
      </w:r>
      <w:r w:rsidRPr="09F9FD9F">
        <w:rPr>
          <w:rFonts w:ascii="Arial" w:hAnsi="Arial" w:cs="Arial"/>
          <w:sz w:val="20"/>
          <w:szCs w:val="20"/>
        </w:rPr>
        <w:t xml:space="preserve">, while </w:t>
      </w:r>
      <w:r w:rsidRPr="09F9FD9F">
        <w:rPr>
          <w:rFonts w:ascii="Arial" w:hAnsi="Arial" w:cs="Arial"/>
          <w:b/>
          <w:bCs/>
          <w:sz w:val="20"/>
          <w:szCs w:val="20"/>
        </w:rPr>
        <w:t>Australian Payments Network (</w:t>
      </w:r>
      <w:proofErr w:type="spellStart"/>
      <w:r w:rsidRPr="09F9FD9F">
        <w:rPr>
          <w:rFonts w:ascii="Arial" w:hAnsi="Arial" w:cs="Arial"/>
          <w:b/>
          <w:bCs/>
          <w:sz w:val="20"/>
          <w:szCs w:val="20"/>
        </w:rPr>
        <w:t>AusPayNet</w:t>
      </w:r>
      <w:proofErr w:type="spellEnd"/>
      <w:r w:rsidRPr="09F9FD9F">
        <w:rPr>
          <w:rFonts w:ascii="Arial" w:hAnsi="Arial" w:cs="Arial"/>
          <w:b/>
          <w:bCs/>
          <w:sz w:val="20"/>
          <w:szCs w:val="20"/>
        </w:rPr>
        <w:t>)</w:t>
      </w:r>
      <w:r w:rsidRPr="09F9FD9F">
        <w:rPr>
          <w:rFonts w:ascii="Arial" w:hAnsi="Arial" w:cs="Arial"/>
          <w:sz w:val="20"/>
          <w:szCs w:val="20"/>
        </w:rPr>
        <w:t xml:space="preserve"> focuses exclusively on technical standards setting.</w:t>
      </w:r>
    </w:p>
    <w:p w14:paraId="6FF3A806" w14:textId="7C2D3703" w:rsidR="00CD57DF" w:rsidRPr="009C048E" w:rsidRDefault="00086613" w:rsidP="009C048E">
      <w:pPr>
        <w:rPr>
          <w:rFonts w:ascii="Arial" w:hAnsi="Arial" w:cs="Arial"/>
          <w:sz w:val="20"/>
          <w:szCs w:val="20"/>
        </w:rPr>
      </w:pPr>
      <w:r>
        <w:rPr>
          <w:rFonts w:ascii="Arial" w:hAnsi="Arial" w:cs="Arial"/>
          <w:sz w:val="20"/>
          <w:szCs w:val="20"/>
        </w:rPr>
        <w:t>This clarity of roles and vision will ensure that Australia’s payments system remains globally competitive</w:t>
      </w:r>
      <w:r w:rsidR="0050230F">
        <w:rPr>
          <w:rFonts w:ascii="Arial" w:hAnsi="Arial" w:cs="Arial"/>
          <w:sz w:val="20"/>
          <w:szCs w:val="20"/>
        </w:rPr>
        <w:t xml:space="preserve">, and the innovation and competition is supported </w:t>
      </w:r>
      <w:r w:rsidR="00C042E6">
        <w:rPr>
          <w:rFonts w:ascii="Arial" w:hAnsi="Arial" w:cs="Arial"/>
          <w:sz w:val="20"/>
          <w:szCs w:val="20"/>
        </w:rPr>
        <w:t>for the public interest</w:t>
      </w:r>
      <w:r w:rsidR="00800498">
        <w:rPr>
          <w:rFonts w:ascii="Arial" w:hAnsi="Arial" w:cs="Arial"/>
          <w:sz w:val="20"/>
          <w:szCs w:val="20"/>
        </w:rPr>
        <w:t>.</w:t>
      </w:r>
    </w:p>
    <w:p w14:paraId="06638AE6" w14:textId="32BF61E3" w:rsidR="009C048E" w:rsidRPr="009C048E" w:rsidRDefault="009C048E" w:rsidP="009C048E">
      <w:pPr>
        <w:rPr>
          <w:rFonts w:ascii="Arial" w:hAnsi="Arial" w:cs="Arial"/>
          <w:sz w:val="20"/>
          <w:szCs w:val="20"/>
        </w:rPr>
      </w:pPr>
      <w:r w:rsidRPr="009C048E">
        <w:rPr>
          <w:rFonts w:ascii="Arial" w:hAnsi="Arial" w:cs="Arial"/>
          <w:sz w:val="20"/>
          <w:szCs w:val="20"/>
        </w:rPr>
        <w:t>Below, Macquarie presents detailed responses to the specific questions raised in the Issues Paper.</w:t>
      </w:r>
    </w:p>
    <w:p w14:paraId="33D44EE8" w14:textId="2255197B" w:rsidR="009C048E" w:rsidRPr="009C048E" w:rsidRDefault="00000000" w:rsidP="009C048E">
      <w:pPr>
        <w:rPr>
          <w:rFonts w:ascii="Arial" w:hAnsi="Arial" w:cs="Arial"/>
          <w:sz w:val="20"/>
          <w:szCs w:val="20"/>
        </w:rPr>
      </w:pPr>
      <w:r>
        <w:rPr>
          <w:noProof/>
        </w:rPr>
      </w:r>
      <w:r>
        <w:rPr>
          <w:noProof/>
        </w:rPr>
        <w:pict w14:anchorId="67821EBF">
          <v:rect id="Rectangle 5" o:spid="_x0000_s2054" alt="" style="width:451.3pt;height:.4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p>
    <w:p w14:paraId="72E3DA58" w14:textId="77777777" w:rsidR="009C048E" w:rsidRPr="009C048E" w:rsidRDefault="009C048E" w:rsidP="009C048E">
      <w:pPr>
        <w:rPr>
          <w:rFonts w:ascii="Arial" w:hAnsi="Arial" w:cs="Arial"/>
          <w:b/>
          <w:bCs/>
          <w:sz w:val="20"/>
          <w:szCs w:val="20"/>
        </w:rPr>
      </w:pPr>
      <w:r w:rsidRPr="009C048E">
        <w:rPr>
          <w:rFonts w:ascii="Arial" w:hAnsi="Arial" w:cs="Arial"/>
          <w:b/>
          <w:bCs/>
          <w:sz w:val="20"/>
          <w:szCs w:val="20"/>
        </w:rPr>
        <w:t>1. Driving Account-to-Account (A2A) Modernisation &amp; Interoperability</w:t>
      </w:r>
    </w:p>
    <w:p w14:paraId="2A3C476C"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Responses to Questions 11 &amp; 12: A2A Challenges and Regulatory Mandate</w:t>
      </w:r>
    </w:p>
    <w:p w14:paraId="658CD1D3" w14:textId="2B6D444D" w:rsidR="009C048E" w:rsidRPr="009C048E" w:rsidRDefault="009C048E" w:rsidP="009C048E">
      <w:pPr>
        <w:numPr>
          <w:ilvl w:val="0"/>
          <w:numId w:val="4"/>
        </w:numPr>
        <w:rPr>
          <w:rFonts w:ascii="Arial" w:hAnsi="Arial" w:cs="Arial"/>
          <w:sz w:val="20"/>
          <w:szCs w:val="20"/>
        </w:rPr>
      </w:pPr>
      <w:r w:rsidRPr="0EA844D9">
        <w:rPr>
          <w:rFonts w:ascii="Arial" w:hAnsi="Arial" w:cs="Arial"/>
          <w:b/>
          <w:bCs/>
          <w:sz w:val="20"/>
          <w:szCs w:val="20"/>
        </w:rPr>
        <w:t>Structural Bottlenecks in A2A Governance:</w:t>
      </w:r>
      <w:r w:rsidRPr="0EA844D9">
        <w:rPr>
          <w:rFonts w:ascii="Arial" w:hAnsi="Arial" w:cs="Arial"/>
          <w:sz w:val="20"/>
          <w:szCs w:val="20"/>
        </w:rPr>
        <w:t xml:space="preserve"> The slow pace of transition from the Bulk Electronic Clearing System (BECS) to the NPP highlights inherent governance frictions in Australia's payments infrastructure. </w:t>
      </w:r>
      <w:r w:rsidR="5617D70A" w:rsidRPr="0EA844D9">
        <w:rPr>
          <w:rFonts w:ascii="Arial" w:hAnsi="Arial" w:cs="Arial"/>
          <w:sz w:val="20"/>
          <w:szCs w:val="20"/>
        </w:rPr>
        <w:t xml:space="preserve">Specifically, a clear migration timetable from BECS to NPP is necessary to drive decisions across payments system </w:t>
      </w:r>
      <w:proofErr w:type="gramStart"/>
      <w:r w:rsidR="5617D70A" w:rsidRPr="0EA844D9">
        <w:rPr>
          <w:rFonts w:ascii="Arial" w:hAnsi="Arial" w:cs="Arial"/>
          <w:sz w:val="20"/>
          <w:szCs w:val="20"/>
        </w:rPr>
        <w:t>users, and</w:t>
      </w:r>
      <w:proofErr w:type="gramEnd"/>
      <w:r w:rsidR="5617D70A" w:rsidRPr="0EA844D9">
        <w:rPr>
          <w:rFonts w:ascii="Arial" w:hAnsi="Arial" w:cs="Arial"/>
          <w:sz w:val="20"/>
          <w:szCs w:val="20"/>
        </w:rPr>
        <w:t xml:space="preserve"> doesn’t seem to be achi</w:t>
      </w:r>
      <w:r w:rsidR="4F7CAEEF" w:rsidRPr="0EA844D9">
        <w:rPr>
          <w:rFonts w:ascii="Arial" w:hAnsi="Arial" w:cs="Arial"/>
          <w:sz w:val="20"/>
          <w:szCs w:val="20"/>
        </w:rPr>
        <w:t>e</w:t>
      </w:r>
      <w:r w:rsidR="5617D70A" w:rsidRPr="0EA844D9">
        <w:rPr>
          <w:rFonts w:ascii="Arial" w:hAnsi="Arial" w:cs="Arial"/>
          <w:sz w:val="20"/>
          <w:szCs w:val="20"/>
        </w:rPr>
        <w:t xml:space="preserve">vable under the current governance model.  </w:t>
      </w:r>
      <w:r w:rsidRPr="0EA844D9">
        <w:rPr>
          <w:rFonts w:ascii="Arial" w:hAnsi="Arial" w:cs="Arial"/>
          <w:sz w:val="20"/>
          <w:szCs w:val="20"/>
        </w:rPr>
        <w:t xml:space="preserve">The division of responsibilities across multiple industry bodies creates coordination drag, </w:t>
      </w:r>
      <w:r w:rsidR="00C65341" w:rsidRPr="0EA844D9">
        <w:rPr>
          <w:rFonts w:ascii="Arial" w:hAnsi="Arial" w:cs="Arial"/>
          <w:sz w:val="20"/>
          <w:szCs w:val="20"/>
        </w:rPr>
        <w:t>an</w:t>
      </w:r>
      <w:r w:rsidR="00F74502" w:rsidRPr="0EA844D9">
        <w:rPr>
          <w:rFonts w:ascii="Arial" w:hAnsi="Arial" w:cs="Arial"/>
          <w:sz w:val="20"/>
          <w:szCs w:val="20"/>
        </w:rPr>
        <w:t xml:space="preserve">d </w:t>
      </w:r>
      <w:r w:rsidRPr="0EA844D9">
        <w:rPr>
          <w:rFonts w:ascii="Arial" w:hAnsi="Arial" w:cs="Arial"/>
          <w:sz w:val="20"/>
          <w:szCs w:val="20"/>
        </w:rPr>
        <w:t xml:space="preserve">legacy shareholder structures at scheme operators </w:t>
      </w:r>
      <w:r w:rsidR="00501BF4" w:rsidRPr="0EA844D9">
        <w:rPr>
          <w:rFonts w:ascii="Arial" w:hAnsi="Arial" w:cs="Arial"/>
          <w:sz w:val="20"/>
          <w:szCs w:val="20"/>
        </w:rPr>
        <w:t xml:space="preserve">could </w:t>
      </w:r>
      <w:r w:rsidRPr="0EA844D9">
        <w:rPr>
          <w:rFonts w:ascii="Arial" w:hAnsi="Arial" w:cs="Arial"/>
          <w:sz w:val="20"/>
          <w:szCs w:val="20"/>
        </w:rPr>
        <w:t xml:space="preserve">create misaligned incentives. </w:t>
      </w:r>
      <w:proofErr w:type="gramStart"/>
      <w:r w:rsidR="00461330" w:rsidRPr="0EA844D9">
        <w:rPr>
          <w:rFonts w:ascii="Arial" w:hAnsi="Arial" w:cs="Arial"/>
          <w:sz w:val="20"/>
          <w:szCs w:val="20"/>
        </w:rPr>
        <w:t>In particular, r</w:t>
      </w:r>
      <w:r w:rsidRPr="0EA844D9">
        <w:rPr>
          <w:rFonts w:ascii="Arial" w:hAnsi="Arial" w:cs="Arial"/>
          <w:sz w:val="20"/>
          <w:szCs w:val="20"/>
        </w:rPr>
        <w:t>elying</w:t>
      </w:r>
      <w:proofErr w:type="gramEnd"/>
      <w:r w:rsidRPr="0EA844D9">
        <w:rPr>
          <w:rFonts w:ascii="Arial" w:hAnsi="Arial" w:cs="Arial"/>
          <w:sz w:val="20"/>
          <w:szCs w:val="20"/>
        </w:rPr>
        <w:t xml:space="preserve"> on bank-owned operators to voluntarily fund A2A retail capabilities</w:t>
      </w:r>
      <w:r w:rsidR="0097654D" w:rsidRPr="0EA844D9">
        <w:rPr>
          <w:rFonts w:ascii="Arial" w:hAnsi="Arial" w:cs="Arial"/>
          <w:sz w:val="20"/>
          <w:szCs w:val="20"/>
        </w:rPr>
        <w:t xml:space="preserve"> which</w:t>
      </w:r>
      <w:r w:rsidRPr="0EA844D9">
        <w:rPr>
          <w:rFonts w:ascii="Arial" w:hAnsi="Arial" w:cs="Arial"/>
          <w:sz w:val="20"/>
          <w:szCs w:val="20"/>
        </w:rPr>
        <w:t xml:space="preserve"> </w:t>
      </w:r>
      <w:r w:rsidR="00DC71DD" w:rsidRPr="0EA844D9">
        <w:rPr>
          <w:rFonts w:ascii="Arial" w:hAnsi="Arial" w:cs="Arial"/>
          <w:sz w:val="20"/>
          <w:szCs w:val="20"/>
        </w:rPr>
        <w:t xml:space="preserve">could disrupt established </w:t>
      </w:r>
      <w:r w:rsidR="0097654D" w:rsidRPr="0EA844D9">
        <w:rPr>
          <w:rFonts w:ascii="Arial" w:hAnsi="Arial" w:cs="Arial"/>
          <w:sz w:val="20"/>
          <w:szCs w:val="20"/>
        </w:rPr>
        <w:t xml:space="preserve">and lucrative </w:t>
      </w:r>
      <w:r w:rsidR="00DC71DD" w:rsidRPr="0EA844D9">
        <w:rPr>
          <w:rFonts w:ascii="Arial" w:hAnsi="Arial" w:cs="Arial"/>
          <w:sz w:val="20"/>
          <w:szCs w:val="20"/>
        </w:rPr>
        <w:t xml:space="preserve">revenue streams </w:t>
      </w:r>
      <w:r w:rsidR="0097654D" w:rsidRPr="0EA844D9">
        <w:rPr>
          <w:rFonts w:ascii="Arial" w:hAnsi="Arial" w:cs="Arial"/>
          <w:sz w:val="20"/>
          <w:szCs w:val="20"/>
        </w:rPr>
        <w:t xml:space="preserve">risks underinvestment in the necessary infrastructure and further warrants </w:t>
      </w:r>
      <w:r w:rsidR="00501BF4" w:rsidRPr="0EA844D9">
        <w:rPr>
          <w:rFonts w:ascii="Arial" w:hAnsi="Arial" w:cs="Arial"/>
          <w:sz w:val="20"/>
          <w:szCs w:val="20"/>
        </w:rPr>
        <w:t>regulatory intervention</w:t>
      </w:r>
      <w:r w:rsidRPr="0EA844D9">
        <w:rPr>
          <w:rFonts w:ascii="Arial" w:hAnsi="Arial" w:cs="Arial"/>
          <w:sz w:val="20"/>
          <w:szCs w:val="20"/>
        </w:rPr>
        <w:t>.</w:t>
      </w:r>
      <w:r w:rsidR="482D81BB" w:rsidRPr="0EA844D9">
        <w:rPr>
          <w:rFonts w:ascii="Arial" w:hAnsi="Arial" w:cs="Arial"/>
          <w:sz w:val="20"/>
          <w:szCs w:val="20"/>
        </w:rPr>
        <w:t xml:space="preserve"> </w:t>
      </w:r>
    </w:p>
    <w:p w14:paraId="665A7274" w14:textId="0CA7746C" w:rsidR="009C048E" w:rsidRPr="009C048E" w:rsidRDefault="009C048E" w:rsidP="009C048E">
      <w:pPr>
        <w:numPr>
          <w:ilvl w:val="0"/>
          <w:numId w:val="4"/>
        </w:numPr>
        <w:rPr>
          <w:rFonts w:ascii="Arial" w:hAnsi="Arial" w:cs="Arial"/>
          <w:sz w:val="20"/>
          <w:szCs w:val="20"/>
        </w:rPr>
      </w:pPr>
      <w:r w:rsidRPr="009C048E">
        <w:rPr>
          <w:rFonts w:ascii="Arial" w:hAnsi="Arial" w:cs="Arial"/>
          <w:b/>
          <w:bCs/>
          <w:sz w:val="20"/>
          <w:szCs w:val="20"/>
        </w:rPr>
        <w:t>Direct RBA Stewardship:</w:t>
      </w:r>
      <w:r w:rsidRPr="009C048E">
        <w:rPr>
          <w:rFonts w:ascii="Arial" w:hAnsi="Arial" w:cs="Arial"/>
          <w:sz w:val="20"/>
          <w:szCs w:val="20"/>
        </w:rPr>
        <w:t xml:space="preserve"> The RBA should use its expanded PSRA powers to directly steward </w:t>
      </w:r>
      <w:r w:rsidR="00807B50">
        <w:rPr>
          <w:rFonts w:ascii="Arial" w:hAnsi="Arial" w:cs="Arial"/>
          <w:sz w:val="20"/>
          <w:szCs w:val="20"/>
        </w:rPr>
        <w:t xml:space="preserve">and drive </w:t>
      </w:r>
      <w:r w:rsidRPr="009C048E">
        <w:rPr>
          <w:rFonts w:ascii="Arial" w:hAnsi="Arial" w:cs="Arial"/>
          <w:sz w:val="20"/>
          <w:szCs w:val="20"/>
        </w:rPr>
        <w:t xml:space="preserve">the A2A roadmap. Macquarie recommends rationalising roles within the ecosystem: </w:t>
      </w:r>
    </w:p>
    <w:p w14:paraId="36E5AE13" w14:textId="289D1C25" w:rsidR="009C048E" w:rsidRPr="009C048E" w:rsidRDefault="009C048E" w:rsidP="009C048E">
      <w:pPr>
        <w:numPr>
          <w:ilvl w:val="1"/>
          <w:numId w:val="4"/>
        </w:numPr>
        <w:rPr>
          <w:rFonts w:ascii="Arial" w:hAnsi="Arial" w:cs="Arial"/>
          <w:sz w:val="20"/>
          <w:szCs w:val="20"/>
        </w:rPr>
      </w:pPr>
      <w:r w:rsidRPr="009C048E">
        <w:rPr>
          <w:rFonts w:ascii="Arial" w:hAnsi="Arial" w:cs="Arial"/>
          <w:b/>
          <w:bCs/>
          <w:sz w:val="20"/>
          <w:szCs w:val="20"/>
        </w:rPr>
        <w:t>AP+</w:t>
      </w:r>
      <w:r w:rsidRPr="009C048E">
        <w:rPr>
          <w:rFonts w:ascii="Arial" w:hAnsi="Arial" w:cs="Arial"/>
          <w:sz w:val="20"/>
          <w:szCs w:val="20"/>
        </w:rPr>
        <w:t xml:space="preserve"> should operate as the unified national scheme operator managing the sunset of BECS and the scaling of NPP real-time rails </w:t>
      </w:r>
      <w:r w:rsidR="00903049">
        <w:rPr>
          <w:rFonts w:ascii="Arial" w:hAnsi="Arial" w:cs="Arial"/>
          <w:sz w:val="20"/>
          <w:szCs w:val="20"/>
        </w:rPr>
        <w:t xml:space="preserve">with an efficient </w:t>
      </w:r>
      <w:r w:rsidR="00D817D7">
        <w:rPr>
          <w:rFonts w:ascii="Arial" w:hAnsi="Arial" w:cs="Arial"/>
          <w:sz w:val="20"/>
          <w:szCs w:val="20"/>
        </w:rPr>
        <w:t xml:space="preserve">RBA-led </w:t>
      </w:r>
      <w:r w:rsidR="00903049">
        <w:rPr>
          <w:rFonts w:ascii="Arial" w:hAnsi="Arial" w:cs="Arial"/>
          <w:sz w:val="20"/>
          <w:szCs w:val="20"/>
        </w:rPr>
        <w:t xml:space="preserve">governance model </w:t>
      </w:r>
      <w:r w:rsidR="00D817D7">
        <w:rPr>
          <w:rFonts w:ascii="Arial" w:hAnsi="Arial" w:cs="Arial"/>
          <w:sz w:val="20"/>
          <w:szCs w:val="20"/>
        </w:rPr>
        <w:t>u</w:t>
      </w:r>
      <w:r w:rsidR="00903049">
        <w:rPr>
          <w:rFonts w:ascii="Arial" w:hAnsi="Arial" w:cs="Arial"/>
          <w:sz w:val="20"/>
          <w:szCs w:val="20"/>
        </w:rPr>
        <w:t xml:space="preserve">nder </w:t>
      </w:r>
      <w:r w:rsidRPr="009C048E">
        <w:rPr>
          <w:rFonts w:ascii="Arial" w:hAnsi="Arial" w:cs="Arial"/>
          <w:sz w:val="20"/>
          <w:szCs w:val="20"/>
        </w:rPr>
        <w:t>strict public interest accountabilities</w:t>
      </w:r>
      <w:r w:rsidR="00903049">
        <w:rPr>
          <w:rFonts w:ascii="Arial" w:hAnsi="Arial" w:cs="Arial"/>
          <w:sz w:val="20"/>
          <w:szCs w:val="20"/>
        </w:rPr>
        <w:t>.</w:t>
      </w:r>
    </w:p>
    <w:p w14:paraId="2453D1E4" w14:textId="14F9606D" w:rsidR="009C048E" w:rsidRPr="009C048E" w:rsidRDefault="009C048E" w:rsidP="009C048E">
      <w:pPr>
        <w:numPr>
          <w:ilvl w:val="1"/>
          <w:numId w:val="4"/>
        </w:numPr>
        <w:rPr>
          <w:rFonts w:ascii="Arial" w:hAnsi="Arial" w:cs="Arial"/>
          <w:sz w:val="20"/>
          <w:szCs w:val="20"/>
        </w:rPr>
      </w:pPr>
      <w:proofErr w:type="spellStart"/>
      <w:r w:rsidRPr="009C048E">
        <w:rPr>
          <w:rFonts w:ascii="Arial" w:hAnsi="Arial" w:cs="Arial"/>
          <w:b/>
          <w:bCs/>
          <w:sz w:val="20"/>
          <w:szCs w:val="20"/>
        </w:rPr>
        <w:t>AusPayNet</w:t>
      </w:r>
      <w:proofErr w:type="spellEnd"/>
      <w:r w:rsidRPr="009C048E">
        <w:rPr>
          <w:rFonts w:ascii="Arial" w:hAnsi="Arial" w:cs="Arial"/>
          <w:sz w:val="20"/>
          <w:szCs w:val="20"/>
        </w:rPr>
        <w:t xml:space="preserve"> should maintain a clear, distinct mandate as the independent standards-setting body</w:t>
      </w:r>
      <w:r w:rsidR="00F42AC8">
        <w:rPr>
          <w:rFonts w:ascii="Arial" w:hAnsi="Arial" w:cs="Arial"/>
          <w:sz w:val="20"/>
          <w:szCs w:val="20"/>
        </w:rPr>
        <w:t xml:space="preserve"> addressing some of the other issues raised in the Paper such as cryptography</w:t>
      </w:r>
      <w:r w:rsidR="006770E9">
        <w:rPr>
          <w:rFonts w:ascii="Arial" w:hAnsi="Arial" w:cs="Arial"/>
          <w:sz w:val="20"/>
          <w:szCs w:val="20"/>
        </w:rPr>
        <w:t>.</w:t>
      </w:r>
    </w:p>
    <w:p w14:paraId="3EA7DA24" w14:textId="0AC265CF" w:rsidR="009C048E" w:rsidRDefault="009C048E" w:rsidP="009C048E">
      <w:pPr>
        <w:numPr>
          <w:ilvl w:val="0"/>
          <w:numId w:val="4"/>
        </w:numPr>
        <w:rPr>
          <w:rFonts w:ascii="Arial" w:hAnsi="Arial" w:cs="Arial"/>
          <w:sz w:val="20"/>
          <w:szCs w:val="20"/>
        </w:rPr>
      </w:pPr>
      <w:r w:rsidRPr="009C048E">
        <w:rPr>
          <w:rFonts w:ascii="Arial" w:hAnsi="Arial" w:cs="Arial"/>
          <w:b/>
          <w:bCs/>
          <w:sz w:val="20"/>
          <w:szCs w:val="20"/>
        </w:rPr>
        <w:t>Access Frameworks:</w:t>
      </w:r>
      <w:r w:rsidRPr="009C048E">
        <w:rPr>
          <w:rFonts w:ascii="Arial" w:hAnsi="Arial" w:cs="Arial"/>
          <w:sz w:val="20"/>
          <w:szCs w:val="20"/>
        </w:rPr>
        <w:t xml:space="preserve"> Direct access criteria for A2A clearing and settlement remain tilted toward large Authorised Deposit-taking Institutions (ADIs).</w:t>
      </w:r>
      <w:r w:rsidR="00CD6D70">
        <w:rPr>
          <w:rFonts w:ascii="Arial" w:hAnsi="Arial" w:cs="Arial"/>
          <w:sz w:val="20"/>
          <w:szCs w:val="20"/>
        </w:rPr>
        <w:t xml:space="preserve">  Clarity in the vision and execution of the A2A roadmap will </w:t>
      </w:r>
      <w:r w:rsidR="00CE4E27">
        <w:rPr>
          <w:rFonts w:ascii="Arial" w:hAnsi="Arial" w:cs="Arial"/>
          <w:sz w:val="20"/>
          <w:szCs w:val="20"/>
        </w:rPr>
        <w:t xml:space="preserve">enable targeted investment in future-proofed rails connection for </w:t>
      </w:r>
      <w:r w:rsidR="00824B60">
        <w:rPr>
          <w:rFonts w:ascii="Arial" w:hAnsi="Arial" w:cs="Arial"/>
          <w:sz w:val="20"/>
          <w:szCs w:val="20"/>
        </w:rPr>
        <w:t xml:space="preserve">smaller ADIs and fintech participants.  Instead of managing connection to a legacy rail </w:t>
      </w:r>
      <w:r w:rsidR="001E21EE">
        <w:rPr>
          <w:rFonts w:ascii="Arial" w:hAnsi="Arial" w:cs="Arial"/>
          <w:sz w:val="20"/>
          <w:szCs w:val="20"/>
        </w:rPr>
        <w:t xml:space="preserve">(BECS) at the same time as the modern/future rail (NPP), </w:t>
      </w:r>
      <w:r w:rsidR="00982B25">
        <w:rPr>
          <w:rFonts w:ascii="Arial" w:hAnsi="Arial" w:cs="Arial"/>
          <w:sz w:val="20"/>
          <w:szCs w:val="20"/>
        </w:rPr>
        <w:t xml:space="preserve">challengers and new entrants will be guided by a clear and credible </w:t>
      </w:r>
      <w:r w:rsidR="00981C1B">
        <w:rPr>
          <w:rFonts w:ascii="Arial" w:hAnsi="Arial" w:cs="Arial"/>
          <w:sz w:val="20"/>
          <w:szCs w:val="20"/>
        </w:rPr>
        <w:t>roadmap.  Macquarie is experiencing this challenge directly, with dependency on a direct BECS participant while directly connected to NPP, and facing difficult choices without clarity of migration paths</w:t>
      </w:r>
      <w:r w:rsidR="00F31572">
        <w:rPr>
          <w:rFonts w:ascii="Arial" w:hAnsi="Arial" w:cs="Arial"/>
          <w:sz w:val="20"/>
          <w:szCs w:val="20"/>
        </w:rPr>
        <w:t xml:space="preserve">.  If investment is duplicated and complexity maintained, large incumbents benefit from </w:t>
      </w:r>
      <w:r w:rsidR="00273624">
        <w:rPr>
          <w:rFonts w:ascii="Arial" w:hAnsi="Arial" w:cs="Arial"/>
          <w:sz w:val="20"/>
          <w:szCs w:val="20"/>
        </w:rPr>
        <w:t>barriers to entry and fixed cost scaling.</w:t>
      </w:r>
    </w:p>
    <w:p w14:paraId="48D5CBAB" w14:textId="77777777" w:rsidR="00273624" w:rsidRPr="009C048E" w:rsidRDefault="00273624" w:rsidP="00273624">
      <w:pPr>
        <w:ind w:left="720"/>
        <w:rPr>
          <w:rFonts w:ascii="Arial" w:hAnsi="Arial" w:cs="Arial"/>
          <w:sz w:val="20"/>
          <w:szCs w:val="20"/>
        </w:rPr>
      </w:pPr>
    </w:p>
    <w:p w14:paraId="48686767"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lastRenderedPageBreak/>
        <w:t>Responses to Questions 13 &amp; 14: Card vs. A2A Competition &amp; Interoperability</w:t>
      </w:r>
    </w:p>
    <w:p w14:paraId="6853A977" w14:textId="35733C5F" w:rsidR="009C048E" w:rsidRPr="009C048E" w:rsidRDefault="009C048E" w:rsidP="009C048E">
      <w:pPr>
        <w:numPr>
          <w:ilvl w:val="0"/>
          <w:numId w:val="5"/>
        </w:numPr>
        <w:rPr>
          <w:rFonts w:ascii="Arial" w:hAnsi="Arial" w:cs="Arial"/>
          <w:sz w:val="20"/>
          <w:szCs w:val="20"/>
        </w:rPr>
      </w:pPr>
      <w:r w:rsidRPr="009C048E">
        <w:rPr>
          <w:rFonts w:ascii="Arial" w:hAnsi="Arial" w:cs="Arial"/>
          <w:b/>
          <w:bCs/>
          <w:sz w:val="20"/>
          <w:szCs w:val="20"/>
        </w:rPr>
        <w:t>Mandating Wallet Enablement:</w:t>
      </w:r>
      <w:r w:rsidRPr="009C048E">
        <w:rPr>
          <w:rFonts w:ascii="Arial" w:hAnsi="Arial" w:cs="Arial"/>
          <w:sz w:val="20"/>
          <w:szCs w:val="20"/>
        </w:rPr>
        <w:t xml:space="preserve"> A primary barrier to retail A2A adoption is the lack of seamless integration at physical and online points of sale. The RBA should </w:t>
      </w:r>
      <w:r w:rsidR="00EC3F5A">
        <w:rPr>
          <w:rFonts w:ascii="Arial" w:hAnsi="Arial" w:cs="Arial"/>
          <w:sz w:val="20"/>
          <w:szCs w:val="20"/>
        </w:rPr>
        <w:t xml:space="preserve">encourage </w:t>
      </w:r>
      <w:r w:rsidRPr="009C048E">
        <w:rPr>
          <w:rFonts w:ascii="Arial" w:hAnsi="Arial" w:cs="Arial"/>
          <w:sz w:val="20"/>
          <w:szCs w:val="20"/>
        </w:rPr>
        <w:t>major mobile wallet operators (e.g., Apple, Google) to support direct A2A/NPP initiation alongside card credentials.</w:t>
      </w:r>
      <w:r w:rsidR="00585680">
        <w:rPr>
          <w:rFonts w:ascii="Arial" w:hAnsi="Arial" w:cs="Arial"/>
          <w:sz w:val="20"/>
          <w:szCs w:val="20"/>
        </w:rPr>
        <w:t xml:space="preserve">  Certainty of NPP as the future national A2A rail would support this investment</w:t>
      </w:r>
      <w:r w:rsidR="00710B25">
        <w:rPr>
          <w:rFonts w:ascii="Arial" w:hAnsi="Arial" w:cs="Arial"/>
          <w:sz w:val="20"/>
          <w:szCs w:val="20"/>
        </w:rPr>
        <w:t xml:space="preserve">, as would direct </w:t>
      </w:r>
      <w:r w:rsidR="00881BF4">
        <w:rPr>
          <w:rFonts w:ascii="Arial" w:hAnsi="Arial" w:cs="Arial"/>
          <w:sz w:val="20"/>
          <w:szCs w:val="20"/>
        </w:rPr>
        <w:t>public interest direction for AP+ to develop this capability.</w:t>
      </w:r>
    </w:p>
    <w:p w14:paraId="6C992C45" w14:textId="4CF7636B" w:rsidR="009C048E" w:rsidRPr="009C048E" w:rsidRDefault="009C048E" w:rsidP="009C048E">
      <w:pPr>
        <w:numPr>
          <w:ilvl w:val="0"/>
          <w:numId w:val="5"/>
        </w:numPr>
        <w:rPr>
          <w:rFonts w:ascii="Arial" w:hAnsi="Arial" w:cs="Arial"/>
          <w:sz w:val="20"/>
          <w:szCs w:val="20"/>
        </w:rPr>
      </w:pPr>
      <w:r w:rsidRPr="009C048E">
        <w:rPr>
          <w:rFonts w:ascii="Arial" w:hAnsi="Arial" w:cs="Arial"/>
          <w:b/>
          <w:bCs/>
          <w:sz w:val="20"/>
          <w:szCs w:val="20"/>
        </w:rPr>
        <w:t>Consumer Protection Parity:</w:t>
      </w:r>
      <w:r w:rsidRPr="009C048E">
        <w:rPr>
          <w:rFonts w:ascii="Arial" w:hAnsi="Arial" w:cs="Arial"/>
          <w:sz w:val="20"/>
          <w:szCs w:val="20"/>
        </w:rPr>
        <w:t xml:space="preserve"> To make A2A a viable alternative to cards at checkout, AP+ </w:t>
      </w:r>
      <w:r w:rsidR="002F6D3B">
        <w:rPr>
          <w:rFonts w:ascii="Arial" w:hAnsi="Arial" w:cs="Arial"/>
          <w:sz w:val="20"/>
          <w:szCs w:val="20"/>
        </w:rPr>
        <w:t>should</w:t>
      </w:r>
      <w:r w:rsidRPr="009C048E">
        <w:rPr>
          <w:rFonts w:ascii="Arial" w:hAnsi="Arial" w:cs="Arial"/>
          <w:sz w:val="20"/>
          <w:szCs w:val="20"/>
        </w:rPr>
        <w:t xml:space="preserve"> deploy standardi</w:t>
      </w:r>
      <w:r w:rsidR="002F6D3B">
        <w:rPr>
          <w:rFonts w:ascii="Arial" w:hAnsi="Arial" w:cs="Arial"/>
          <w:sz w:val="20"/>
          <w:szCs w:val="20"/>
        </w:rPr>
        <w:t>s</w:t>
      </w:r>
      <w:r w:rsidRPr="009C048E">
        <w:rPr>
          <w:rFonts w:ascii="Arial" w:hAnsi="Arial" w:cs="Arial"/>
          <w:sz w:val="20"/>
          <w:szCs w:val="20"/>
        </w:rPr>
        <w:t>ed, ecosystem-wide overlay features for retail A2A, including robust dispute management, misdirected payment remediation, and clear buyer protection frameworks.</w:t>
      </w:r>
      <w:r w:rsidR="002F6D3B">
        <w:rPr>
          <w:rFonts w:ascii="Arial" w:hAnsi="Arial" w:cs="Arial"/>
          <w:sz w:val="20"/>
          <w:szCs w:val="20"/>
        </w:rPr>
        <w:t xml:space="preserve">  Industry coordination challenges have</w:t>
      </w:r>
      <w:r w:rsidR="00ED0F7B">
        <w:rPr>
          <w:rFonts w:ascii="Arial" w:hAnsi="Arial" w:cs="Arial"/>
          <w:sz w:val="20"/>
          <w:szCs w:val="20"/>
        </w:rPr>
        <w:t xml:space="preserve"> slowed the development of such features, which should be driven in the public interest directly by the RBA</w:t>
      </w:r>
      <w:r w:rsidR="00796323">
        <w:rPr>
          <w:rFonts w:ascii="Arial" w:hAnsi="Arial" w:cs="Arial"/>
          <w:sz w:val="20"/>
          <w:szCs w:val="20"/>
        </w:rPr>
        <w:t>.</w:t>
      </w:r>
    </w:p>
    <w:p w14:paraId="4B443E70" w14:textId="25E2EC92" w:rsidR="009C048E" w:rsidRPr="009C048E" w:rsidRDefault="009C048E" w:rsidP="009C048E">
      <w:pPr>
        <w:numPr>
          <w:ilvl w:val="0"/>
          <w:numId w:val="5"/>
        </w:numPr>
        <w:rPr>
          <w:rFonts w:ascii="Arial" w:hAnsi="Arial" w:cs="Arial"/>
          <w:sz w:val="20"/>
          <w:szCs w:val="20"/>
        </w:rPr>
      </w:pPr>
      <w:r w:rsidRPr="009C048E">
        <w:rPr>
          <w:rFonts w:ascii="Arial" w:hAnsi="Arial" w:cs="Arial"/>
          <w:b/>
          <w:bCs/>
          <w:sz w:val="20"/>
          <w:szCs w:val="20"/>
        </w:rPr>
        <w:t>International Benchmarking:</w:t>
      </w:r>
      <w:r w:rsidRPr="009C048E">
        <w:rPr>
          <w:rFonts w:ascii="Arial" w:hAnsi="Arial" w:cs="Arial"/>
          <w:sz w:val="20"/>
          <w:szCs w:val="20"/>
        </w:rPr>
        <w:t xml:space="preserve"> Regulatory intervention to establish real-time A2A as a primary retail payment rail aligns Australia with global best practice. In jurisdictions like the UK and Canada, regulatory leadership on real-time</w:t>
      </w:r>
      <w:r w:rsidR="00796323">
        <w:rPr>
          <w:rFonts w:ascii="Arial" w:hAnsi="Arial" w:cs="Arial"/>
          <w:sz w:val="20"/>
          <w:szCs w:val="20"/>
        </w:rPr>
        <w:t xml:space="preserve"> </w:t>
      </w:r>
      <w:r w:rsidRPr="009C048E">
        <w:rPr>
          <w:rFonts w:ascii="Arial" w:hAnsi="Arial" w:cs="Arial"/>
          <w:sz w:val="20"/>
          <w:szCs w:val="20"/>
        </w:rPr>
        <w:t>payments ha</w:t>
      </w:r>
      <w:r w:rsidR="00796323">
        <w:rPr>
          <w:rFonts w:ascii="Arial" w:hAnsi="Arial" w:cs="Arial"/>
          <w:sz w:val="20"/>
          <w:szCs w:val="20"/>
        </w:rPr>
        <w:t>s</w:t>
      </w:r>
      <w:r w:rsidRPr="009C048E">
        <w:rPr>
          <w:rFonts w:ascii="Arial" w:hAnsi="Arial" w:cs="Arial"/>
          <w:sz w:val="20"/>
          <w:szCs w:val="20"/>
        </w:rPr>
        <w:t xml:space="preserve"> successfully introduced vibrant competition to traditional card networks.</w:t>
      </w:r>
    </w:p>
    <w:p w14:paraId="141C33C5" w14:textId="35BF37C2" w:rsidR="009C048E" w:rsidRPr="009C048E" w:rsidRDefault="00000000" w:rsidP="009C048E">
      <w:pPr>
        <w:rPr>
          <w:rFonts w:ascii="Arial" w:hAnsi="Arial" w:cs="Arial"/>
          <w:sz w:val="20"/>
          <w:szCs w:val="20"/>
        </w:rPr>
      </w:pPr>
      <w:r>
        <w:rPr>
          <w:noProof/>
        </w:rPr>
      </w:r>
      <w:r>
        <w:rPr>
          <w:noProof/>
        </w:rPr>
        <w:pict w14:anchorId="0E427210">
          <v:rect id="Rectangle 3" o:spid="_x0000_s2053" alt="" style="width:451.3pt;height:.4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p>
    <w:p w14:paraId="18FAC152" w14:textId="77777777" w:rsidR="009C048E" w:rsidRPr="009C048E" w:rsidRDefault="009C048E" w:rsidP="009C048E">
      <w:pPr>
        <w:rPr>
          <w:rFonts w:ascii="Arial" w:hAnsi="Arial" w:cs="Arial"/>
          <w:b/>
          <w:bCs/>
          <w:sz w:val="20"/>
          <w:szCs w:val="20"/>
        </w:rPr>
      </w:pPr>
      <w:r w:rsidRPr="009C048E">
        <w:rPr>
          <w:rFonts w:ascii="Arial" w:hAnsi="Arial" w:cs="Arial"/>
          <w:b/>
          <w:bCs/>
          <w:sz w:val="20"/>
          <w:szCs w:val="20"/>
        </w:rPr>
        <w:t>2. Merchant Choice, Card Competition &amp; AI in E-Commerce</w:t>
      </w:r>
    </w:p>
    <w:p w14:paraId="66D71578"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Responses to Questions 1 &amp; 2: Competition Across Debit Card Networks</w:t>
      </w:r>
    </w:p>
    <w:p w14:paraId="645F7CA6" w14:textId="15C227F9" w:rsidR="009C048E" w:rsidRPr="009C048E" w:rsidRDefault="009C048E" w:rsidP="009C048E">
      <w:pPr>
        <w:numPr>
          <w:ilvl w:val="0"/>
          <w:numId w:val="6"/>
        </w:numPr>
        <w:rPr>
          <w:rFonts w:ascii="Arial" w:hAnsi="Arial" w:cs="Arial"/>
          <w:sz w:val="20"/>
          <w:szCs w:val="20"/>
        </w:rPr>
      </w:pPr>
      <w:r w:rsidRPr="09F9FD9F">
        <w:rPr>
          <w:rFonts w:ascii="Arial" w:hAnsi="Arial" w:cs="Arial"/>
          <w:b/>
          <w:bCs/>
          <w:sz w:val="20"/>
          <w:szCs w:val="20"/>
        </w:rPr>
        <w:t>Commercial Mandates and Parity:</w:t>
      </w:r>
      <w:r w:rsidRPr="09F9FD9F">
        <w:rPr>
          <w:rFonts w:ascii="Arial" w:hAnsi="Arial" w:cs="Arial"/>
          <w:sz w:val="20"/>
          <w:szCs w:val="20"/>
        </w:rPr>
        <w:t xml:space="preserve"> International card schemes frequently leverage their global scale to introduce new payment features (e</w:t>
      </w:r>
      <w:r w:rsidR="003254AA" w:rsidRPr="09F9FD9F">
        <w:rPr>
          <w:rFonts w:ascii="Arial" w:hAnsi="Arial" w:cs="Arial"/>
          <w:sz w:val="20"/>
          <w:szCs w:val="20"/>
        </w:rPr>
        <w:t>.</w:t>
      </w:r>
      <w:r w:rsidRPr="09F9FD9F">
        <w:rPr>
          <w:rFonts w:ascii="Arial" w:hAnsi="Arial" w:cs="Arial"/>
          <w:sz w:val="20"/>
          <w:szCs w:val="20"/>
        </w:rPr>
        <w:t>g</w:t>
      </w:r>
      <w:r w:rsidR="003254AA" w:rsidRPr="09F9FD9F">
        <w:rPr>
          <w:rFonts w:ascii="Arial" w:hAnsi="Arial" w:cs="Arial"/>
          <w:sz w:val="20"/>
          <w:szCs w:val="20"/>
        </w:rPr>
        <w:t>.</w:t>
      </w:r>
      <w:r w:rsidRPr="09F9FD9F">
        <w:rPr>
          <w:rFonts w:ascii="Arial" w:hAnsi="Arial" w:cs="Arial"/>
          <w:sz w:val="20"/>
          <w:szCs w:val="20"/>
        </w:rPr>
        <w:t xml:space="preserve"> Click to Pay, proprietary agentic commerce protocols) exclusively on their own networks first.</w:t>
      </w:r>
      <w:r w:rsidR="00187123" w:rsidRPr="09F9FD9F">
        <w:rPr>
          <w:rFonts w:ascii="Arial" w:hAnsi="Arial" w:cs="Arial"/>
          <w:sz w:val="20"/>
          <w:szCs w:val="20"/>
        </w:rPr>
        <w:t xml:space="preserve"> </w:t>
      </w:r>
      <w:r w:rsidR="00FB07CA" w:rsidRPr="09F9FD9F">
        <w:rPr>
          <w:rFonts w:ascii="Arial" w:hAnsi="Arial" w:cs="Arial"/>
          <w:sz w:val="20"/>
          <w:szCs w:val="20"/>
        </w:rPr>
        <w:t>They then position these comm</w:t>
      </w:r>
      <w:r w:rsidR="00413350" w:rsidRPr="09F9FD9F">
        <w:rPr>
          <w:rFonts w:ascii="Arial" w:hAnsi="Arial" w:cs="Arial"/>
          <w:sz w:val="20"/>
          <w:szCs w:val="20"/>
        </w:rPr>
        <w:t xml:space="preserve">ercial features as regulatory mandates. </w:t>
      </w:r>
      <w:r w:rsidR="00187123" w:rsidRPr="09F9FD9F">
        <w:rPr>
          <w:rFonts w:ascii="Arial" w:hAnsi="Arial" w:cs="Arial"/>
          <w:sz w:val="20"/>
          <w:szCs w:val="20"/>
        </w:rPr>
        <w:t xml:space="preserve"> These features can curtail merchant choice in payment methods</w:t>
      </w:r>
      <w:r w:rsidR="00D67385" w:rsidRPr="09F9FD9F">
        <w:rPr>
          <w:rFonts w:ascii="Arial" w:hAnsi="Arial" w:cs="Arial"/>
          <w:sz w:val="20"/>
          <w:szCs w:val="20"/>
        </w:rPr>
        <w:t>.</w:t>
      </w:r>
      <w:r w:rsidRPr="09F9FD9F">
        <w:rPr>
          <w:rFonts w:ascii="Arial" w:hAnsi="Arial" w:cs="Arial"/>
          <w:sz w:val="20"/>
          <w:szCs w:val="20"/>
        </w:rPr>
        <w:t xml:space="preserve"> The RBA should restrict card schemes from enforcing commercial mandates </w:t>
      </w:r>
      <w:r w:rsidR="009C6504" w:rsidRPr="09F9FD9F">
        <w:rPr>
          <w:rFonts w:ascii="Arial" w:hAnsi="Arial" w:cs="Arial"/>
          <w:sz w:val="20"/>
          <w:szCs w:val="20"/>
        </w:rPr>
        <w:t>to drive</w:t>
      </w:r>
      <w:r w:rsidR="00992FE3" w:rsidRPr="09F9FD9F">
        <w:rPr>
          <w:rFonts w:ascii="Arial" w:hAnsi="Arial" w:cs="Arial"/>
          <w:sz w:val="20"/>
          <w:szCs w:val="20"/>
        </w:rPr>
        <w:t xml:space="preserve"> feature adoption where </w:t>
      </w:r>
      <w:r w:rsidR="00AB1678" w:rsidRPr="09F9FD9F">
        <w:rPr>
          <w:rFonts w:ascii="Arial" w:hAnsi="Arial" w:cs="Arial"/>
          <w:sz w:val="20"/>
          <w:szCs w:val="20"/>
        </w:rPr>
        <w:t>the primary goal is competitive advantage.</w:t>
      </w:r>
    </w:p>
    <w:p w14:paraId="3E3DE743" w14:textId="2684607A" w:rsidR="009C048E" w:rsidRPr="009C048E" w:rsidRDefault="009C048E" w:rsidP="009C048E">
      <w:pPr>
        <w:numPr>
          <w:ilvl w:val="0"/>
          <w:numId w:val="6"/>
        </w:numPr>
        <w:rPr>
          <w:rFonts w:ascii="Arial" w:hAnsi="Arial" w:cs="Arial"/>
          <w:sz w:val="20"/>
          <w:szCs w:val="20"/>
        </w:rPr>
      </w:pPr>
      <w:r w:rsidRPr="009C048E">
        <w:rPr>
          <w:rFonts w:ascii="Arial" w:hAnsi="Arial" w:cs="Arial"/>
          <w:b/>
          <w:bCs/>
          <w:sz w:val="20"/>
          <w:szCs w:val="20"/>
        </w:rPr>
        <w:t>Strengthening Domestic Rail Capability:</w:t>
      </w:r>
      <w:r w:rsidRPr="009C048E">
        <w:rPr>
          <w:rFonts w:ascii="Arial" w:hAnsi="Arial" w:cs="Arial"/>
          <w:sz w:val="20"/>
          <w:szCs w:val="20"/>
        </w:rPr>
        <w:t xml:space="preserve"> To compete effectively and provide a resilient operational backup, the domestic scheme must maintain feature and security parity with international schemes. AP+ must be held accountable for maintaining </w:t>
      </w:r>
      <w:proofErr w:type="spellStart"/>
      <w:r w:rsidRPr="009C048E">
        <w:rPr>
          <w:rFonts w:ascii="Arial" w:hAnsi="Arial" w:cs="Arial"/>
          <w:sz w:val="20"/>
          <w:szCs w:val="20"/>
        </w:rPr>
        <w:t>eftpos</w:t>
      </w:r>
      <w:proofErr w:type="spellEnd"/>
      <w:r w:rsidRPr="009C048E">
        <w:rPr>
          <w:rFonts w:ascii="Arial" w:hAnsi="Arial" w:cs="Arial"/>
          <w:sz w:val="20"/>
          <w:szCs w:val="20"/>
        </w:rPr>
        <w:t xml:space="preserve"> as a modern, secure, and competitive routing option in both mobile wallet and e-commerce environments</w:t>
      </w:r>
      <w:r w:rsidR="00F3422D">
        <w:rPr>
          <w:rFonts w:ascii="Arial" w:hAnsi="Arial" w:cs="Arial"/>
          <w:sz w:val="20"/>
          <w:szCs w:val="20"/>
        </w:rPr>
        <w:t xml:space="preserve"> under an RBA-led public interest mandate</w:t>
      </w:r>
      <w:r w:rsidRPr="009C048E">
        <w:rPr>
          <w:rFonts w:ascii="Arial" w:hAnsi="Arial" w:cs="Arial"/>
          <w:sz w:val="20"/>
          <w:szCs w:val="20"/>
        </w:rPr>
        <w:t>.</w:t>
      </w:r>
    </w:p>
    <w:p w14:paraId="67DDD1F3"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Responses to Questions 3 &amp; 4: Integrated Platforms &amp; Bundling</w:t>
      </w:r>
    </w:p>
    <w:p w14:paraId="43CC4499" w14:textId="6D9E0F1E" w:rsidR="009C048E" w:rsidRPr="009C048E" w:rsidRDefault="009C048E" w:rsidP="009C048E">
      <w:pPr>
        <w:numPr>
          <w:ilvl w:val="0"/>
          <w:numId w:val="7"/>
        </w:numPr>
        <w:rPr>
          <w:rFonts w:ascii="Arial" w:hAnsi="Arial" w:cs="Arial"/>
          <w:sz w:val="20"/>
          <w:szCs w:val="20"/>
        </w:rPr>
      </w:pPr>
      <w:r w:rsidRPr="009C048E">
        <w:rPr>
          <w:rFonts w:ascii="Arial" w:hAnsi="Arial" w:cs="Arial"/>
          <w:b/>
          <w:bCs/>
          <w:sz w:val="20"/>
          <w:szCs w:val="20"/>
        </w:rPr>
        <w:t>Direct Regulation of Merchant Service Fees (MSFs):</w:t>
      </w:r>
      <w:r w:rsidRPr="009C048E">
        <w:rPr>
          <w:rFonts w:ascii="Arial" w:hAnsi="Arial" w:cs="Arial"/>
          <w:sz w:val="20"/>
          <w:szCs w:val="20"/>
        </w:rPr>
        <w:t xml:space="preserve"> As interchange fees decrease, integrated e-commerce and Point-of-Sale (POS) platform operators increasingly capture payment margins through bundled pricing structures. To ensure</w:t>
      </w:r>
      <w:r w:rsidR="005B620E">
        <w:rPr>
          <w:rFonts w:ascii="Arial" w:hAnsi="Arial" w:cs="Arial"/>
          <w:sz w:val="20"/>
          <w:szCs w:val="20"/>
        </w:rPr>
        <w:t xml:space="preserve"> that</w:t>
      </w:r>
      <w:r w:rsidRPr="009C048E">
        <w:rPr>
          <w:rFonts w:ascii="Arial" w:hAnsi="Arial" w:cs="Arial"/>
          <w:sz w:val="20"/>
          <w:szCs w:val="20"/>
        </w:rPr>
        <w:t xml:space="preserve"> cost reductions are fully passed through to small and medium enterprises (SMEs), the RBA should consider directly regulating and capping MSFs across all acquiring and platform models.</w:t>
      </w:r>
    </w:p>
    <w:p w14:paraId="0C4FCF01"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 to Question 6: Use of AI Agents in E-Commerce</w:t>
      </w:r>
    </w:p>
    <w:p w14:paraId="03A3543C" w14:textId="2FF7D34C" w:rsidR="006D5F44" w:rsidRPr="006D5F44" w:rsidRDefault="009C048E" w:rsidP="006D5F44">
      <w:pPr>
        <w:numPr>
          <w:ilvl w:val="0"/>
          <w:numId w:val="8"/>
        </w:numPr>
        <w:rPr>
          <w:rFonts w:ascii="Arial" w:hAnsi="Arial" w:cs="Arial"/>
          <w:sz w:val="20"/>
          <w:szCs w:val="20"/>
        </w:rPr>
      </w:pPr>
      <w:r w:rsidRPr="009C048E">
        <w:rPr>
          <w:rFonts w:ascii="Arial" w:hAnsi="Arial" w:cs="Arial"/>
          <w:b/>
          <w:bCs/>
          <w:sz w:val="20"/>
          <w:szCs w:val="20"/>
        </w:rPr>
        <w:t>Consumer Protection and Rail Choice:</w:t>
      </w:r>
      <w:r w:rsidRPr="009C048E">
        <w:rPr>
          <w:rFonts w:ascii="Arial" w:hAnsi="Arial" w:cs="Arial"/>
          <w:sz w:val="20"/>
          <w:szCs w:val="20"/>
        </w:rPr>
        <w:t xml:space="preserve"> The introduction of AI-driven "agentic commerce" must not restrict payment choice or expose consumers to hidden monetisation. The RBA should establish regulatory guidelines requiring AI agent protocols to maintain explicit consumer consent and visibility over payment rail selection.</w:t>
      </w:r>
      <w:r w:rsidR="0024080F">
        <w:rPr>
          <w:rFonts w:ascii="Arial" w:hAnsi="Arial" w:cs="Arial"/>
          <w:sz w:val="20"/>
          <w:szCs w:val="20"/>
        </w:rPr>
        <w:t xml:space="preserve">  </w:t>
      </w:r>
      <w:proofErr w:type="spellStart"/>
      <w:r w:rsidR="0024080F">
        <w:rPr>
          <w:rFonts w:ascii="Arial" w:hAnsi="Arial" w:cs="Arial"/>
          <w:sz w:val="20"/>
          <w:szCs w:val="20"/>
        </w:rPr>
        <w:t>AusPayNet</w:t>
      </w:r>
      <w:proofErr w:type="spellEnd"/>
      <w:r w:rsidR="0024080F">
        <w:rPr>
          <w:rFonts w:ascii="Arial" w:hAnsi="Arial" w:cs="Arial"/>
          <w:sz w:val="20"/>
          <w:szCs w:val="20"/>
        </w:rPr>
        <w:t xml:space="preserve"> could be mandated to establish a standard for agentic commerce based in part on these principles.</w:t>
      </w:r>
    </w:p>
    <w:p w14:paraId="1DB76988" w14:textId="03CAF089" w:rsidR="009C048E" w:rsidRPr="009C048E" w:rsidRDefault="00000000" w:rsidP="009C048E">
      <w:pPr>
        <w:rPr>
          <w:rFonts w:ascii="Arial" w:hAnsi="Arial" w:cs="Arial"/>
          <w:sz w:val="20"/>
          <w:szCs w:val="20"/>
        </w:rPr>
      </w:pPr>
      <w:r>
        <w:rPr>
          <w:noProof/>
        </w:rPr>
      </w:r>
      <w:r>
        <w:rPr>
          <w:noProof/>
        </w:rPr>
        <w:pict w14:anchorId="1F637D9F">
          <v:rect id="Rectangle 1" o:spid="_x0000_s2052" alt="" style="width:451.3pt;height:.4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p>
    <w:p w14:paraId="1557FF6D" w14:textId="77777777" w:rsidR="006D5F44" w:rsidRDefault="006D5F44" w:rsidP="009C048E">
      <w:pPr>
        <w:rPr>
          <w:rFonts w:ascii="Arial" w:hAnsi="Arial" w:cs="Arial"/>
          <w:b/>
          <w:bCs/>
          <w:sz w:val="20"/>
          <w:szCs w:val="20"/>
        </w:rPr>
      </w:pPr>
    </w:p>
    <w:p w14:paraId="20583C35" w14:textId="5171C9D0" w:rsidR="009C048E" w:rsidRPr="009C048E" w:rsidRDefault="009C048E" w:rsidP="009C048E">
      <w:pPr>
        <w:rPr>
          <w:rFonts w:ascii="Arial" w:hAnsi="Arial" w:cs="Arial"/>
          <w:b/>
          <w:bCs/>
          <w:sz w:val="20"/>
          <w:szCs w:val="20"/>
        </w:rPr>
      </w:pPr>
      <w:r w:rsidRPr="009C048E">
        <w:rPr>
          <w:rFonts w:ascii="Arial" w:hAnsi="Arial" w:cs="Arial"/>
          <w:b/>
          <w:bCs/>
          <w:sz w:val="20"/>
          <w:szCs w:val="20"/>
        </w:rPr>
        <w:t>3. Mobile Payments, Non-Designated Schemes &amp; BNPL</w:t>
      </w:r>
    </w:p>
    <w:p w14:paraId="740A80C3"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 to Question 7: Mobile Payments</w:t>
      </w:r>
    </w:p>
    <w:p w14:paraId="51FAABEE" w14:textId="35E3A7AD" w:rsidR="009C048E" w:rsidRPr="00AA0083" w:rsidRDefault="009C048E" w:rsidP="00AA0083">
      <w:pPr>
        <w:numPr>
          <w:ilvl w:val="0"/>
          <w:numId w:val="9"/>
        </w:numPr>
        <w:rPr>
          <w:rFonts w:ascii="Arial" w:hAnsi="Arial" w:cs="Arial"/>
          <w:sz w:val="20"/>
          <w:szCs w:val="20"/>
        </w:rPr>
      </w:pPr>
      <w:r w:rsidRPr="009C048E">
        <w:rPr>
          <w:rFonts w:ascii="Arial" w:hAnsi="Arial" w:cs="Arial"/>
          <w:b/>
          <w:bCs/>
          <w:sz w:val="20"/>
          <w:szCs w:val="20"/>
        </w:rPr>
        <w:t>Open Infrastructure &amp; Wallet Access:</w:t>
      </w:r>
      <w:r w:rsidRPr="009C048E">
        <w:rPr>
          <w:rFonts w:ascii="Arial" w:hAnsi="Arial" w:cs="Arial"/>
          <w:sz w:val="20"/>
          <w:szCs w:val="20"/>
        </w:rPr>
        <w:t xml:space="preserve"> Mobile wallets have become essential retail infrastructure. </w:t>
      </w:r>
      <w:r w:rsidR="006D5F44">
        <w:rPr>
          <w:rFonts w:ascii="Arial" w:hAnsi="Arial" w:cs="Arial"/>
          <w:sz w:val="20"/>
          <w:szCs w:val="20"/>
        </w:rPr>
        <w:t>O</w:t>
      </w:r>
      <w:r w:rsidRPr="009C048E">
        <w:rPr>
          <w:rFonts w:ascii="Arial" w:hAnsi="Arial" w:cs="Arial"/>
          <w:sz w:val="20"/>
          <w:szCs w:val="20"/>
        </w:rPr>
        <w:t>pen, non-discriminatory access to hardware capabilities (such as NFC chips)</w:t>
      </w:r>
      <w:r w:rsidR="006D5F44">
        <w:rPr>
          <w:rFonts w:ascii="Arial" w:hAnsi="Arial" w:cs="Arial"/>
          <w:sz w:val="20"/>
          <w:szCs w:val="20"/>
        </w:rPr>
        <w:t xml:space="preserve"> will mostly be of benefit to </w:t>
      </w:r>
      <w:r w:rsidR="00DD09B2">
        <w:rPr>
          <w:rFonts w:ascii="Arial" w:hAnsi="Arial" w:cs="Arial"/>
          <w:sz w:val="20"/>
          <w:szCs w:val="20"/>
        </w:rPr>
        <w:t>large participants with the scale to develop features using these capabilities.</w:t>
      </w:r>
      <w:r w:rsidRPr="009C048E">
        <w:rPr>
          <w:rFonts w:ascii="Arial" w:hAnsi="Arial" w:cs="Arial"/>
          <w:sz w:val="20"/>
          <w:szCs w:val="20"/>
        </w:rPr>
        <w:t xml:space="preserve"> </w:t>
      </w:r>
      <w:r w:rsidR="00DD09B2">
        <w:rPr>
          <w:rFonts w:ascii="Arial" w:hAnsi="Arial" w:cs="Arial"/>
          <w:sz w:val="20"/>
          <w:szCs w:val="20"/>
        </w:rPr>
        <w:t xml:space="preserve"> </w:t>
      </w:r>
      <w:r w:rsidR="00EE765B">
        <w:rPr>
          <w:rFonts w:ascii="Arial" w:hAnsi="Arial" w:cs="Arial"/>
          <w:sz w:val="20"/>
          <w:szCs w:val="20"/>
        </w:rPr>
        <w:t xml:space="preserve">In contrast, </w:t>
      </w:r>
      <w:r w:rsidR="007254B9">
        <w:rPr>
          <w:rFonts w:ascii="Arial" w:hAnsi="Arial" w:cs="Arial"/>
          <w:sz w:val="20"/>
          <w:szCs w:val="20"/>
        </w:rPr>
        <w:t>digital wallet providers’</w:t>
      </w:r>
      <w:r w:rsidR="00EE765B">
        <w:rPr>
          <w:rFonts w:ascii="Arial" w:hAnsi="Arial" w:cs="Arial"/>
          <w:sz w:val="20"/>
          <w:szCs w:val="20"/>
        </w:rPr>
        <w:t xml:space="preserve"> non-discriminatory pricing for card issuers</w:t>
      </w:r>
      <w:r w:rsidR="007254B9">
        <w:rPr>
          <w:rFonts w:ascii="Arial" w:hAnsi="Arial" w:cs="Arial"/>
          <w:sz w:val="20"/>
          <w:szCs w:val="20"/>
        </w:rPr>
        <w:t xml:space="preserve"> </w:t>
      </w:r>
      <w:r w:rsidR="0028032A">
        <w:rPr>
          <w:rFonts w:ascii="Arial" w:hAnsi="Arial" w:cs="Arial"/>
          <w:sz w:val="20"/>
          <w:szCs w:val="20"/>
        </w:rPr>
        <w:t xml:space="preserve">is </w:t>
      </w:r>
      <w:proofErr w:type="gramStart"/>
      <w:r w:rsidR="0028032A">
        <w:rPr>
          <w:rFonts w:ascii="Arial" w:hAnsi="Arial" w:cs="Arial"/>
          <w:sz w:val="20"/>
          <w:szCs w:val="20"/>
        </w:rPr>
        <w:t>actually an</w:t>
      </w:r>
      <w:proofErr w:type="gramEnd"/>
      <w:r w:rsidR="0028032A">
        <w:rPr>
          <w:rFonts w:ascii="Arial" w:hAnsi="Arial" w:cs="Arial"/>
          <w:sz w:val="20"/>
          <w:szCs w:val="20"/>
        </w:rPr>
        <w:t xml:space="preserve"> advantage for new entrants and smaller challengers </w:t>
      </w:r>
      <w:r w:rsidR="003E54B0">
        <w:rPr>
          <w:rFonts w:ascii="Arial" w:hAnsi="Arial" w:cs="Arial"/>
          <w:sz w:val="20"/>
          <w:szCs w:val="20"/>
        </w:rPr>
        <w:t>(</w:t>
      </w:r>
      <w:r w:rsidR="0028032A">
        <w:rPr>
          <w:rFonts w:ascii="Arial" w:hAnsi="Arial" w:cs="Arial"/>
          <w:sz w:val="20"/>
          <w:szCs w:val="20"/>
        </w:rPr>
        <w:t>despite being raise</w:t>
      </w:r>
      <w:r w:rsidR="00E22726">
        <w:rPr>
          <w:rFonts w:ascii="Arial" w:hAnsi="Arial" w:cs="Arial"/>
          <w:sz w:val="20"/>
          <w:szCs w:val="20"/>
        </w:rPr>
        <w:t>d</w:t>
      </w:r>
      <w:r w:rsidR="0028032A">
        <w:rPr>
          <w:rFonts w:ascii="Arial" w:hAnsi="Arial" w:cs="Arial"/>
          <w:sz w:val="20"/>
          <w:szCs w:val="20"/>
        </w:rPr>
        <w:t xml:space="preserve"> as an issue in the Paper</w:t>
      </w:r>
      <w:r w:rsidR="003E54B0">
        <w:rPr>
          <w:rFonts w:ascii="Arial" w:hAnsi="Arial" w:cs="Arial"/>
          <w:sz w:val="20"/>
          <w:szCs w:val="20"/>
        </w:rPr>
        <w:t>)</w:t>
      </w:r>
      <w:r w:rsidR="0028032A">
        <w:rPr>
          <w:rFonts w:ascii="Arial" w:hAnsi="Arial" w:cs="Arial"/>
          <w:sz w:val="20"/>
          <w:szCs w:val="20"/>
        </w:rPr>
        <w:t xml:space="preserve">, and </w:t>
      </w:r>
      <w:r w:rsidR="00B4418B">
        <w:rPr>
          <w:rFonts w:ascii="Arial" w:hAnsi="Arial" w:cs="Arial"/>
          <w:sz w:val="20"/>
          <w:szCs w:val="20"/>
        </w:rPr>
        <w:t xml:space="preserve">avoids the lopsided </w:t>
      </w:r>
      <w:r w:rsidR="00B0791D">
        <w:rPr>
          <w:rFonts w:ascii="Arial" w:hAnsi="Arial" w:cs="Arial"/>
          <w:sz w:val="20"/>
          <w:szCs w:val="20"/>
        </w:rPr>
        <w:t>market seen in the RBA’s recent examination of merchant costs for card acceptance.</w:t>
      </w:r>
      <w:r w:rsidR="00AA0083">
        <w:rPr>
          <w:rFonts w:ascii="Arial" w:hAnsi="Arial" w:cs="Arial"/>
          <w:sz w:val="20"/>
          <w:szCs w:val="20"/>
        </w:rPr>
        <w:t xml:space="preserve">  </w:t>
      </w:r>
      <w:r w:rsidR="00B0791D" w:rsidRPr="00AA0083">
        <w:rPr>
          <w:rFonts w:ascii="Arial" w:hAnsi="Arial" w:cs="Arial"/>
          <w:sz w:val="20"/>
          <w:szCs w:val="20"/>
        </w:rPr>
        <w:t>The RBA s</w:t>
      </w:r>
      <w:r w:rsidRPr="00AA0083">
        <w:rPr>
          <w:rFonts w:ascii="Arial" w:hAnsi="Arial" w:cs="Arial"/>
          <w:sz w:val="20"/>
          <w:szCs w:val="20"/>
        </w:rPr>
        <w:t xml:space="preserve">hould focus on ensuring </w:t>
      </w:r>
      <w:r w:rsidR="00B0791D" w:rsidRPr="00AA0083">
        <w:rPr>
          <w:rFonts w:ascii="Arial" w:hAnsi="Arial" w:cs="Arial"/>
          <w:sz w:val="20"/>
          <w:szCs w:val="20"/>
        </w:rPr>
        <w:t xml:space="preserve">that </w:t>
      </w:r>
      <w:r w:rsidRPr="00AA0083">
        <w:rPr>
          <w:rFonts w:ascii="Arial" w:hAnsi="Arial" w:cs="Arial"/>
          <w:sz w:val="20"/>
          <w:szCs w:val="20"/>
        </w:rPr>
        <w:t>wallet architecture allows consumers and merchants to seamlessly select low-cost A2A rails alongside card rails.</w:t>
      </w:r>
    </w:p>
    <w:p w14:paraId="18A2A34D"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Responses to Questions 8 &amp; 9: Three-Party and Non-Designated Card Networks</w:t>
      </w:r>
    </w:p>
    <w:p w14:paraId="17899D55" w14:textId="72ABACD1" w:rsidR="009C048E" w:rsidRPr="009C048E" w:rsidRDefault="009C048E" w:rsidP="001D0B73">
      <w:pPr>
        <w:numPr>
          <w:ilvl w:val="0"/>
          <w:numId w:val="10"/>
        </w:numPr>
        <w:rPr>
          <w:rFonts w:ascii="Arial" w:hAnsi="Arial" w:cs="Arial"/>
          <w:sz w:val="20"/>
          <w:szCs w:val="20"/>
        </w:rPr>
      </w:pPr>
      <w:r w:rsidRPr="009C048E">
        <w:rPr>
          <w:rFonts w:ascii="Arial" w:hAnsi="Arial" w:cs="Arial"/>
          <w:b/>
          <w:bCs/>
          <w:sz w:val="20"/>
          <w:szCs w:val="20"/>
        </w:rPr>
        <w:t>Regulatory Asymmetry:</w:t>
      </w:r>
      <w:r w:rsidRPr="009C048E">
        <w:rPr>
          <w:rFonts w:ascii="Arial" w:hAnsi="Arial" w:cs="Arial"/>
          <w:sz w:val="20"/>
          <w:szCs w:val="20"/>
        </w:rPr>
        <w:t xml:space="preserve"> Three-party networks (e.g. American Express)</w:t>
      </w:r>
      <w:r w:rsidR="001D0B73">
        <w:rPr>
          <w:rFonts w:ascii="Arial" w:hAnsi="Arial" w:cs="Arial"/>
          <w:sz w:val="20"/>
          <w:szCs w:val="20"/>
        </w:rPr>
        <w:t xml:space="preserve"> </w:t>
      </w:r>
      <w:r w:rsidR="008D0037">
        <w:rPr>
          <w:rFonts w:ascii="Arial" w:hAnsi="Arial" w:cs="Arial"/>
          <w:sz w:val="20"/>
          <w:szCs w:val="20"/>
        </w:rPr>
        <w:t xml:space="preserve">operate a differentiated cost model and competition at merchant level drives their </w:t>
      </w:r>
      <w:r w:rsidR="00E63750">
        <w:rPr>
          <w:rFonts w:ascii="Arial" w:hAnsi="Arial" w:cs="Arial"/>
          <w:sz w:val="20"/>
          <w:szCs w:val="20"/>
        </w:rPr>
        <w:t xml:space="preserve">proposition, including merchant service fee and cardholder benefits.  With surcharging now allowed to be banned by all card schemes, </w:t>
      </w:r>
      <w:r w:rsidR="00811DB3">
        <w:rPr>
          <w:rFonts w:ascii="Arial" w:hAnsi="Arial" w:cs="Arial"/>
          <w:sz w:val="20"/>
          <w:szCs w:val="20"/>
        </w:rPr>
        <w:t>there seems to be less imperative to directly regulate, and the interchange-driven perverse incentives don’t seem to be as clearly present in “closed loop” three-party schemes.</w:t>
      </w:r>
    </w:p>
    <w:p w14:paraId="1565941B"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 to Question 10: Buy Now, Pay Later (BNPL)</w:t>
      </w:r>
    </w:p>
    <w:p w14:paraId="0B2C55BA" w14:textId="5C93B3E5" w:rsidR="009C048E" w:rsidRPr="009C048E" w:rsidRDefault="009C048E" w:rsidP="00B2142B">
      <w:pPr>
        <w:numPr>
          <w:ilvl w:val="0"/>
          <w:numId w:val="11"/>
        </w:numPr>
        <w:rPr>
          <w:rFonts w:ascii="Arial" w:hAnsi="Arial" w:cs="Arial"/>
          <w:sz w:val="20"/>
          <w:szCs w:val="20"/>
        </w:rPr>
      </w:pPr>
      <w:r w:rsidRPr="009C048E">
        <w:rPr>
          <w:rFonts w:ascii="Arial" w:hAnsi="Arial" w:cs="Arial"/>
          <w:b/>
          <w:bCs/>
          <w:sz w:val="20"/>
          <w:szCs w:val="20"/>
        </w:rPr>
        <w:t>Regulatory Parity:</w:t>
      </w:r>
      <w:r w:rsidR="00B2142B">
        <w:rPr>
          <w:rFonts w:ascii="Arial" w:hAnsi="Arial" w:cs="Arial"/>
          <w:sz w:val="20"/>
          <w:szCs w:val="20"/>
        </w:rPr>
        <w:t xml:space="preserve"> Changes to surcharging regulation have neutralised much of the need for payments regulation of BNPL.  </w:t>
      </w:r>
      <w:r w:rsidR="00F41786">
        <w:rPr>
          <w:rFonts w:ascii="Arial" w:hAnsi="Arial" w:cs="Arial"/>
          <w:sz w:val="20"/>
          <w:szCs w:val="20"/>
        </w:rPr>
        <w:t>As is the case with three-party networks, merchant and consumer competition drives the proposition of BNPL provider</w:t>
      </w:r>
      <w:r w:rsidR="00B252ED">
        <w:rPr>
          <w:rFonts w:ascii="Arial" w:hAnsi="Arial" w:cs="Arial"/>
          <w:sz w:val="20"/>
          <w:szCs w:val="20"/>
        </w:rPr>
        <w:t>s.</w:t>
      </w:r>
    </w:p>
    <w:p w14:paraId="3EE16FDA" w14:textId="1B7A7031" w:rsidR="009C048E" w:rsidRPr="009C048E" w:rsidRDefault="00000000" w:rsidP="009C048E">
      <w:pPr>
        <w:rPr>
          <w:rFonts w:ascii="Arial" w:hAnsi="Arial" w:cs="Arial"/>
          <w:sz w:val="20"/>
          <w:szCs w:val="20"/>
        </w:rPr>
      </w:pPr>
      <w:r>
        <w:rPr>
          <w:noProof/>
        </w:rPr>
      </w:r>
      <w:r>
        <w:rPr>
          <w:noProof/>
        </w:rPr>
        <w:pict w14:anchorId="0E628364">
          <v:rect id="Horizontal Line 5" o:spid="_x0000_s2051" alt="" style="width:451.3pt;height:.3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wrap type="none"/>
            <w10:anchorlock/>
          </v:rect>
        </w:pict>
      </w:r>
    </w:p>
    <w:p w14:paraId="698CC945" w14:textId="77777777" w:rsidR="009C048E" w:rsidRPr="009C048E" w:rsidRDefault="009C048E" w:rsidP="009C048E">
      <w:pPr>
        <w:rPr>
          <w:rFonts w:ascii="Arial" w:hAnsi="Arial" w:cs="Arial"/>
          <w:b/>
          <w:bCs/>
          <w:sz w:val="20"/>
          <w:szCs w:val="20"/>
        </w:rPr>
      </w:pPr>
      <w:r w:rsidRPr="009C048E">
        <w:rPr>
          <w:rFonts w:ascii="Arial" w:hAnsi="Arial" w:cs="Arial"/>
          <w:b/>
          <w:bCs/>
          <w:sz w:val="20"/>
          <w:szCs w:val="20"/>
        </w:rPr>
        <w:t>4. Cryptography, Security &amp; Overseas Card Fraud</w:t>
      </w:r>
    </w:p>
    <w:p w14:paraId="59125C6B"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Responses to Questions 15, 16 &amp; 17: Cryptography Uplift</w:t>
      </w:r>
    </w:p>
    <w:p w14:paraId="3070547B" w14:textId="0E820ACF" w:rsidR="009C048E" w:rsidRPr="009C048E" w:rsidRDefault="009C048E" w:rsidP="009C048E">
      <w:pPr>
        <w:numPr>
          <w:ilvl w:val="0"/>
          <w:numId w:val="12"/>
        </w:numPr>
        <w:rPr>
          <w:rFonts w:ascii="Arial" w:hAnsi="Arial" w:cs="Arial"/>
          <w:sz w:val="20"/>
          <w:szCs w:val="20"/>
        </w:rPr>
      </w:pPr>
      <w:r w:rsidRPr="009C048E">
        <w:rPr>
          <w:rFonts w:ascii="Arial" w:hAnsi="Arial" w:cs="Arial"/>
          <w:b/>
          <w:bCs/>
          <w:sz w:val="20"/>
          <w:szCs w:val="20"/>
        </w:rPr>
        <w:t>Industry Coordination:</w:t>
      </w:r>
      <w:r w:rsidRPr="009C048E">
        <w:rPr>
          <w:rFonts w:ascii="Arial" w:hAnsi="Arial" w:cs="Arial"/>
          <w:sz w:val="20"/>
          <w:szCs w:val="20"/>
        </w:rPr>
        <w:t xml:space="preserve"> The payments industry is actively engaged in cryptographic uplifts, including the Advanced Encryption Standard (AES) Migration Program and post-quantum preparation. Macquarie supports an industry-led approach coordinated through established bodies, provided implementation timelines are realistic and account for hardware refresh cycle</w:t>
      </w:r>
      <w:r w:rsidR="00B252ED">
        <w:rPr>
          <w:rFonts w:ascii="Arial" w:hAnsi="Arial" w:cs="Arial"/>
          <w:sz w:val="20"/>
          <w:szCs w:val="20"/>
        </w:rPr>
        <w:t>s.</w:t>
      </w:r>
    </w:p>
    <w:p w14:paraId="6065C3D4" w14:textId="69EBD1DF" w:rsidR="009C048E" w:rsidRPr="009C048E" w:rsidRDefault="009C048E" w:rsidP="009C048E">
      <w:pPr>
        <w:numPr>
          <w:ilvl w:val="0"/>
          <w:numId w:val="12"/>
        </w:numPr>
        <w:rPr>
          <w:rFonts w:ascii="Arial" w:hAnsi="Arial" w:cs="Arial"/>
          <w:sz w:val="20"/>
          <w:szCs w:val="20"/>
        </w:rPr>
      </w:pPr>
      <w:r w:rsidRPr="009C048E">
        <w:rPr>
          <w:rFonts w:ascii="Arial" w:hAnsi="Arial" w:cs="Arial"/>
          <w:b/>
          <w:bCs/>
          <w:sz w:val="20"/>
          <w:szCs w:val="20"/>
        </w:rPr>
        <w:t>Avoiding Duplicative Regulation:</w:t>
      </w:r>
      <w:r w:rsidRPr="009C048E">
        <w:rPr>
          <w:rFonts w:ascii="Arial" w:hAnsi="Arial" w:cs="Arial"/>
          <w:sz w:val="20"/>
          <w:szCs w:val="20"/>
        </w:rPr>
        <w:t xml:space="preserve"> The RBA should support and align with existing standards set by the Australian Signals Directorate (ASD) and the Payment Card Industry Security Standards Council (PCI SSC), avoiding duplicative or conflicting regulatory mandates.</w:t>
      </w:r>
      <w:r w:rsidR="00B252ED">
        <w:rPr>
          <w:rFonts w:ascii="Arial" w:hAnsi="Arial" w:cs="Arial"/>
          <w:sz w:val="20"/>
          <w:szCs w:val="20"/>
        </w:rPr>
        <w:t xml:space="preserve">  This may be best achieved through </w:t>
      </w:r>
      <w:proofErr w:type="spellStart"/>
      <w:r w:rsidR="00B252ED">
        <w:rPr>
          <w:rFonts w:ascii="Arial" w:hAnsi="Arial" w:cs="Arial"/>
          <w:sz w:val="20"/>
          <w:szCs w:val="20"/>
        </w:rPr>
        <w:t>AusPayNet</w:t>
      </w:r>
      <w:proofErr w:type="spellEnd"/>
      <w:r w:rsidR="00B252ED">
        <w:rPr>
          <w:rFonts w:ascii="Arial" w:hAnsi="Arial" w:cs="Arial"/>
          <w:sz w:val="20"/>
          <w:szCs w:val="20"/>
        </w:rPr>
        <w:t xml:space="preserve"> standards creation and enforcement.</w:t>
      </w:r>
    </w:p>
    <w:p w14:paraId="3B16915B" w14:textId="77777777" w:rsidR="009C048E" w:rsidRPr="009C048E" w:rsidRDefault="009C048E" w:rsidP="009C048E">
      <w:pPr>
        <w:rPr>
          <w:rFonts w:ascii="Arial" w:hAnsi="Arial" w:cs="Arial"/>
          <w:b/>
          <w:bCs/>
          <w:sz w:val="20"/>
          <w:szCs w:val="20"/>
        </w:rPr>
      </w:pPr>
      <w:r w:rsidRPr="009C048E">
        <w:rPr>
          <w:rFonts w:ascii="Arial" w:hAnsi="Arial" w:cs="Arial"/>
          <w:b/>
          <w:bCs/>
          <w:i/>
          <w:iCs/>
          <w:sz w:val="20"/>
          <w:szCs w:val="20"/>
        </w:rPr>
        <w:t>Response to Question 18: Overseas Card Not Present (CNP) Fraud</w:t>
      </w:r>
    </w:p>
    <w:p w14:paraId="1BD092B3" w14:textId="64F9081E" w:rsidR="009C048E" w:rsidRPr="009C048E" w:rsidRDefault="009C048E" w:rsidP="009C048E">
      <w:pPr>
        <w:numPr>
          <w:ilvl w:val="0"/>
          <w:numId w:val="13"/>
        </w:numPr>
        <w:rPr>
          <w:rFonts w:ascii="Arial" w:hAnsi="Arial" w:cs="Arial"/>
          <w:sz w:val="20"/>
          <w:szCs w:val="20"/>
        </w:rPr>
      </w:pPr>
      <w:r w:rsidRPr="009C048E">
        <w:rPr>
          <w:rFonts w:ascii="Arial" w:hAnsi="Arial" w:cs="Arial"/>
          <w:b/>
          <w:bCs/>
          <w:sz w:val="20"/>
          <w:szCs w:val="20"/>
        </w:rPr>
        <w:t>Issuer Risk Management:</w:t>
      </w:r>
      <w:r w:rsidRPr="009C048E">
        <w:rPr>
          <w:rFonts w:ascii="Arial" w:hAnsi="Arial" w:cs="Arial"/>
          <w:sz w:val="20"/>
          <w:szCs w:val="20"/>
        </w:rPr>
        <w:t xml:space="preserve"> Direct RBA regulatory intervention on overseas CNP fraud is unnecessary and could introduce unintended friction for Australian consumers transacting internationally.</w:t>
      </w:r>
      <w:r w:rsidR="007F1E3E">
        <w:rPr>
          <w:rFonts w:ascii="Arial" w:hAnsi="Arial" w:cs="Arial"/>
          <w:sz w:val="20"/>
          <w:szCs w:val="20"/>
        </w:rPr>
        <w:t xml:space="preserve">  Card issuers should </w:t>
      </w:r>
      <w:r w:rsidR="005B1076">
        <w:rPr>
          <w:rFonts w:ascii="Arial" w:hAnsi="Arial" w:cs="Arial"/>
          <w:sz w:val="20"/>
          <w:szCs w:val="20"/>
        </w:rPr>
        <w:t>protect their customers as part of their competitive proposition.</w:t>
      </w:r>
    </w:p>
    <w:p w14:paraId="2B989B4B" w14:textId="432ED906" w:rsidR="009C048E" w:rsidRPr="009C048E" w:rsidRDefault="00000000" w:rsidP="009C048E">
      <w:pPr>
        <w:rPr>
          <w:rFonts w:ascii="Arial" w:hAnsi="Arial" w:cs="Arial"/>
          <w:sz w:val="20"/>
          <w:szCs w:val="20"/>
        </w:rPr>
      </w:pPr>
      <w:r>
        <w:rPr>
          <w:noProof/>
        </w:rPr>
      </w:r>
      <w:r>
        <w:rPr>
          <w:noProof/>
        </w:rPr>
        <w:pict w14:anchorId="50E77C9D">
          <v:rect id="_x0000_s2050" alt="" style="width:451.3pt;height:.9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p>
    <w:p w14:paraId="3E350569" w14:textId="77777777" w:rsidR="004C5A45" w:rsidRPr="008E290E" w:rsidRDefault="004C5A45" w:rsidP="00C305B4">
      <w:pPr>
        <w:rPr>
          <w:rFonts w:ascii="Arial" w:hAnsi="Arial" w:cs="Arial"/>
          <w:sz w:val="20"/>
          <w:szCs w:val="20"/>
        </w:rPr>
      </w:pPr>
    </w:p>
    <w:p w14:paraId="62321CA2" w14:textId="74574C9E" w:rsidR="004C5A45" w:rsidRDefault="00510E8A" w:rsidP="00C305B4">
      <w:pPr>
        <w:rPr>
          <w:rFonts w:ascii="Arial" w:hAnsi="Arial" w:cs="Arial"/>
          <w:sz w:val="20"/>
          <w:szCs w:val="20"/>
        </w:rPr>
      </w:pPr>
      <w:r>
        <w:rPr>
          <w:rFonts w:ascii="Arial" w:hAnsi="Arial" w:cs="Arial"/>
          <w:sz w:val="20"/>
          <w:szCs w:val="20"/>
        </w:rPr>
        <w:t xml:space="preserve">Kind regards, </w:t>
      </w:r>
    </w:p>
    <w:p w14:paraId="70F41ABE" w14:textId="77777777" w:rsidR="00510E8A" w:rsidRPr="008E290E" w:rsidRDefault="00510E8A" w:rsidP="00C305B4">
      <w:pPr>
        <w:rPr>
          <w:rFonts w:ascii="Arial" w:hAnsi="Arial" w:cs="Arial"/>
          <w:sz w:val="20"/>
          <w:szCs w:val="20"/>
        </w:rPr>
      </w:pPr>
    </w:p>
    <w:p w14:paraId="2DF5AB81" w14:textId="3EDB081E" w:rsidR="004C5A45" w:rsidRPr="008E290E" w:rsidRDefault="005B1076" w:rsidP="00535A4B">
      <w:pPr>
        <w:spacing w:after="0"/>
        <w:rPr>
          <w:rFonts w:ascii="Arial" w:hAnsi="Arial" w:cs="Arial"/>
          <w:sz w:val="20"/>
          <w:szCs w:val="20"/>
        </w:rPr>
      </w:pPr>
      <w:r>
        <w:rPr>
          <w:rFonts w:ascii="Arial" w:hAnsi="Arial" w:cs="Arial"/>
          <w:sz w:val="20"/>
          <w:szCs w:val="20"/>
        </w:rPr>
        <w:t>Greg Moore</w:t>
      </w:r>
    </w:p>
    <w:p w14:paraId="6814AEFE" w14:textId="552F0AB7" w:rsidR="00510E8A" w:rsidRDefault="005B1076" w:rsidP="00535A4B">
      <w:pPr>
        <w:spacing w:after="0"/>
        <w:rPr>
          <w:rFonts w:ascii="Arial" w:hAnsi="Arial" w:cs="Arial"/>
          <w:sz w:val="20"/>
          <w:szCs w:val="20"/>
        </w:rPr>
      </w:pPr>
      <w:r>
        <w:rPr>
          <w:rFonts w:ascii="Arial" w:hAnsi="Arial" w:cs="Arial"/>
          <w:sz w:val="20"/>
          <w:szCs w:val="20"/>
        </w:rPr>
        <w:t xml:space="preserve">Division </w:t>
      </w:r>
      <w:r w:rsidR="004C5A45" w:rsidRPr="008E290E">
        <w:rPr>
          <w:rFonts w:ascii="Arial" w:hAnsi="Arial" w:cs="Arial"/>
          <w:sz w:val="20"/>
          <w:szCs w:val="20"/>
        </w:rPr>
        <w:t xml:space="preserve">Director, </w:t>
      </w:r>
      <w:r>
        <w:rPr>
          <w:rFonts w:ascii="Arial" w:hAnsi="Arial" w:cs="Arial"/>
          <w:sz w:val="20"/>
          <w:szCs w:val="20"/>
        </w:rPr>
        <w:t>Payments Product</w:t>
      </w:r>
    </w:p>
    <w:p w14:paraId="6693494D" w14:textId="4F2EB87B" w:rsidR="004C5A45" w:rsidRPr="008E290E" w:rsidRDefault="004C5A45" w:rsidP="00535A4B">
      <w:pPr>
        <w:spacing w:after="0"/>
        <w:rPr>
          <w:rFonts w:ascii="Arial" w:hAnsi="Arial" w:cs="Arial"/>
          <w:sz w:val="20"/>
          <w:szCs w:val="20"/>
        </w:rPr>
      </w:pPr>
      <w:r w:rsidRPr="008E290E">
        <w:rPr>
          <w:rFonts w:ascii="Arial" w:hAnsi="Arial" w:cs="Arial"/>
          <w:sz w:val="20"/>
          <w:szCs w:val="20"/>
        </w:rPr>
        <w:t>Macquarie Bank</w:t>
      </w:r>
      <w:r w:rsidR="00510E8A">
        <w:rPr>
          <w:rFonts w:ascii="Arial" w:hAnsi="Arial" w:cs="Arial"/>
          <w:sz w:val="20"/>
          <w:szCs w:val="20"/>
        </w:rPr>
        <w:t xml:space="preserve"> Limited</w:t>
      </w:r>
    </w:p>
    <w:sectPr w:rsidR="004C5A45" w:rsidRPr="008E290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28175" w14:textId="77777777" w:rsidR="00644D22" w:rsidRDefault="00644D22" w:rsidP="00E03DD6">
      <w:pPr>
        <w:spacing w:after="0" w:line="240" w:lineRule="auto"/>
      </w:pPr>
      <w:r>
        <w:separator/>
      </w:r>
    </w:p>
  </w:endnote>
  <w:endnote w:type="continuationSeparator" w:id="0">
    <w:p w14:paraId="28F4DD66" w14:textId="77777777" w:rsidR="00644D22" w:rsidRDefault="00644D22" w:rsidP="00E03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Q Global Light">
    <w:altName w:val="Calibri"/>
    <w:charset w:val="00"/>
    <w:family w:val="swiss"/>
    <w:pitch w:val="variable"/>
    <w:sig w:usb0="A000006F" w:usb1="4000004A" w:usb2="00000008"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A730" w14:textId="77777777" w:rsidR="00644D22" w:rsidRDefault="00644D22" w:rsidP="00E03DD6">
      <w:pPr>
        <w:spacing w:after="0" w:line="240" w:lineRule="auto"/>
      </w:pPr>
      <w:r>
        <w:separator/>
      </w:r>
    </w:p>
  </w:footnote>
  <w:footnote w:type="continuationSeparator" w:id="0">
    <w:p w14:paraId="346E016B" w14:textId="77777777" w:rsidR="00644D22" w:rsidRDefault="00644D22" w:rsidP="00E03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6"/>
      <w:gridCol w:w="4190"/>
    </w:tblGrid>
    <w:tr w:rsidR="00C1403B" w:rsidRPr="00C1403B" w14:paraId="2143D858" w14:textId="77777777" w:rsidTr="00C1403B">
      <w:trPr>
        <w:trHeight w:val="300"/>
      </w:trPr>
      <w:tc>
        <w:tcPr>
          <w:tcW w:w="4845" w:type="dxa"/>
          <w:tcBorders>
            <w:top w:val="nil"/>
            <w:left w:val="nil"/>
            <w:bottom w:val="nil"/>
            <w:right w:val="nil"/>
          </w:tcBorders>
          <w:hideMark/>
        </w:tcPr>
        <w:p w14:paraId="017EB54C" w14:textId="77777777" w:rsidR="00C1403B" w:rsidRPr="00C1403B" w:rsidRDefault="00C1403B" w:rsidP="00C1403B">
          <w:pPr>
            <w:pStyle w:val="Header"/>
            <w:jc w:val="both"/>
            <w:rPr>
              <w:rFonts w:ascii="Arial" w:hAnsi="Arial" w:cs="Arial"/>
              <w:sz w:val="14"/>
              <w:szCs w:val="14"/>
            </w:rPr>
          </w:pPr>
          <w:r w:rsidRPr="00C1403B">
            <w:rPr>
              <w:rFonts w:ascii="Arial" w:hAnsi="Arial" w:cs="Arial"/>
              <w:b/>
              <w:bCs/>
              <w:sz w:val="14"/>
              <w:szCs w:val="14"/>
            </w:rPr>
            <w:t>Macquarie Bank Limited</w:t>
          </w:r>
          <w:r w:rsidRPr="00C1403B">
            <w:rPr>
              <w:rFonts w:ascii="Arial" w:hAnsi="Arial" w:cs="Arial"/>
              <w:sz w:val="14"/>
              <w:szCs w:val="14"/>
            </w:rPr>
            <w:t> </w:t>
          </w:r>
        </w:p>
        <w:p w14:paraId="74FDD802" w14:textId="77777777" w:rsidR="00C1403B" w:rsidRPr="00C1403B" w:rsidRDefault="00C1403B" w:rsidP="00C1403B">
          <w:pPr>
            <w:pStyle w:val="Header"/>
            <w:jc w:val="both"/>
            <w:rPr>
              <w:rFonts w:ascii="Arial" w:hAnsi="Arial" w:cs="Arial"/>
              <w:sz w:val="14"/>
              <w:szCs w:val="14"/>
            </w:rPr>
          </w:pPr>
          <w:r w:rsidRPr="00C1403B">
            <w:rPr>
              <w:rFonts w:ascii="Arial" w:hAnsi="Arial" w:cs="Arial"/>
              <w:sz w:val="14"/>
              <w:szCs w:val="14"/>
            </w:rPr>
            <w:t>ABN 46 008 583 542 | AFS Licence Number 237502 </w:t>
          </w:r>
        </w:p>
        <w:p w14:paraId="4954B5CB" w14:textId="77777777" w:rsidR="00C1403B" w:rsidRPr="00C1403B" w:rsidRDefault="00C1403B" w:rsidP="00C1403B">
          <w:pPr>
            <w:pStyle w:val="Header"/>
            <w:jc w:val="both"/>
            <w:rPr>
              <w:rFonts w:ascii="Arial" w:hAnsi="Arial" w:cs="Arial"/>
              <w:sz w:val="14"/>
              <w:szCs w:val="14"/>
            </w:rPr>
          </w:pPr>
          <w:r w:rsidRPr="00C1403B">
            <w:rPr>
              <w:rFonts w:ascii="Arial" w:hAnsi="Arial" w:cs="Arial"/>
              <w:sz w:val="14"/>
              <w:szCs w:val="14"/>
            </w:rPr>
            <w:t>Macquarie Banking and Financial Services Group </w:t>
          </w:r>
        </w:p>
        <w:p w14:paraId="51CF15DF" w14:textId="77532E34" w:rsidR="00C1403B" w:rsidRPr="00C1403B" w:rsidRDefault="00C1403B" w:rsidP="00C1403B">
          <w:pPr>
            <w:pStyle w:val="Header"/>
            <w:jc w:val="both"/>
            <w:rPr>
              <w:rFonts w:ascii="Arial" w:hAnsi="Arial" w:cs="Arial"/>
              <w:sz w:val="14"/>
              <w:szCs w:val="14"/>
            </w:rPr>
          </w:pPr>
          <w:r w:rsidRPr="00C1403B">
            <w:rPr>
              <w:rFonts w:ascii="Arial" w:hAnsi="Arial" w:cs="Arial"/>
              <w:sz w:val="14"/>
              <w:szCs w:val="14"/>
            </w:rPr>
            <w:t>A Member of the Macquarie Group</w:t>
          </w:r>
        </w:p>
      </w:tc>
      <w:tc>
        <w:tcPr>
          <w:tcW w:w="4200" w:type="dxa"/>
          <w:tcBorders>
            <w:top w:val="nil"/>
            <w:left w:val="nil"/>
            <w:bottom w:val="nil"/>
            <w:right w:val="nil"/>
          </w:tcBorders>
          <w:hideMark/>
        </w:tcPr>
        <w:p w14:paraId="1086DFC9" w14:textId="77777777" w:rsidR="00C1403B" w:rsidRPr="00C1403B" w:rsidRDefault="00C1403B" w:rsidP="00C1403B">
          <w:pPr>
            <w:pStyle w:val="Header"/>
            <w:jc w:val="both"/>
            <w:rPr>
              <w:rFonts w:ascii="Arial" w:hAnsi="Arial" w:cs="Arial"/>
              <w:sz w:val="14"/>
              <w:szCs w:val="14"/>
            </w:rPr>
          </w:pPr>
          <w:r w:rsidRPr="00C1403B">
            <w:rPr>
              <w:rFonts w:ascii="Arial" w:hAnsi="Arial" w:cs="Arial"/>
              <w:sz w:val="14"/>
              <w:szCs w:val="14"/>
            </w:rPr>
            <w:t> </w:t>
          </w:r>
        </w:p>
      </w:tc>
    </w:tr>
  </w:tbl>
  <w:p w14:paraId="7AE5E457" w14:textId="77777777" w:rsidR="00F92B55" w:rsidRPr="008E290E" w:rsidRDefault="00F92B55" w:rsidP="008E290E">
    <w:pPr>
      <w:pStyle w:val="Header"/>
      <w:jc w:val="both"/>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3FE2"/>
    <w:multiLevelType w:val="multilevel"/>
    <w:tmpl w:val="ED5E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3356B"/>
    <w:multiLevelType w:val="hybridMultilevel"/>
    <w:tmpl w:val="8F227906"/>
    <w:lvl w:ilvl="0" w:tplc="644E789C">
      <w:numFmt w:val="bullet"/>
      <w:lvlText w:val="-"/>
      <w:lvlJc w:val="left"/>
      <w:pPr>
        <w:ind w:left="720" w:hanging="360"/>
      </w:pPr>
      <w:rPr>
        <w:rFonts w:ascii="MCQ Global Light" w:eastAsiaTheme="minorHAnsi" w:hAnsi="MCQ Global Light" w:cs="MCQ Global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B6638"/>
    <w:multiLevelType w:val="multilevel"/>
    <w:tmpl w:val="9A2E6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02135D"/>
    <w:multiLevelType w:val="multilevel"/>
    <w:tmpl w:val="F962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D75B0"/>
    <w:multiLevelType w:val="multilevel"/>
    <w:tmpl w:val="42E0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966FB"/>
    <w:multiLevelType w:val="multilevel"/>
    <w:tmpl w:val="FD68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B1F0B"/>
    <w:multiLevelType w:val="multilevel"/>
    <w:tmpl w:val="32B6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F77CF"/>
    <w:multiLevelType w:val="multilevel"/>
    <w:tmpl w:val="3872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3B1515"/>
    <w:multiLevelType w:val="multilevel"/>
    <w:tmpl w:val="EF8C8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155D4C"/>
    <w:multiLevelType w:val="hybridMultilevel"/>
    <w:tmpl w:val="FD3C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152833"/>
    <w:multiLevelType w:val="multilevel"/>
    <w:tmpl w:val="EF08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2E0B9E"/>
    <w:multiLevelType w:val="multilevel"/>
    <w:tmpl w:val="A5B4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70DEE"/>
    <w:multiLevelType w:val="multilevel"/>
    <w:tmpl w:val="18827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591905">
    <w:abstractNumId w:val="1"/>
  </w:num>
  <w:num w:numId="2" w16cid:durableId="1022317795">
    <w:abstractNumId w:val="9"/>
  </w:num>
  <w:num w:numId="3" w16cid:durableId="1031492863">
    <w:abstractNumId w:val="8"/>
  </w:num>
  <w:num w:numId="4" w16cid:durableId="238370157">
    <w:abstractNumId w:val="12"/>
  </w:num>
  <w:num w:numId="5" w16cid:durableId="199587902">
    <w:abstractNumId w:val="7"/>
  </w:num>
  <w:num w:numId="6" w16cid:durableId="385683303">
    <w:abstractNumId w:val="5"/>
  </w:num>
  <w:num w:numId="7" w16cid:durableId="411895533">
    <w:abstractNumId w:val="0"/>
  </w:num>
  <w:num w:numId="8" w16cid:durableId="159926027">
    <w:abstractNumId w:val="11"/>
  </w:num>
  <w:num w:numId="9" w16cid:durableId="1153912657">
    <w:abstractNumId w:val="4"/>
  </w:num>
  <w:num w:numId="10" w16cid:durableId="926615612">
    <w:abstractNumId w:val="3"/>
  </w:num>
  <w:num w:numId="11" w16cid:durableId="655181596">
    <w:abstractNumId w:val="2"/>
  </w:num>
  <w:num w:numId="12" w16cid:durableId="1139421115">
    <w:abstractNumId w:val="6"/>
  </w:num>
  <w:num w:numId="13" w16cid:durableId="9241503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B4"/>
    <w:rsid w:val="000029F7"/>
    <w:rsid w:val="00002FD8"/>
    <w:rsid w:val="00003A9B"/>
    <w:rsid w:val="000048A5"/>
    <w:rsid w:val="0001128C"/>
    <w:rsid w:val="000218B7"/>
    <w:rsid w:val="00022C22"/>
    <w:rsid w:val="000374D5"/>
    <w:rsid w:val="00045367"/>
    <w:rsid w:val="00050CAA"/>
    <w:rsid w:val="000609CC"/>
    <w:rsid w:val="000611E8"/>
    <w:rsid w:val="000627E3"/>
    <w:rsid w:val="000670D3"/>
    <w:rsid w:val="000676F3"/>
    <w:rsid w:val="00071BEA"/>
    <w:rsid w:val="00085277"/>
    <w:rsid w:val="00086613"/>
    <w:rsid w:val="0009095D"/>
    <w:rsid w:val="000A239E"/>
    <w:rsid w:val="000A3352"/>
    <w:rsid w:val="000C4AC7"/>
    <w:rsid w:val="000C4C45"/>
    <w:rsid w:val="000C69F1"/>
    <w:rsid w:val="000C79B7"/>
    <w:rsid w:val="000D138B"/>
    <w:rsid w:val="000D59F2"/>
    <w:rsid w:val="000E38C9"/>
    <w:rsid w:val="000F07F5"/>
    <w:rsid w:val="000F56A1"/>
    <w:rsid w:val="000F74EE"/>
    <w:rsid w:val="00101830"/>
    <w:rsid w:val="0010616B"/>
    <w:rsid w:val="00111033"/>
    <w:rsid w:val="00111083"/>
    <w:rsid w:val="00115160"/>
    <w:rsid w:val="00117174"/>
    <w:rsid w:val="00120D64"/>
    <w:rsid w:val="0012122F"/>
    <w:rsid w:val="00126A66"/>
    <w:rsid w:val="00144B91"/>
    <w:rsid w:val="0015188F"/>
    <w:rsid w:val="00153FF0"/>
    <w:rsid w:val="001653CA"/>
    <w:rsid w:val="00177060"/>
    <w:rsid w:val="0017737C"/>
    <w:rsid w:val="0018285E"/>
    <w:rsid w:val="00187123"/>
    <w:rsid w:val="00187E77"/>
    <w:rsid w:val="001A1561"/>
    <w:rsid w:val="001B306A"/>
    <w:rsid w:val="001B775D"/>
    <w:rsid w:val="001D0B73"/>
    <w:rsid w:val="001D485F"/>
    <w:rsid w:val="001D7020"/>
    <w:rsid w:val="001E21EE"/>
    <w:rsid w:val="002033A6"/>
    <w:rsid w:val="00210AA3"/>
    <w:rsid w:val="00214A76"/>
    <w:rsid w:val="00227206"/>
    <w:rsid w:val="00234E83"/>
    <w:rsid w:val="0024080F"/>
    <w:rsid w:val="0025706D"/>
    <w:rsid w:val="0026046E"/>
    <w:rsid w:val="0026456F"/>
    <w:rsid w:val="00267997"/>
    <w:rsid w:val="00267AF6"/>
    <w:rsid w:val="002719EA"/>
    <w:rsid w:val="00271DFA"/>
    <w:rsid w:val="00272D37"/>
    <w:rsid w:val="00273624"/>
    <w:rsid w:val="0028032A"/>
    <w:rsid w:val="00281110"/>
    <w:rsid w:val="002830EE"/>
    <w:rsid w:val="002932DC"/>
    <w:rsid w:val="00293368"/>
    <w:rsid w:val="002A182E"/>
    <w:rsid w:val="002A2606"/>
    <w:rsid w:val="002A43AB"/>
    <w:rsid w:val="002B352E"/>
    <w:rsid w:val="002B604F"/>
    <w:rsid w:val="002C07AF"/>
    <w:rsid w:val="002D7E4B"/>
    <w:rsid w:val="002E1950"/>
    <w:rsid w:val="002F00B1"/>
    <w:rsid w:val="002F2B8D"/>
    <w:rsid w:val="002F6D3B"/>
    <w:rsid w:val="003034CD"/>
    <w:rsid w:val="00322691"/>
    <w:rsid w:val="003254AA"/>
    <w:rsid w:val="00332CE6"/>
    <w:rsid w:val="00337D3A"/>
    <w:rsid w:val="00340546"/>
    <w:rsid w:val="0034095B"/>
    <w:rsid w:val="003438C8"/>
    <w:rsid w:val="00346A1A"/>
    <w:rsid w:val="00350899"/>
    <w:rsid w:val="00350AF5"/>
    <w:rsid w:val="0035178D"/>
    <w:rsid w:val="00375304"/>
    <w:rsid w:val="00383556"/>
    <w:rsid w:val="00387969"/>
    <w:rsid w:val="003916ED"/>
    <w:rsid w:val="0039513F"/>
    <w:rsid w:val="003A0D56"/>
    <w:rsid w:val="003A238E"/>
    <w:rsid w:val="003A2B05"/>
    <w:rsid w:val="003B052C"/>
    <w:rsid w:val="003C5C60"/>
    <w:rsid w:val="003D7517"/>
    <w:rsid w:val="003E54B0"/>
    <w:rsid w:val="003F0821"/>
    <w:rsid w:val="00411480"/>
    <w:rsid w:val="00413350"/>
    <w:rsid w:val="004331B8"/>
    <w:rsid w:val="00440823"/>
    <w:rsid w:val="00445C8C"/>
    <w:rsid w:val="00450357"/>
    <w:rsid w:val="00461330"/>
    <w:rsid w:val="00464777"/>
    <w:rsid w:val="004707AC"/>
    <w:rsid w:val="004911B1"/>
    <w:rsid w:val="004943CC"/>
    <w:rsid w:val="004A14CE"/>
    <w:rsid w:val="004C437F"/>
    <w:rsid w:val="004C4925"/>
    <w:rsid w:val="004C5A45"/>
    <w:rsid w:val="004D0248"/>
    <w:rsid w:val="004D1E29"/>
    <w:rsid w:val="004E65E9"/>
    <w:rsid w:val="00501BF4"/>
    <w:rsid w:val="0050230F"/>
    <w:rsid w:val="0050413D"/>
    <w:rsid w:val="00507CCD"/>
    <w:rsid w:val="00510E8A"/>
    <w:rsid w:val="00514341"/>
    <w:rsid w:val="00524725"/>
    <w:rsid w:val="0052544C"/>
    <w:rsid w:val="005266C7"/>
    <w:rsid w:val="00535A4B"/>
    <w:rsid w:val="0053796A"/>
    <w:rsid w:val="00540CE3"/>
    <w:rsid w:val="00547EBC"/>
    <w:rsid w:val="005552D9"/>
    <w:rsid w:val="005552E6"/>
    <w:rsid w:val="005615D6"/>
    <w:rsid w:val="00564F76"/>
    <w:rsid w:val="005701DB"/>
    <w:rsid w:val="00573E7D"/>
    <w:rsid w:val="00577AA4"/>
    <w:rsid w:val="00585680"/>
    <w:rsid w:val="005923E9"/>
    <w:rsid w:val="00593750"/>
    <w:rsid w:val="005B1076"/>
    <w:rsid w:val="005B17BF"/>
    <w:rsid w:val="005B620E"/>
    <w:rsid w:val="005C0736"/>
    <w:rsid w:val="005E4CD1"/>
    <w:rsid w:val="005F31A2"/>
    <w:rsid w:val="005F45AC"/>
    <w:rsid w:val="00600B64"/>
    <w:rsid w:val="006048A3"/>
    <w:rsid w:val="0060493A"/>
    <w:rsid w:val="00626443"/>
    <w:rsid w:val="00633069"/>
    <w:rsid w:val="006359E2"/>
    <w:rsid w:val="00644D22"/>
    <w:rsid w:val="00655AB7"/>
    <w:rsid w:val="00676139"/>
    <w:rsid w:val="006770E9"/>
    <w:rsid w:val="006805D3"/>
    <w:rsid w:val="00683566"/>
    <w:rsid w:val="00694D0E"/>
    <w:rsid w:val="006A6816"/>
    <w:rsid w:val="006B003A"/>
    <w:rsid w:val="006B1495"/>
    <w:rsid w:val="006B4FDE"/>
    <w:rsid w:val="006C5524"/>
    <w:rsid w:val="006D2DEE"/>
    <w:rsid w:val="006D45FD"/>
    <w:rsid w:val="006D5B7F"/>
    <w:rsid w:val="006D5F44"/>
    <w:rsid w:val="006D7983"/>
    <w:rsid w:val="006E3851"/>
    <w:rsid w:val="006E695B"/>
    <w:rsid w:val="0071096E"/>
    <w:rsid w:val="00710B25"/>
    <w:rsid w:val="0071668A"/>
    <w:rsid w:val="00720BB1"/>
    <w:rsid w:val="00723AFC"/>
    <w:rsid w:val="007254B9"/>
    <w:rsid w:val="00736082"/>
    <w:rsid w:val="00736AB8"/>
    <w:rsid w:val="00746A2B"/>
    <w:rsid w:val="00786491"/>
    <w:rsid w:val="00793331"/>
    <w:rsid w:val="00796323"/>
    <w:rsid w:val="007A7B5E"/>
    <w:rsid w:val="007B1164"/>
    <w:rsid w:val="007B2346"/>
    <w:rsid w:val="007B464B"/>
    <w:rsid w:val="007D1A13"/>
    <w:rsid w:val="007F1E3E"/>
    <w:rsid w:val="007F5C2E"/>
    <w:rsid w:val="007F7EBC"/>
    <w:rsid w:val="00800498"/>
    <w:rsid w:val="008054C4"/>
    <w:rsid w:val="008062AD"/>
    <w:rsid w:val="00807B50"/>
    <w:rsid w:val="00811DB3"/>
    <w:rsid w:val="008129DD"/>
    <w:rsid w:val="0081618A"/>
    <w:rsid w:val="00820F98"/>
    <w:rsid w:val="00824B60"/>
    <w:rsid w:val="00832AFB"/>
    <w:rsid w:val="00833ADB"/>
    <w:rsid w:val="008357A1"/>
    <w:rsid w:val="008359F0"/>
    <w:rsid w:val="0084457B"/>
    <w:rsid w:val="0085186A"/>
    <w:rsid w:val="008519DC"/>
    <w:rsid w:val="00852505"/>
    <w:rsid w:val="00856929"/>
    <w:rsid w:val="008656F9"/>
    <w:rsid w:val="00871E0B"/>
    <w:rsid w:val="00875854"/>
    <w:rsid w:val="00876ABC"/>
    <w:rsid w:val="008778F9"/>
    <w:rsid w:val="00881BF4"/>
    <w:rsid w:val="00896CFE"/>
    <w:rsid w:val="00897B57"/>
    <w:rsid w:val="00897FF1"/>
    <w:rsid w:val="008B2CDF"/>
    <w:rsid w:val="008C144A"/>
    <w:rsid w:val="008C6950"/>
    <w:rsid w:val="008D0037"/>
    <w:rsid w:val="008D7880"/>
    <w:rsid w:val="008E290E"/>
    <w:rsid w:val="008F7804"/>
    <w:rsid w:val="00901D9E"/>
    <w:rsid w:val="00903049"/>
    <w:rsid w:val="00905411"/>
    <w:rsid w:val="009056E1"/>
    <w:rsid w:val="0091010F"/>
    <w:rsid w:val="00920727"/>
    <w:rsid w:val="0092479E"/>
    <w:rsid w:val="00930F74"/>
    <w:rsid w:val="00937C7A"/>
    <w:rsid w:val="00950E6C"/>
    <w:rsid w:val="00963626"/>
    <w:rsid w:val="009664D9"/>
    <w:rsid w:val="0096782E"/>
    <w:rsid w:val="0097654D"/>
    <w:rsid w:val="00981C1B"/>
    <w:rsid w:val="00982B25"/>
    <w:rsid w:val="00986A1D"/>
    <w:rsid w:val="00992FE3"/>
    <w:rsid w:val="009936CA"/>
    <w:rsid w:val="0099628F"/>
    <w:rsid w:val="009A240C"/>
    <w:rsid w:val="009A48EA"/>
    <w:rsid w:val="009B3D7D"/>
    <w:rsid w:val="009B58EE"/>
    <w:rsid w:val="009C048E"/>
    <w:rsid w:val="009C6504"/>
    <w:rsid w:val="009D269E"/>
    <w:rsid w:val="009D2C3D"/>
    <w:rsid w:val="009E332D"/>
    <w:rsid w:val="009E44AF"/>
    <w:rsid w:val="009E733F"/>
    <w:rsid w:val="009E765B"/>
    <w:rsid w:val="00A2215E"/>
    <w:rsid w:val="00A33DC5"/>
    <w:rsid w:val="00A60F29"/>
    <w:rsid w:val="00A61C3A"/>
    <w:rsid w:val="00A70369"/>
    <w:rsid w:val="00A775FE"/>
    <w:rsid w:val="00A81746"/>
    <w:rsid w:val="00A84042"/>
    <w:rsid w:val="00A92589"/>
    <w:rsid w:val="00A94470"/>
    <w:rsid w:val="00AA0083"/>
    <w:rsid w:val="00AA2057"/>
    <w:rsid w:val="00AA4B06"/>
    <w:rsid w:val="00AA6A32"/>
    <w:rsid w:val="00AB1678"/>
    <w:rsid w:val="00AB5440"/>
    <w:rsid w:val="00AD4E67"/>
    <w:rsid w:val="00AD50F6"/>
    <w:rsid w:val="00AE2B4E"/>
    <w:rsid w:val="00AE3B90"/>
    <w:rsid w:val="00AE4478"/>
    <w:rsid w:val="00AF2954"/>
    <w:rsid w:val="00B03EC3"/>
    <w:rsid w:val="00B0791D"/>
    <w:rsid w:val="00B1104C"/>
    <w:rsid w:val="00B119A1"/>
    <w:rsid w:val="00B13CA5"/>
    <w:rsid w:val="00B14F67"/>
    <w:rsid w:val="00B16415"/>
    <w:rsid w:val="00B2142B"/>
    <w:rsid w:val="00B24424"/>
    <w:rsid w:val="00B252ED"/>
    <w:rsid w:val="00B2694F"/>
    <w:rsid w:val="00B322E4"/>
    <w:rsid w:val="00B37A8B"/>
    <w:rsid w:val="00B4418B"/>
    <w:rsid w:val="00B504F2"/>
    <w:rsid w:val="00B50F24"/>
    <w:rsid w:val="00B53211"/>
    <w:rsid w:val="00B650A8"/>
    <w:rsid w:val="00B727E0"/>
    <w:rsid w:val="00B74FCE"/>
    <w:rsid w:val="00B75000"/>
    <w:rsid w:val="00B76A9E"/>
    <w:rsid w:val="00B837EF"/>
    <w:rsid w:val="00B94105"/>
    <w:rsid w:val="00BB6BD2"/>
    <w:rsid w:val="00BD310C"/>
    <w:rsid w:val="00BD6394"/>
    <w:rsid w:val="00BF0386"/>
    <w:rsid w:val="00C042E6"/>
    <w:rsid w:val="00C05BA4"/>
    <w:rsid w:val="00C1403B"/>
    <w:rsid w:val="00C23719"/>
    <w:rsid w:val="00C249D1"/>
    <w:rsid w:val="00C25F49"/>
    <w:rsid w:val="00C305B4"/>
    <w:rsid w:val="00C46DC6"/>
    <w:rsid w:val="00C50718"/>
    <w:rsid w:val="00C51466"/>
    <w:rsid w:val="00C64E72"/>
    <w:rsid w:val="00C65341"/>
    <w:rsid w:val="00C73B9A"/>
    <w:rsid w:val="00C815F6"/>
    <w:rsid w:val="00C90C7B"/>
    <w:rsid w:val="00CA0E96"/>
    <w:rsid w:val="00CA37A5"/>
    <w:rsid w:val="00CA5D71"/>
    <w:rsid w:val="00CB2024"/>
    <w:rsid w:val="00CB3084"/>
    <w:rsid w:val="00CB5DAE"/>
    <w:rsid w:val="00CD1AE1"/>
    <w:rsid w:val="00CD3691"/>
    <w:rsid w:val="00CD39A7"/>
    <w:rsid w:val="00CD57DF"/>
    <w:rsid w:val="00CD6D70"/>
    <w:rsid w:val="00CE07C4"/>
    <w:rsid w:val="00CE3D24"/>
    <w:rsid w:val="00CE426D"/>
    <w:rsid w:val="00CE49D9"/>
    <w:rsid w:val="00CE4E27"/>
    <w:rsid w:val="00D035B4"/>
    <w:rsid w:val="00D06B0B"/>
    <w:rsid w:val="00D11A61"/>
    <w:rsid w:val="00D236FC"/>
    <w:rsid w:val="00D305A9"/>
    <w:rsid w:val="00D30B17"/>
    <w:rsid w:val="00D3456D"/>
    <w:rsid w:val="00D42934"/>
    <w:rsid w:val="00D42E3F"/>
    <w:rsid w:val="00D43DD2"/>
    <w:rsid w:val="00D50455"/>
    <w:rsid w:val="00D55235"/>
    <w:rsid w:val="00D60A85"/>
    <w:rsid w:val="00D60E6A"/>
    <w:rsid w:val="00D65136"/>
    <w:rsid w:val="00D67385"/>
    <w:rsid w:val="00D67B5C"/>
    <w:rsid w:val="00D75265"/>
    <w:rsid w:val="00D817D7"/>
    <w:rsid w:val="00D81DB4"/>
    <w:rsid w:val="00D926D1"/>
    <w:rsid w:val="00D96B6B"/>
    <w:rsid w:val="00DA253D"/>
    <w:rsid w:val="00DA2757"/>
    <w:rsid w:val="00DA2EB0"/>
    <w:rsid w:val="00DB1DC9"/>
    <w:rsid w:val="00DB2D62"/>
    <w:rsid w:val="00DC71DD"/>
    <w:rsid w:val="00DD02DB"/>
    <w:rsid w:val="00DD09B2"/>
    <w:rsid w:val="00DD6749"/>
    <w:rsid w:val="00DD68BA"/>
    <w:rsid w:val="00DE0DF4"/>
    <w:rsid w:val="00DE2F83"/>
    <w:rsid w:val="00DF22DA"/>
    <w:rsid w:val="00DF7810"/>
    <w:rsid w:val="00E03DD6"/>
    <w:rsid w:val="00E10AAE"/>
    <w:rsid w:val="00E22726"/>
    <w:rsid w:val="00E27479"/>
    <w:rsid w:val="00E31E4D"/>
    <w:rsid w:val="00E444EE"/>
    <w:rsid w:val="00E5382F"/>
    <w:rsid w:val="00E543A8"/>
    <w:rsid w:val="00E54A18"/>
    <w:rsid w:val="00E55790"/>
    <w:rsid w:val="00E63750"/>
    <w:rsid w:val="00E7208B"/>
    <w:rsid w:val="00E76391"/>
    <w:rsid w:val="00E9388E"/>
    <w:rsid w:val="00E97B11"/>
    <w:rsid w:val="00EA3258"/>
    <w:rsid w:val="00EA6975"/>
    <w:rsid w:val="00EC151C"/>
    <w:rsid w:val="00EC1DFB"/>
    <w:rsid w:val="00EC3F5A"/>
    <w:rsid w:val="00EC6848"/>
    <w:rsid w:val="00ED0F7B"/>
    <w:rsid w:val="00ED7F8D"/>
    <w:rsid w:val="00EE4F0E"/>
    <w:rsid w:val="00EE765B"/>
    <w:rsid w:val="00F05A87"/>
    <w:rsid w:val="00F131A9"/>
    <w:rsid w:val="00F252ED"/>
    <w:rsid w:val="00F31572"/>
    <w:rsid w:val="00F31A6B"/>
    <w:rsid w:val="00F3422D"/>
    <w:rsid w:val="00F41786"/>
    <w:rsid w:val="00F42AC8"/>
    <w:rsid w:val="00F50B36"/>
    <w:rsid w:val="00F53B71"/>
    <w:rsid w:val="00F54A43"/>
    <w:rsid w:val="00F66228"/>
    <w:rsid w:val="00F679B2"/>
    <w:rsid w:val="00F7394F"/>
    <w:rsid w:val="00F74502"/>
    <w:rsid w:val="00F769CC"/>
    <w:rsid w:val="00F825CE"/>
    <w:rsid w:val="00F921A9"/>
    <w:rsid w:val="00F92B55"/>
    <w:rsid w:val="00F94B44"/>
    <w:rsid w:val="00F95129"/>
    <w:rsid w:val="00FB07CA"/>
    <w:rsid w:val="00FC293F"/>
    <w:rsid w:val="00FD23A1"/>
    <w:rsid w:val="00FD2659"/>
    <w:rsid w:val="00FD2A37"/>
    <w:rsid w:val="00FD6BC2"/>
    <w:rsid w:val="00FE64E4"/>
    <w:rsid w:val="00FF193C"/>
    <w:rsid w:val="00FF4DB1"/>
    <w:rsid w:val="08503451"/>
    <w:rsid w:val="09F9FD9F"/>
    <w:rsid w:val="0B50B9A4"/>
    <w:rsid w:val="0CE4186D"/>
    <w:rsid w:val="0EA844D9"/>
    <w:rsid w:val="0FEDB1C9"/>
    <w:rsid w:val="11DCEFD6"/>
    <w:rsid w:val="15F55AE4"/>
    <w:rsid w:val="1AA2CDE9"/>
    <w:rsid w:val="242E8ABF"/>
    <w:rsid w:val="2BF089F9"/>
    <w:rsid w:val="2C4AC914"/>
    <w:rsid w:val="2D5C8A89"/>
    <w:rsid w:val="36704C9E"/>
    <w:rsid w:val="3AA2C2D6"/>
    <w:rsid w:val="3ACA79F6"/>
    <w:rsid w:val="3E12E112"/>
    <w:rsid w:val="43C5087B"/>
    <w:rsid w:val="45B19709"/>
    <w:rsid w:val="482D81BB"/>
    <w:rsid w:val="4BE51DD9"/>
    <w:rsid w:val="4F06598D"/>
    <w:rsid w:val="4F7CAEEF"/>
    <w:rsid w:val="5348FBE6"/>
    <w:rsid w:val="53EA10B0"/>
    <w:rsid w:val="55B2FFF3"/>
    <w:rsid w:val="561353A0"/>
    <w:rsid w:val="5617D70A"/>
    <w:rsid w:val="5BE25691"/>
    <w:rsid w:val="5D575617"/>
    <w:rsid w:val="5EEBFA04"/>
    <w:rsid w:val="622A5711"/>
    <w:rsid w:val="64BA1502"/>
    <w:rsid w:val="6866D2F2"/>
    <w:rsid w:val="6A45440F"/>
    <w:rsid w:val="6AB78453"/>
    <w:rsid w:val="6AD59E07"/>
    <w:rsid w:val="6D037A42"/>
    <w:rsid w:val="76537DA9"/>
    <w:rsid w:val="7A81CC31"/>
    <w:rsid w:val="7AD01CE1"/>
    <w:rsid w:val="7BD024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07B8528"/>
  <w15:chartTrackingRefBased/>
  <w15:docId w15:val="{F8E603DC-9D3A-7549-985C-0FE6D2B5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5B4"/>
    <w:rPr>
      <w:rFonts w:eastAsiaTheme="majorEastAsia" w:cstheme="majorBidi"/>
      <w:color w:val="272727" w:themeColor="text1" w:themeTint="D8"/>
    </w:rPr>
  </w:style>
  <w:style w:type="paragraph" w:styleId="Title">
    <w:name w:val="Title"/>
    <w:basedOn w:val="Normal"/>
    <w:next w:val="Normal"/>
    <w:link w:val="TitleChar"/>
    <w:uiPriority w:val="10"/>
    <w:qFormat/>
    <w:rsid w:val="00D03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5B4"/>
    <w:pPr>
      <w:spacing w:before="160"/>
      <w:jc w:val="center"/>
    </w:pPr>
    <w:rPr>
      <w:i/>
      <w:iCs/>
      <w:color w:val="404040" w:themeColor="text1" w:themeTint="BF"/>
    </w:rPr>
  </w:style>
  <w:style w:type="character" w:customStyle="1" w:styleId="QuoteChar">
    <w:name w:val="Quote Char"/>
    <w:basedOn w:val="DefaultParagraphFont"/>
    <w:link w:val="Quote"/>
    <w:uiPriority w:val="29"/>
    <w:rsid w:val="00D035B4"/>
    <w:rPr>
      <w:i/>
      <w:iCs/>
      <w:color w:val="404040" w:themeColor="text1" w:themeTint="BF"/>
    </w:rPr>
  </w:style>
  <w:style w:type="paragraph" w:styleId="ListParagraph">
    <w:name w:val="List Paragraph"/>
    <w:basedOn w:val="Normal"/>
    <w:uiPriority w:val="34"/>
    <w:qFormat/>
    <w:rsid w:val="00D035B4"/>
    <w:pPr>
      <w:ind w:left="720"/>
      <w:contextualSpacing/>
    </w:pPr>
  </w:style>
  <w:style w:type="character" w:styleId="IntenseEmphasis">
    <w:name w:val="Intense Emphasis"/>
    <w:basedOn w:val="DefaultParagraphFont"/>
    <w:uiPriority w:val="21"/>
    <w:qFormat/>
    <w:rsid w:val="00D035B4"/>
    <w:rPr>
      <w:i/>
      <w:iCs/>
      <w:color w:val="0F4761" w:themeColor="accent1" w:themeShade="BF"/>
    </w:rPr>
  </w:style>
  <w:style w:type="paragraph" w:styleId="IntenseQuote">
    <w:name w:val="Intense Quote"/>
    <w:basedOn w:val="Normal"/>
    <w:next w:val="Normal"/>
    <w:link w:val="IntenseQuoteChar"/>
    <w:uiPriority w:val="30"/>
    <w:qFormat/>
    <w:rsid w:val="00D03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5B4"/>
    <w:rPr>
      <w:i/>
      <w:iCs/>
      <w:color w:val="0F4761" w:themeColor="accent1" w:themeShade="BF"/>
    </w:rPr>
  </w:style>
  <w:style w:type="character" w:styleId="IntenseReference">
    <w:name w:val="Intense Reference"/>
    <w:basedOn w:val="DefaultParagraphFont"/>
    <w:uiPriority w:val="32"/>
    <w:qFormat/>
    <w:rsid w:val="00D035B4"/>
    <w:rPr>
      <w:b/>
      <w:bCs/>
      <w:smallCaps/>
      <w:color w:val="0F4761" w:themeColor="accent1" w:themeShade="BF"/>
      <w:spacing w:val="5"/>
    </w:rPr>
  </w:style>
  <w:style w:type="paragraph" w:styleId="FootnoteText">
    <w:name w:val="footnote text"/>
    <w:basedOn w:val="Normal"/>
    <w:link w:val="FootnoteTextChar"/>
    <w:uiPriority w:val="99"/>
    <w:semiHidden/>
    <w:unhideWhenUsed/>
    <w:rsid w:val="00E03D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3DD6"/>
    <w:rPr>
      <w:sz w:val="20"/>
      <w:szCs w:val="20"/>
    </w:rPr>
  </w:style>
  <w:style w:type="character" w:styleId="FootnoteReference">
    <w:name w:val="footnote reference"/>
    <w:basedOn w:val="DefaultParagraphFont"/>
    <w:uiPriority w:val="99"/>
    <w:semiHidden/>
    <w:unhideWhenUsed/>
    <w:rsid w:val="00E03DD6"/>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C4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925"/>
  </w:style>
  <w:style w:type="paragraph" w:styleId="Footer">
    <w:name w:val="footer"/>
    <w:basedOn w:val="Normal"/>
    <w:link w:val="FooterChar"/>
    <w:uiPriority w:val="99"/>
    <w:unhideWhenUsed/>
    <w:rsid w:val="004C4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925"/>
  </w:style>
  <w:style w:type="paragraph" w:styleId="Revision">
    <w:name w:val="Revision"/>
    <w:hidden/>
    <w:uiPriority w:val="99"/>
    <w:semiHidden/>
    <w:rsid w:val="0071096E"/>
    <w:pPr>
      <w:spacing w:after="0" w:line="240" w:lineRule="auto"/>
    </w:pPr>
  </w:style>
  <w:style w:type="paragraph" w:styleId="CommentSubject">
    <w:name w:val="annotation subject"/>
    <w:basedOn w:val="CommentText"/>
    <w:next w:val="CommentText"/>
    <w:link w:val="CommentSubjectChar"/>
    <w:uiPriority w:val="99"/>
    <w:semiHidden/>
    <w:unhideWhenUsed/>
    <w:rsid w:val="000048A5"/>
    <w:rPr>
      <w:b/>
      <w:bCs/>
    </w:rPr>
  </w:style>
  <w:style w:type="character" w:customStyle="1" w:styleId="CommentSubjectChar">
    <w:name w:val="Comment Subject Char"/>
    <w:basedOn w:val="CommentTextChar"/>
    <w:link w:val="CommentSubject"/>
    <w:uiPriority w:val="99"/>
    <w:semiHidden/>
    <w:rsid w:val="000048A5"/>
    <w:rPr>
      <w:b/>
      <w:bCs/>
      <w:sz w:val="20"/>
      <w:szCs w:val="20"/>
    </w:rPr>
  </w:style>
  <w:style w:type="character" w:styleId="Hyperlink">
    <w:name w:val="Hyperlink"/>
    <w:basedOn w:val="DefaultParagraphFont"/>
    <w:uiPriority w:val="99"/>
    <w:unhideWhenUsed/>
    <w:rsid w:val="000A239E"/>
    <w:rPr>
      <w:color w:val="467886" w:themeColor="hyperlink"/>
      <w:u w:val="single"/>
    </w:rPr>
  </w:style>
  <w:style w:type="character" w:styleId="UnresolvedMention">
    <w:name w:val="Unresolved Mention"/>
    <w:basedOn w:val="DefaultParagraphFont"/>
    <w:uiPriority w:val="99"/>
    <w:semiHidden/>
    <w:unhideWhenUsed/>
    <w:rsid w:val="000A239E"/>
    <w:rPr>
      <w:color w:val="605E5C"/>
      <w:shd w:val="clear" w:color="auto" w:fill="E1DFDD"/>
    </w:rPr>
  </w:style>
  <w:style w:type="character" w:styleId="Mention">
    <w:name w:val="Mention"/>
    <w:basedOn w:val="DefaultParagraphFont"/>
    <w:uiPriority w:val="99"/>
    <w:unhideWhenUsed/>
    <w:rsid w:val="00FD23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42179">
      <w:bodyDiv w:val="1"/>
      <w:marLeft w:val="0"/>
      <w:marRight w:val="0"/>
      <w:marTop w:val="0"/>
      <w:marBottom w:val="0"/>
      <w:divBdr>
        <w:top w:val="none" w:sz="0" w:space="0" w:color="auto"/>
        <w:left w:val="none" w:sz="0" w:space="0" w:color="auto"/>
        <w:bottom w:val="none" w:sz="0" w:space="0" w:color="auto"/>
        <w:right w:val="none" w:sz="0" w:space="0" w:color="auto"/>
      </w:divBdr>
      <w:divsChild>
        <w:div w:id="339624954">
          <w:marLeft w:val="0"/>
          <w:marRight w:val="0"/>
          <w:marTop w:val="0"/>
          <w:marBottom w:val="0"/>
          <w:divBdr>
            <w:top w:val="none" w:sz="0" w:space="0" w:color="auto"/>
            <w:left w:val="none" w:sz="0" w:space="0" w:color="auto"/>
            <w:bottom w:val="none" w:sz="0" w:space="0" w:color="auto"/>
            <w:right w:val="none" w:sz="0" w:space="0" w:color="auto"/>
          </w:divBdr>
        </w:div>
        <w:div w:id="406418985">
          <w:marLeft w:val="0"/>
          <w:marRight w:val="0"/>
          <w:marTop w:val="0"/>
          <w:marBottom w:val="0"/>
          <w:divBdr>
            <w:top w:val="none" w:sz="0" w:space="0" w:color="auto"/>
            <w:left w:val="none" w:sz="0" w:space="0" w:color="auto"/>
            <w:bottom w:val="none" w:sz="0" w:space="0" w:color="auto"/>
            <w:right w:val="none" w:sz="0" w:space="0" w:color="auto"/>
          </w:divBdr>
        </w:div>
        <w:div w:id="1991664911">
          <w:marLeft w:val="0"/>
          <w:marRight w:val="0"/>
          <w:marTop w:val="0"/>
          <w:marBottom w:val="0"/>
          <w:divBdr>
            <w:top w:val="none" w:sz="0" w:space="0" w:color="auto"/>
            <w:left w:val="none" w:sz="0" w:space="0" w:color="auto"/>
            <w:bottom w:val="none" w:sz="0" w:space="0" w:color="auto"/>
            <w:right w:val="none" w:sz="0" w:space="0" w:color="auto"/>
          </w:divBdr>
        </w:div>
      </w:divsChild>
    </w:div>
    <w:div w:id="638656319">
      <w:bodyDiv w:val="1"/>
      <w:marLeft w:val="0"/>
      <w:marRight w:val="0"/>
      <w:marTop w:val="0"/>
      <w:marBottom w:val="0"/>
      <w:divBdr>
        <w:top w:val="none" w:sz="0" w:space="0" w:color="auto"/>
        <w:left w:val="none" w:sz="0" w:space="0" w:color="auto"/>
        <w:bottom w:val="none" w:sz="0" w:space="0" w:color="auto"/>
        <w:right w:val="none" w:sz="0" w:space="0" w:color="auto"/>
      </w:divBdr>
      <w:divsChild>
        <w:div w:id="127165645">
          <w:marLeft w:val="0"/>
          <w:marRight w:val="0"/>
          <w:marTop w:val="0"/>
          <w:marBottom w:val="0"/>
          <w:divBdr>
            <w:top w:val="none" w:sz="0" w:space="0" w:color="auto"/>
            <w:left w:val="none" w:sz="0" w:space="0" w:color="auto"/>
            <w:bottom w:val="none" w:sz="0" w:space="0" w:color="auto"/>
            <w:right w:val="none" w:sz="0" w:space="0" w:color="auto"/>
          </w:divBdr>
        </w:div>
        <w:div w:id="213658023">
          <w:marLeft w:val="0"/>
          <w:marRight w:val="0"/>
          <w:marTop w:val="0"/>
          <w:marBottom w:val="0"/>
          <w:divBdr>
            <w:top w:val="none" w:sz="0" w:space="0" w:color="auto"/>
            <w:left w:val="none" w:sz="0" w:space="0" w:color="auto"/>
            <w:bottom w:val="none" w:sz="0" w:space="0" w:color="auto"/>
            <w:right w:val="none" w:sz="0" w:space="0" w:color="auto"/>
          </w:divBdr>
        </w:div>
        <w:div w:id="585725305">
          <w:marLeft w:val="0"/>
          <w:marRight w:val="0"/>
          <w:marTop w:val="0"/>
          <w:marBottom w:val="0"/>
          <w:divBdr>
            <w:top w:val="none" w:sz="0" w:space="0" w:color="auto"/>
            <w:left w:val="none" w:sz="0" w:space="0" w:color="auto"/>
            <w:bottom w:val="none" w:sz="0" w:space="0" w:color="auto"/>
            <w:right w:val="none" w:sz="0" w:space="0" w:color="auto"/>
          </w:divBdr>
        </w:div>
        <w:div w:id="758795466">
          <w:marLeft w:val="0"/>
          <w:marRight w:val="0"/>
          <w:marTop w:val="0"/>
          <w:marBottom w:val="0"/>
          <w:divBdr>
            <w:top w:val="none" w:sz="0" w:space="0" w:color="auto"/>
            <w:left w:val="none" w:sz="0" w:space="0" w:color="auto"/>
            <w:bottom w:val="none" w:sz="0" w:space="0" w:color="auto"/>
            <w:right w:val="none" w:sz="0" w:space="0" w:color="auto"/>
          </w:divBdr>
        </w:div>
        <w:div w:id="1202399186">
          <w:marLeft w:val="0"/>
          <w:marRight w:val="0"/>
          <w:marTop w:val="0"/>
          <w:marBottom w:val="0"/>
          <w:divBdr>
            <w:top w:val="none" w:sz="0" w:space="0" w:color="auto"/>
            <w:left w:val="none" w:sz="0" w:space="0" w:color="auto"/>
            <w:bottom w:val="none" w:sz="0" w:space="0" w:color="auto"/>
            <w:right w:val="none" w:sz="0" w:space="0" w:color="auto"/>
          </w:divBdr>
        </w:div>
        <w:div w:id="1383601688">
          <w:marLeft w:val="0"/>
          <w:marRight w:val="0"/>
          <w:marTop w:val="0"/>
          <w:marBottom w:val="0"/>
          <w:divBdr>
            <w:top w:val="none" w:sz="0" w:space="0" w:color="auto"/>
            <w:left w:val="none" w:sz="0" w:space="0" w:color="auto"/>
            <w:bottom w:val="none" w:sz="0" w:space="0" w:color="auto"/>
            <w:right w:val="none" w:sz="0" w:space="0" w:color="auto"/>
          </w:divBdr>
        </w:div>
        <w:div w:id="2032026836">
          <w:marLeft w:val="0"/>
          <w:marRight w:val="0"/>
          <w:marTop w:val="0"/>
          <w:marBottom w:val="0"/>
          <w:divBdr>
            <w:top w:val="none" w:sz="0" w:space="0" w:color="auto"/>
            <w:left w:val="none" w:sz="0" w:space="0" w:color="auto"/>
            <w:bottom w:val="none" w:sz="0" w:space="0" w:color="auto"/>
            <w:right w:val="none" w:sz="0" w:space="0" w:color="auto"/>
          </w:divBdr>
        </w:div>
      </w:divsChild>
    </w:div>
    <w:div w:id="723675974">
      <w:bodyDiv w:val="1"/>
      <w:marLeft w:val="0"/>
      <w:marRight w:val="0"/>
      <w:marTop w:val="0"/>
      <w:marBottom w:val="0"/>
      <w:divBdr>
        <w:top w:val="none" w:sz="0" w:space="0" w:color="auto"/>
        <w:left w:val="none" w:sz="0" w:space="0" w:color="auto"/>
        <w:bottom w:val="none" w:sz="0" w:space="0" w:color="auto"/>
        <w:right w:val="none" w:sz="0" w:space="0" w:color="auto"/>
      </w:divBdr>
      <w:divsChild>
        <w:div w:id="217665119">
          <w:marLeft w:val="0"/>
          <w:marRight w:val="0"/>
          <w:marTop w:val="0"/>
          <w:marBottom w:val="0"/>
          <w:divBdr>
            <w:top w:val="none" w:sz="0" w:space="0" w:color="auto"/>
            <w:left w:val="none" w:sz="0" w:space="0" w:color="auto"/>
            <w:bottom w:val="none" w:sz="0" w:space="0" w:color="auto"/>
            <w:right w:val="none" w:sz="0" w:space="0" w:color="auto"/>
          </w:divBdr>
        </w:div>
        <w:div w:id="1666666382">
          <w:marLeft w:val="0"/>
          <w:marRight w:val="0"/>
          <w:marTop w:val="0"/>
          <w:marBottom w:val="0"/>
          <w:divBdr>
            <w:top w:val="none" w:sz="0" w:space="0" w:color="auto"/>
            <w:left w:val="none" w:sz="0" w:space="0" w:color="auto"/>
            <w:bottom w:val="none" w:sz="0" w:space="0" w:color="auto"/>
            <w:right w:val="none" w:sz="0" w:space="0" w:color="auto"/>
          </w:divBdr>
          <w:divsChild>
            <w:div w:id="74405987">
              <w:marLeft w:val="0"/>
              <w:marRight w:val="0"/>
              <w:marTop w:val="30"/>
              <w:marBottom w:val="30"/>
              <w:divBdr>
                <w:top w:val="none" w:sz="0" w:space="0" w:color="auto"/>
                <w:left w:val="none" w:sz="0" w:space="0" w:color="auto"/>
                <w:bottom w:val="none" w:sz="0" w:space="0" w:color="auto"/>
                <w:right w:val="none" w:sz="0" w:space="0" w:color="auto"/>
              </w:divBdr>
              <w:divsChild>
                <w:div w:id="300887656">
                  <w:marLeft w:val="0"/>
                  <w:marRight w:val="0"/>
                  <w:marTop w:val="0"/>
                  <w:marBottom w:val="0"/>
                  <w:divBdr>
                    <w:top w:val="none" w:sz="0" w:space="0" w:color="auto"/>
                    <w:left w:val="none" w:sz="0" w:space="0" w:color="auto"/>
                    <w:bottom w:val="none" w:sz="0" w:space="0" w:color="auto"/>
                    <w:right w:val="none" w:sz="0" w:space="0" w:color="auto"/>
                  </w:divBdr>
                  <w:divsChild>
                    <w:div w:id="60032053">
                      <w:marLeft w:val="0"/>
                      <w:marRight w:val="0"/>
                      <w:marTop w:val="0"/>
                      <w:marBottom w:val="0"/>
                      <w:divBdr>
                        <w:top w:val="none" w:sz="0" w:space="0" w:color="auto"/>
                        <w:left w:val="none" w:sz="0" w:space="0" w:color="auto"/>
                        <w:bottom w:val="none" w:sz="0" w:space="0" w:color="auto"/>
                        <w:right w:val="none" w:sz="0" w:space="0" w:color="auto"/>
                      </w:divBdr>
                    </w:div>
                    <w:div w:id="275453647">
                      <w:marLeft w:val="0"/>
                      <w:marRight w:val="0"/>
                      <w:marTop w:val="0"/>
                      <w:marBottom w:val="0"/>
                      <w:divBdr>
                        <w:top w:val="none" w:sz="0" w:space="0" w:color="auto"/>
                        <w:left w:val="none" w:sz="0" w:space="0" w:color="auto"/>
                        <w:bottom w:val="none" w:sz="0" w:space="0" w:color="auto"/>
                        <w:right w:val="none" w:sz="0" w:space="0" w:color="auto"/>
                      </w:divBdr>
                    </w:div>
                    <w:div w:id="700783421">
                      <w:marLeft w:val="0"/>
                      <w:marRight w:val="0"/>
                      <w:marTop w:val="0"/>
                      <w:marBottom w:val="0"/>
                      <w:divBdr>
                        <w:top w:val="none" w:sz="0" w:space="0" w:color="auto"/>
                        <w:left w:val="none" w:sz="0" w:space="0" w:color="auto"/>
                        <w:bottom w:val="none" w:sz="0" w:space="0" w:color="auto"/>
                        <w:right w:val="none" w:sz="0" w:space="0" w:color="auto"/>
                      </w:divBdr>
                    </w:div>
                    <w:div w:id="1957327587">
                      <w:marLeft w:val="0"/>
                      <w:marRight w:val="0"/>
                      <w:marTop w:val="0"/>
                      <w:marBottom w:val="0"/>
                      <w:divBdr>
                        <w:top w:val="none" w:sz="0" w:space="0" w:color="auto"/>
                        <w:left w:val="none" w:sz="0" w:space="0" w:color="auto"/>
                        <w:bottom w:val="none" w:sz="0" w:space="0" w:color="auto"/>
                        <w:right w:val="none" w:sz="0" w:space="0" w:color="auto"/>
                      </w:divBdr>
                    </w:div>
                  </w:divsChild>
                </w:div>
                <w:div w:id="315842146">
                  <w:marLeft w:val="0"/>
                  <w:marRight w:val="0"/>
                  <w:marTop w:val="0"/>
                  <w:marBottom w:val="0"/>
                  <w:divBdr>
                    <w:top w:val="none" w:sz="0" w:space="0" w:color="auto"/>
                    <w:left w:val="none" w:sz="0" w:space="0" w:color="auto"/>
                    <w:bottom w:val="none" w:sz="0" w:space="0" w:color="auto"/>
                    <w:right w:val="none" w:sz="0" w:space="0" w:color="auto"/>
                  </w:divBdr>
                  <w:divsChild>
                    <w:div w:id="16579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311835">
      <w:bodyDiv w:val="1"/>
      <w:marLeft w:val="0"/>
      <w:marRight w:val="0"/>
      <w:marTop w:val="0"/>
      <w:marBottom w:val="0"/>
      <w:divBdr>
        <w:top w:val="none" w:sz="0" w:space="0" w:color="auto"/>
        <w:left w:val="none" w:sz="0" w:space="0" w:color="auto"/>
        <w:bottom w:val="none" w:sz="0" w:space="0" w:color="auto"/>
        <w:right w:val="none" w:sz="0" w:space="0" w:color="auto"/>
      </w:divBdr>
      <w:divsChild>
        <w:div w:id="81342116">
          <w:marLeft w:val="0"/>
          <w:marRight w:val="0"/>
          <w:marTop w:val="0"/>
          <w:marBottom w:val="0"/>
          <w:divBdr>
            <w:top w:val="none" w:sz="0" w:space="0" w:color="auto"/>
            <w:left w:val="none" w:sz="0" w:space="0" w:color="auto"/>
            <w:bottom w:val="none" w:sz="0" w:space="0" w:color="auto"/>
            <w:right w:val="none" w:sz="0" w:space="0" w:color="auto"/>
          </w:divBdr>
        </w:div>
        <w:div w:id="301153601">
          <w:marLeft w:val="0"/>
          <w:marRight w:val="0"/>
          <w:marTop w:val="0"/>
          <w:marBottom w:val="0"/>
          <w:divBdr>
            <w:top w:val="none" w:sz="0" w:space="0" w:color="auto"/>
            <w:left w:val="none" w:sz="0" w:space="0" w:color="auto"/>
            <w:bottom w:val="none" w:sz="0" w:space="0" w:color="auto"/>
            <w:right w:val="none" w:sz="0" w:space="0" w:color="auto"/>
          </w:divBdr>
        </w:div>
        <w:div w:id="957488077">
          <w:marLeft w:val="0"/>
          <w:marRight w:val="0"/>
          <w:marTop w:val="0"/>
          <w:marBottom w:val="0"/>
          <w:divBdr>
            <w:top w:val="none" w:sz="0" w:space="0" w:color="auto"/>
            <w:left w:val="none" w:sz="0" w:space="0" w:color="auto"/>
            <w:bottom w:val="none" w:sz="0" w:space="0" w:color="auto"/>
            <w:right w:val="none" w:sz="0" w:space="0" w:color="auto"/>
          </w:divBdr>
        </w:div>
        <w:div w:id="1127511633">
          <w:marLeft w:val="0"/>
          <w:marRight w:val="0"/>
          <w:marTop w:val="0"/>
          <w:marBottom w:val="0"/>
          <w:divBdr>
            <w:top w:val="none" w:sz="0" w:space="0" w:color="auto"/>
            <w:left w:val="none" w:sz="0" w:space="0" w:color="auto"/>
            <w:bottom w:val="none" w:sz="0" w:space="0" w:color="auto"/>
            <w:right w:val="none" w:sz="0" w:space="0" w:color="auto"/>
          </w:divBdr>
        </w:div>
        <w:div w:id="1623682718">
          <w:marLeft w:val="0"/>
          <w:marRight w:val="0"/>
          <w:marTop w:val="0"/>
          <w:marBottom w:val="0"/>
          <w:divBdr>
            <w:top w:val="none" w:sz="0" w:space="0" w:color="auto"/>
            <w:left w:val="none" w:sz="0" w:space="0" w:color="auto"/>
            <w:bottom w:val="none" w:sz="0" w:space="0" w:color="auto"/>
            <w:right w:val="none" w:sz="0" w:space="0" w:color="auto"/>
          </w:divBdr>
        </w:div>
        <w:div w:id="1839535335">
          <w:marLeft w:val="0"/>
          <w:marRight w:val="0"/>
          <w:marTop w:val="0"/>
          <w:marBottom w:val="0"/>
          <w:divBdr>
            <w:top w:val="none" w:sz="0" w:space="0" w:color="auto"/>
            <w:left w:val="none" w:sz="0" w:space="0" w:color="auto"/>
            <w:bottom w:val="none" w:sz="0" w:space="0" w:color="auto"/>
            <w:right w:val="none" w:sz="0" w:space="0" w:color="auto"/>
          </w:divBdr>
        </w:div>
        <w:div w:id="1946502787">
          <w:marLeft w:val="0"/>
          <w:marRight w:val="0"/>
          <w:marTop w:val="0"/>
          <w:marBottom w:val="0"/>
          <w:divBdr>
            <w:top w:val="none" w:sz="0" w:space="0" w:color="auto"/>
            <w:left w:val="none" w:sz="0" w:space="0" w:color="auto"/>
            <w:bottom w:val="none" w:sz="0" w:space="0" w:color="auto"/>
            <w:right w:val="none" w:sz="0" w:space="0" w:color="auto"/>
          </w:divBdr>
        </w:div>
      </w:divsChild>
    </w:div>
    <w:div w:id="1062680693">
      <w:bodyDiv w:val="1"/>
      <w:marLeft w:val="0"/>
      <w:marRight w:val="0"/>
      <w:marTop w:val="0"/>
      <w:marBottom w:val="0"/>
      <w:divBdr>
        <w:top w:val="none" w:sz="0" w:space="0" w:color="auto"/>
        <w:left w:val="none" w:sz="0" w:space="0" w:color="auto"/>
        <w:bottom w:val="none" w:sz="0" w:space="0" w:color="auto"/>
        <w:right w:val="none" w:sz="0" w:space="0" w:color="auto"/>
      </w:divBdr>
      <w:divsChild>
        <w:div w:id="199250499">
          <w:marLeft w:val="0"/>
          <w:marRight w:val="0"/>
          <w:marTop w:val="0"/>
          <w:marBottom w:val="0"/>
          <w:divBdr>
            <w:top w:val="none" w:sz="0" w:space="0" w:color="auto"/>
            <w:left w:val="none" w:sz="0" w:space="0" w:color="auto"/>
            <w:bottom w:val="none" w:sz="0" w:space="0" w:color="auto"/>
            <w:right w:val="none" w:sz="0" w:space="0" w:color="auto"/>
          </w:divBdr>
        </w:div>
        <w:div w:id="666786112">
          <w:marLeft w:val="0"/>
          <w:marRight w:val="0"/>
          <w:marTop w:val="0"/>
          <w:marBottom w:val="0"/>
          <w:divBdr>
            <w:top w:val="none" w:sz="0" w:space="0" w:color="auto"/>
            <w:left w:val="none" w:sz="0" w:space="0" w:color="auto"/>
            <w:bottom w:val="none" w:sz="0" w:space="0" w:color="auto"/>
            <w:right w:val="none" w:sz="0" w:space="0" w:color="auto"/>
          </w:divBdr>
        </w:div>
        <w:div w:id="694815929">
          <w:marLeft w:val="0"/>
          <w:marRight w:val="0"/>
          <w:marTop w:val="0"/>
          <w:marBottom w:val="0"/>
          <w:divBdr>
            <w:top w:val="none" w:sz="0" w:space="0" w:color="auto"/>
            <w:left w:val="none" w:sz="0" w:space="0" w:color="auto"/>
            <w:bottom w:val="none" w:sz="0" w:space="0" w:color="auto"/>
            <w:right w:val="none" w:sz="0" w:space="0" w:color="auto"/>
          </w:divBdr>
        </w:div>
        <w:div w:id="749808621">
          <w:marLeft w:val="0"/>
          <w:marRight w:val="0"/>
          <w:marTop w:val="0"/>
          <w:marBottom w:val="0"/>
          <w:divBdr>
            <w:top w:val="none" w:sz="0" w:space="0" w:color="auto"/>
            <w:left w:val="none" w:sz="0" w:space="0" w:color="auto"/>
            <w:bottom w:val="none" w:sz="0" w:space="0" w:color="auto"/>
            <w:right w:val="none" w:sz="0" w:space="0" w:color="auto"/>
          </w:divBdr>
        </w:div>
        <w:div w:id="1772314168">
          <w:marLeft w:val="0"/>
          <w:marRight w:val="0"/>
          <w:marTop w:val="0"/>
          <w:marBottom w:val="0"/>
          <w:divBdr>
            <w:top w:val="none" w:sz="0" w:space="0" w:color="auto"/>
            <w:left w:val="none" w:sz="0" w:space="0" w:color="auto"/>
            <w:bottom w:val="none" w:sz="0" w:space="0" w:color="auto"/>
            <w:right w:val="none" w:sz="0" w:space="0" w:color="auto"/>
          </w:divBdr>
        </w:div>
      </w:divsChild>
    </w:div>
    <w:div w:id="1127238581">
      <w:bodyDiv w:val="1"/>
      <w:marLeft w:val="0"/>
      <w:marRight w:val="0"/>
      <w:marTop w:val="0"/>
      <w:marBottom w:val="0"/>
      <w:divBdr>
        <w:top w:val="none" w:sz="0" w:space="0" w:color="auto"/>
        <w:left w:val="none" w:sz="0" w:space="0" w:color="auto"/>
        <w:bottom w:val="none" w:sz="0" w:space="0" w:color="auto"/>
        <w:right w:val="none" w:sz="0" w:space="0" w:color="auto"/>
      </w:divBdr>
      <w:divsChild>
        <w:div w:id="1078281767">
          <w:marLeft w:val="0"/>
          <w:marRight w:val="0"/>
          <w:marTop w:val="0"/>
          <w:marBottom w:val="0"/>
          <w:divBdr>
            <w:top w:val="none" w:sz="0" w:space="0" w:color="auto"/>
            <w:left w:val="none" w:sz="0" w:space="0" w:color="auto"/>
            <w:bottom w:val="none" w:sz="0" w:space="0" w:color="auto"/>
            <w:right w:val="none" w:sz="0" w:space="0" w:color="auto"/>
          </w:divBdr>
          <w:divsChild>
            <w:div w:id="1956406090">
              <w:marLeft w:val="0"/>
              <w:marRight w:val="0"/>
              <w:marTop w:val="30"/>
              <w:marBottom w:val="30"/>
              <w:divBdr>
                <w:top w:val="none" w:sz="0" w:space="0" w:color="auto"/>
                <w:left w:val="none" w:sz="0" w:space="0" w:color="auto"/>
                <w:bottom w:val="none" w:sz="0" w:space="0" w:color="auto"/>
                <w:right w:val="none" w:sz="0" w:space="0" w:color="auto"/>
              </w:divBdr>
              <w:divsChild>
                <w:div w:id="419958719">
                  <w:marLeft w:val="0"/>
                  <w:marRight w:val="0"/>
                  <w:marTop w:val="0"/>
                  <w:marBottom w:val="0"/>
                  <w:divBdr>
                    <w:top w:val="none" w:sz="0" w:space="0" w:color="auto"/>
                    <w:left w:val="none" w:sz="0" w:space="0" w:color="auto"/>
                    <w:bottom w:val="none" w:sz="0" w:space="0" w:color="auto"/>
                    <w:right w:val="none" w:sz="0" w:space="0" w:color="auto"/>
                  </w:divBdr>
                  <w:divsChild>
                    <w:div w:id="246579015">
                      <w:marLeft w:val="0"/>
                      <w:marRight w:val="0"/>
                      <w:marTop w:val="0"/>
                      <w:marBottom w:val="0"/>
                      <w:divBdr>
                        <w:top w:val="none" w:sz="0" w:space="0" w:color="auto"/>
                        <w:left w:val="none" w:sz="0" w:space="0" w:color="auto"/>
                        <w:bottom w:val="none" w:sz="0" w:space="0" w:color="auto"/>
                        <w:right w:val="none" w:sz="0" w:space="0" w:color="auto"/>
                      </w:divBdr>
                    </w:div>
                    <w:div w:id="1722749767">
                      <w:marLeft w:val="0"/>
                      <w:marRight w:val="0"/>
                      <w:marTop w:val="0"/>
                      <w:marBottom w:val="0"/>
                      <w:divBdr>
                        <w:top w:val="none" w:sz="0" w:space="0" w:color="auto"/>
                        <w:left w:val="none" w:sz="0" w:space="0" w:color="auto"/>
                        <w:bottom w:val="none" w:sz="0" w:space="0" w:color="auto"/>
                        <w:right w:val="none" w:sz="0" w:space="0" w:color="auto"/>
                      </w:divBdr>
                    </w:div>
                    <w:div w:id="2025739760">
                      <w:marLeft w:val="0"/>
                      <w:marRight w:val="0"/>
                      <w:marTop w:val="0"/>
                      <w:marBottom w:val="0"/>
                      <w:divBdr>
                        <w:top w:val="none" w:sz="0" w:space="0" w:color="auto"/>
                        <w:left w:val="none" w:sz="0" w:space="0" w:color="auto"/>
                        <w:bottom w:val="none" w:sz="0" w:space="0" w:color="auto"/>
                        <w:right w:val="none" w:sz="0" w:space="0" w:color="auto"/>
                      </w:divBdr>
                    </w:div>
                    <w:div w:id="2117673109">
                      <w:marLeft w:val="0"/>
                      <w:marRight w:val="0"/>
                      <w:marTop w:val="0"/>
                      <w:marBottom w:val="0"/>
                      <w:divBdr>
                        <w:top w:val="none" w:sz="0" w:space="0" w:color="auto"/>
                        <w:left w:val="none" w:sz="0" w:space="0" w:color="auto"/>
                        <w:bottom w:val="none" w:sz="0" w:space="0" w:color="auto"/>
                        <w:right w:val="none" w:sz="0" w:space="0" w:color="auto"/>
                      </w:divBdr>
                    </w:div>
                  </w:divsChild>
                </w:div>
                <w:div w:id="579829695">
                  <w:marLeft w:val="0"/>
                  <w:marRight w:val="0"/>
                  <w:marTop w:val="0"/>
                  <w:marBottom w:val="0"/>
                  <w:divBdr>
                    <w:top w:val="none" w:sz="0" w:space="0" w:color="auto"/>
                    <w:left w:val="none" w:sz="0" w:space="0" w:color="auto"/>
                    <w:bottom w:val="none" w:sz="0" w:space="0" w:color="auto"/>
                    <w:right w:val="none" w:sz="0" w:space="0" w:color="auto"/>
                  </w:divBdr>
                  <w:divsChild>
                    <w:div w:id="593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7903">
          <w:marLeft w:val="0"/>
          <w:marRight w:val="0"/>
          <w:marTop w:val="0"/>
          <w:marBottom w:val="0"/>
          <w:divBdr>
            <w:top w:val="none" w:sz="0" w:space="0" w:color="auto"/>
            <w:left w:val="none" w:sz="0" w:space="0" w:color="auto"/>
            <w:bottom w:val="none" w:sz="0" w:space="0" w:color="auto"/>
            <w:right w:val="none" w:sz="0" w:space="0" w:color="auto"/>
          </w:divBdr>
        </w:div>
      </w:divsChild>
    </w:div>
    <w:div w:id="1171726112">
      <w:bodyDiv w:val="1"/>
      <w:marLeft w:val="0"/>
      <w:marRight w:val="0"/>
      <w:marTop w:val="0"/>
      <w:marBottom w:val="0"/>
      <w:divBdr>
        <w:top w:val="none" w:sz="0" w:space="0" w:color="auto"/>
        <w:left w:val="none" w:sz="0" w:space="0" w:color="auto"/>
        <w:bottom w:val="none" w:sz="0" w:space="0" w:color="auto"/>
        <w:right w:val="none" w:sz="0" w:space="0" w:color="auto"/>
      </w:divBdr>
      <w:divsChild>
        <w:div w:id="311103441">
          <w:marLeft w:val="0"/>
          <w:marRight w:val="0"/>
          <w:marTop w:val="0"/>
          <w:marBottom w:val="0"/>
          <w:divBdr>
            <w:top w:val="none" w:sz="0" w:space="0" w:color="auto"/>
            <w:left w:val="none" w:sz="0" w:space="0" w:color="auto"/>
            <w:bottom w:val="none" w:sz="0" w:space="0" w:color="auto"/>
            <w:right w:val="none" w:sz="0" w:space="0" w:color="auto"/>
          </w:divBdr>
        </w:div>
        <w:div w:id="488011972">
          <w:marLeft w:val="0"/>
          <w:marRight w:val="0"/>
          <w:marTop w:val="0"/>
          <w:marBottom w:val="0"/>
          <w:divBdr>
            <w:top w:val="none" w:sz="0" w:space="0" w:color="auto"/>
            <w:left w:val="none" w:sz="0" w:space="0" w:color="auto"/>
            <w:bottom w:val="none" w:sz="0" w:space="0" w:color="auto"/>
            <w:right w:val="none" w:sz="0" w:space="0" w:color="auto"/>
          </w:divBdr>
        </w:div>
        <w:div w:id="601643573">
          <w:marLeft w:val="0"/>
          <w:marRight w:val="0"/>
          <w:marTop w:val="0"/>
          <w:marBottom w:val="0"/>
          <w:divBdr>
            <w:top w:val="none" w:sz="0" w:space="0" w:color="auto"/>
            <w:left w:val="none" w:sz="0" w:space="0" w:color="auto"/>
            <w:bottom w:val="none" w:sz="0" w:space="0" w:color="auto"/>
            <w:right w:val="none" w:sz="0" w:space="0" w:color="auto"/>
          </w:divBdr>
        </w:div>
        <w:div w:id="1515417782">
          <w:marLeft w:val="0"/>
          <w:marRight w:val="0"/>
          <w:marTop w:val="0"/>
          <w:marBottom w:val="0"/>
          <w:divBdr>
            <w:top w:val="none" w:sz="0" w:space="0" w:color="auto"/>
            <w:left w:val="none" w:sz="0" w:space="0" w:color="auto"/>
            <w:bottom w:val="none" w:sz="0" w:space="0" w:color="auto"/>
            <w:right w:val="none" w:sz="0" w:space="0" w:color="auto"/>
          </w:divBdr>
        </w:div>
        <w:div w:id="2013489763">
          <w:marLeft w:val="0"/>
          <w:marRight w:val="0"/>
          <w:marTop w:val="0"/>
          <w:marBottom w:val="0"/>
          <w:divBdr>
            <w:top w:val="none" w:sz="0" w:space="0" w:color="auto"/>
            <w:left w:val="none" w:sz="0" w:space="0" w:color="auto"/>
            <w:bottom w:val="none" w:sz="0" w:space="0" w:color="auto"/>
            <w:right w:val="none" w:sz="0" w:space="0" w:color="auto"/>
          </w:divBdr>
        </w:div>
      </w:divsChild>
    </w:div>
    <w:div w:id="2038502967">
      <w:bodyDiv w:val="1"/>
      <w:marLeft w:val="0"/>
      <w:marRight w:val="0"/>
      <w:marTop w:val="0"/>
      <w:marBottom w:val="0"/>
      <w:divBdr>
        <w:top w:val="none" w:sz="0" w:space="0" w:color="auto"/>
        <w:left w:val="none" w:sz="0" w:space="0" w:color="auto"/>
        <w:bottom w:val="none" w:sz="0" w:space="0" w:color="auto"/>
        <w:right w:val="none" w:sz="0" w:space="0" w:color="auto"/>
      </w:divBdr>
      <w:divsChild>
        <w:div w:id="688987391">
          <w:marLeft w:val="0"/>
          <w:marRight w:val="0"/>
          <w:marTop w:val="0"/>
          <w:marBottom w:val="0"/>
          <w:divBdr>
            <w:top w:val="none" w:sz="0" w:space="0" w:color="auto"/>
            <w:left w:val="none" w:sz="0" w:space="0" w:color="auto"/>
            <w:bottom w:val="none" w:sz="0" w:space="0" w:color="auto"/>
            <w:right w:val="none" w:sz="0" w:space="0" w:color="auto"/>
          </w:divBdr>
        </w:div>
        <w:div w:id="1368021855">
          <w:marLeft w:val="0"/>
          <w:marRight w:val="0"/>
          <w:marTop w:val="0"/>
          <w:marBottom w:val="0"/>
          <w:divBdr>
            <w:top w:val="none" w:sz="0" w:space="0" w:color="auto"/>
            <w:left w:val="none" w:sz="0" w:space="0" w:color="auto"/>
            <w:bottom w:val="none" w:sz="0" w:space="0" w:color="auto"/>
            <w:right w:val="none" w:sz="0" w:space="0" w:color="auto"/>
          </w:divBdr>
        </w:div>
        <w:div w:id="1728337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W5QWCE3MWNWV-1111276950-161</_dlc_DocId>
    <_dlc_DocIdUrl xmlns="a2aa19ac-7254-4672-b5f3-36bb7be1aecc">
      <Url>https://rbaau.sharepoint.com/sites/py-rrpr/_layouts/15/DocIdRedir.aspx?ID=W5QWCE3MWNWV-1111276950-161</Url>
      <Description>W5QWCE3MWNWV-1111276950-161</Description>
    </_dlc_DocIdUrl>
  </documentManagement>
</p:properties>
</file>

<file path=customXml/itemProps1.xml><?xml version="1.0" encoding="utf-8"?>
<ds:datastoreItem xmlns:ds="http://schemas.openxmlformats.org/officeDocument/2006/customXml" ds:itemID="{3AE7DF2B-1A40-43D8-9E3C-319E450B5734}">
  <ds:schemaRefs>
    <ds:schemaRef ds:uri="http://schemas.openxmlformats.org/officeDocument/2006/bibliography"/>
  </ds:schemaRefs>
</ds:datastoreItem>
</file>

<file path=customXml/itemProps2.xml><?xml version="1.0" encoding="utf-8"?>
<ds:datastoreItem xmlns:ds="http://schemas.openxmlformats.org/officeDocument/2006/customXml" ds:itemID="{A51CEC95-CB18-4746-A5D1-6E9B3B3BA559}"/>
</file>

<file path=customXml/itemProps3.xml><?xml version="1.0" encoding="utf-8"?>
<ds:datastoreItem xmlns:ds="http://schemas.openxmlformats.org/officeDocument/2006/customXml" ds:itemID="{67F5CD74-08F0-47D5-89BC-CD9CDF7EA65D}"/>
</file>

<file path=customXml/itemProps4.xml><?xml version="1.0" encoding="utf-8"?>
<ds:datastoreItem xmlns:ds="http://schemas.openxmlformats.org/officeDocument/2006/customXml" ds:itemID="{0D491615-244B-45D7-9507-B86CE021823B}"/>
</file>

<file path=customXml/itemProps5.xml><?xml version="1.0" encoding="utf-8"?>
<ds:datastoreItem xmlns:ds="http://schemas.openxmlformats.org/officeDocument/2006/customXml" ds:itemID="{C1BABEF5-87A1-4786-BE43-7378B7AF6C4D}"/>
</file>

<file path=docMetadata/LabelInfo.xml><?xml version="1.0" encoding="utf-8"?>
<clbl:labelList xmlns:clbl="http://schemas.microsoft.com/office/2020/mipLabelMetadata">
  <clbl:label id="{bff60613-a741-4790-ba46-c6813ca61c58}" enabled="1" method="Privileged" siteId="{568a5434-7d3f-4714-b824-fe722e2748c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1819</Words>
  <Characters>10374</Characters>
  <Application>Microsoft Office Word</Application>
  <DocSecurity>0</DocSecurity>
  <Lines>86</Lines>
  <Paragraphs>24</Paragraphs>
  <ScaleCrop>false</ScaleCrop>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Moore</dc:creator>
  <cp:keywords/>
  <dc:description/>
  <cp:lastModifiedBy>Emma Fitzgerald</cp:lastModifiedBy>
  <cp:revision>135</cp:revision>
  <dcterms:created xsi:type="dcterms:W3CDTF">2026-08-06T14:24:00Z</dcterms:created>
  <dcterms:modified xsi:type="dcterms:W3CDTF">2026-08-07T05:58:00Z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f60613-a741-4790-ba46-c6813ca61c58_Enabled">
    <vt:lpwstr>true</vt:lpwstr>
  </property>
  <property fmtid="{D5CDD505-2E9C-101B-9397-08002B2CF9AE}" pid="3" name="MSIP_Label_bff60613-a741-4790-ba46-c6813ca61c58_SetDate">
    <vt:lpwstr>2025-07-30T23:15:45Z</vt:lpwstr>
  </property>
  <property fmtid="{D5CDD505-2E9C-101B-9397-08002B2CF9AE}" pid="4" name="MSIP_Label_bff60613-a741-4790-ba46-c6813ca61c58_Method">
    <vt:lpwstr>Privileged</vt:lpwstr>
  </property>
  <property fmtid="{D5CDD505-2E9C-101B-9397-08002B2CF9AE}" pid="5" name="MSIP_Label_bff60613-a741-4790-ba46-c6813ca61c58_Name">
    <vt:lpwstr>Confidential</vt:lpwstr>
  </property>
  <property fmtid="{D5CDD505-2E9C-101B-9397-08002B2CF9AE}" pid="6" name="MSIP_Label_bff60613-a741-4790-ba46-c6813ca61c58_SiteId">
    <vt:lpwstr>568a5434-7d3f-4714-b824-fe722e2748c0</vt:lpwstr>
  </property>
  <property fmtid="{D5CDD505-2E9C-101B-9397-08002B2CF9AE}" pid="7" name="MSIP_Label_bff60613-a741-4790-ba46-c6813ca61c58_ActionId">
    <vt:lpwstr>bea65f82-5810-42f1-ad65-a6417fc352fa</vt:lpwstr>
  </property>
  <property fmtid="{D5CDD505-2E9C-101B-9397-08002B2CF9AE}" pid="8" name="MSIP_Label_bff60613-a741-4790-ba46-c6813ca61c58_ContentBits">
    <vt:lpwstr>0</vt:lpwstr>
  </property>
  <property fmtid="{D5CDD505-2E9C-101B-9397-08002B2CF9AE}" pid="9" name="MSIP_Label_bff60613-a741-4790-ba46-c6813ca61c58_Tag">
    <vt:lpwstr>50, 0, 1, 1</vt:lpwstr>
  </property>
  <property fmtid="{D5CDD505-2E9C-101B-9397-08002B2CF9AE}" pid="10" name="_AdHocReviewCycleID">
    <vt:i4>-160390080</vt:i4>
  </property>
  <property fmtid="{D5CDD505-2E9C-101B-9397-08002B2CF9AE}" pid="11" name="_NewReviewCycle">
    <vt:lpwstr/>
  </property>
  <property fmtid="{D5CDD505-2E9C-101B-9397-08002B2CF9AE}" pid="12" name="_EmailSubject">
    <vt:lpwstr>Macquarie Bank’s submission to the RBA Review of Payments System Regulation consultation</vt:lpwstr>
  </property>
  <property fmtid="{D5CDD505-2E9C-101B-9397-08002B2CF9AE}" pid="13" name="_AuthorEmail">
    <vt:lpwstr>bfscomplianceregulat@macquarie.com</vt:lpwstr>
  </property>
  <property fmtid="{D5CDD505-2E9C-101B-9397-08002B2CF9AE}" pid="14" name="_AuthorEmailDisplayName">
    <vt:lpwstr>BFS Compliance Regulator Interactions</vt:lpwstr>
  </property>
  <property fmtid="{D5CDD505-2E9C-101B-9397-08002B2CF9AE}" pid="15" name="ContentTypeId">
    <vt:lpwstr>0x010100C6474D5961133C4EAB4E06A228DFEE58</vt:lpwstr>
  </property>
  <property fmtid="{D5CDD505-2E9C-101B-9397-08002B2CF9AE}" pid="16" name="_dlc_DocIdItemGuid">
    <vt:lpwstr>4b0b5635-22d6-49f2-88ee-38fe61eafc9e</vt:lpwstr>
  </property>
</Properties>
</file>