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5F3EC"/>
  <w:body>
    <w:p w14:paraId="78AC0CFA" w14:textId="77777777" w:rsidR="00EC47BB" w:rsidRDefault="00CA0E35">
      <w:pPr>
        <w:pBdr>
          <w:bottom w:val="single" w:sz="6" w:space="6" w:color="9FB0C7"/>
        </w:pBdr>
        <w:spacing w:after="0" w:line="300" w:lineRule="auto"/>
        <w:jc w:val="right"/>
        <w:rPr>
          <w:sz w:val="19"/>
        </w:rPr>
      </w:pPr>
      <w:r>
        <w:rPr>
          <w:sz w:val="19"/>
        </w:rPr>
        <w:t>Respondent:</w:t>
      </w:r>
      <w:r>
        <w:rPr>
          <w:sz w:val="19"/>
        </w:rPr>
        <w:br/>
      </w:r>
      <w:hyperlink r:id="rId7">
        <w:r w:rsidR="00EC47BB">
          <w:rPr>
            <w:rFonts w:ascii="Georgia" w:eastAsia="Georgia" w:hAnsi="Georgia" w:cs="Georgia"/>
            <w:b/>
            <w:sz w:val="32"/>
            <w:szCs w:val="32"/>
          </w:rPr>
          <w:t>King Yew Choo</w:t>
        </w:r>
      </w:hyperlink>
    </w:p>
    <w:p w14:paraId="7B7AD7E4" w14:textId="77777777" w:rsidR="00434F21" w:rsidRPr="00F302D9" w:rsidRDefault="008C0F1C">
      <w:pPr>
        <w:rPr>
          <w:rFonts w:ascii="Arial" w:eastAsia="Arial" w:hAnsi="Arial" w:cs="Arial"/>
          <w:b w:val="0"/>
          <w:color w:val="1F1F1C"/>
          <w:sz w:val="20"/>
          <w:szCs w:val="21"/>
        </w:rPr>
      </w:pPr>
      <w:r>
        <w:rPr>
          <w:sz w:val="18"/>
          <w:szCs w:val="18"/>
        </w:rPr>
        <w:br/>
      </w:r>
    </w:p>
    <w:p w14:paraId="32B93672" w14:textId="77777777" w:rsidR="004E73C0" w:rsidRPr="00F302D9" w:rsidRDefault="00CA0E35">
      <w:pPr>
        <w:spacing w:after="20" w:line="260" w:lineRule="auto"/>
        <w:rPr>
          <w:sz w:val="19"/>
          <w:szCs w:val="19"/>
        </w:rPr>
      </w:pPr>
      <w:r w:rsidRPr="00F302D9">
        <w:rPr>
          <w:sz w:val="19"/>
          <w:szCs w:val="19"/>
        </w:rPr>
        <w:t>Head of Payments Policy Department</w:t>
      </w:r>
    </w:p>
    <w:p w14:paraId="066A8D8E" w14:textId="77777777" w:rsidR="004E73C0" w:rsidRPr="00F302D9" w:rsidRDefault="00CA0E35">
      <w:pPr>
        <w:spacing w:after="20" w:line="260" w:lineRule="auto"/>
        <w:rPr>
          <w:sz w:val="19"/>
          <w:szCs w:val="19"/>
        </w:rPr>
      </w:pPr>
      <w:r w:rsidRPr="00F302D9">
        <w:rPr>
          <w:sz w:val="19"/>
          <w:szCs w:val="19"/>
        </w:rPr>
        <w:t>Reserve Bank of Australia</w:t>
      </w:r>
    </w:p>
    <w:p w14:paraId="40C547C5" w14:textId="77777777" w:rsidR="004E73C0" w:rsidRPr="00F302D9" w:rsidRDefault="00CA0E35">
      <w:pPr>
        <w:spacing w:after="20" w:line="260" w:lineRule="auto"/>
        <w:rPr>
          <w:sz w:val="19"/>
          <w:szCs w:val="19"/>
        </w:rPr>
      </w:pPr>
      <w:r w:rsidRPr="00F302D9">
        <w:rPr>
          <w:sz w:val="19"/>
          <w:szCs w:val="19"/>
        </w:rPr>
        <w:t>GPO Box 3947</w:t>
      </w:r>
    </w:p>
    <w:p w14:paraId="6B5F1978" w14:textId="77777777" w:rsidR="004E73C0" w:rsidRPr="00F302D9" w:rsidRDefault="00CA0E35">
      <w:pPr>
        <w:spacing w:after="20" w:line="260" w:lineRule="auto"/>
        <w:rPr>
          <w:sz w:val="19"/>
          <w:szCs w:val="19"/>
        </w:rPr>
      </w:pPr>
      <w:r w:rsidRPr="00F302D9">
        <w:rPr>
          <w:sz w:val="19"/>
          <w:szCs w:val="19"/>
        </w:rPr>
        <w:t>Sydney NSW 2001</w:t>
      </w:r>
    </w:p>
    <w:p w14:paraId="3A6106AE" w14:textId="77777777" w:rsidR="006134B9" w:rsidRPr="00F302D9" w:rsidRDefault="006134B9">
      <w:pPr>
        <w:spacing w:after="20" w:line="260" w:lineRule="auto"/>
        <w:rPr>
          <w:sz w:val="19"/>
          <w:szCs w:val="19"/>
        </w:rPr>
      </w:pPr>
      <w:r w:rsidRPr="00F302D9">
        <w:rPr>
          <w:sz w:val="19"/>
          <w:szCs w:val="19"/>
        </w:rPr>
        <w:t>Australia</w:t>
      </w:r>
    </w:p>
    <w:p w14:paraId="374A253E" w14:textId="77777777" w:rsidR="004D50B9" w:rsidRPr="00F302D9" w:rsidRDefault="004D50B9">
      <w:pPr>
        <w:spacing w:after="20" w:line="260" w:lineRule="auto"/>
        <w:rPr>
          <w:sz w:val="19"/>
          <w:szCs w:val="19"/>
        </w:rPr>
      </w:pPr>
    </w:p>
    <w:p w14:paraId="328381CF" w14:textId="77777777" w:rsidR="008C0F1C" w:rsidRPr="00F302D9" w:rsidRDefault="00CA0E35">
      <w:pPr>
        <w:spacing w:line="260" w:lineRule="auto"/>
        <w:rPr>
          <w:sz w:val="19"/>
          <w:szCs w:val="19"/>
        </w:rPr>
      </w:pPr>
      <w:r w:rsidRPr="00F302D9">
        <w:rPr>
          <w:sz w:val="19"/>
          <w:szCs w:val="19"/>
        </w:rPr>
        <w:t xml:space="preserve">via email: </w:t>
      </w:r>
      <w:hyperlink r:id="rId8" w:history="1">
        <w:r w:rsidR="0013590C" w:rsidRPr="00F302D9">
          <w:rPr>
            <w:sz w:val="19"/>
            <w:szCs w:val="19"/>
          </w:rPr>
          <w:t>pysubmissions@rba.gov.au</w:t>
        </w:r>
      </w:hyperlink>
    </w:p>
    <w:p w14:paraId="7A17A435" w14:textId="77777777" w:rsidR="008C0F1C" w:rsidRPr="00F302D9" w:rsidRDefault="008C0F1C">
      <w:pPr>
        <w:spacing w:line="260" w:lineRule="auto"/>
        <w:rPr>
          <w:sz w:val="20"/>
          <w:szCs w:val="21"/>
        </w:rPr>
      </w:pPr>
    </w:p>
    <w:p w14:paraId="7803866D" w14:textId="77777777" w:rsidR="00434F21" w:rsidRPr="00F302D9" w:rsidRDefault="0013590C" w:rsidP="00434F21">
      <w:pPr>
        <w:spacing w:line="260" w:lineRule="auto"/>
        <w:rPr>
          <w:b/>
          <w:bCs/>
          <w:sz w:val="20"/>
        </w:rPr>
      </w:pPr>
      <w:r w:rsidRPr="00F302D9">
        <w:rPr>
          <w:b/>
          <w:bCs/>
        </w:rPr>
        <w:t>6 August 2026</w:t>
      </w:r>
      <w:r w:rsidR="00434F21" w:rsidRPr="00F302D9">
        <w:rPr>
          <w:b/>
          <w:bCs/>
          <w:sz w:val="20"/>
        </w:rPr>
        <w:br/>
      </w:r>
    </w:p>
    <w:p w14:paraId="3A49097F" w14:textId="77777777" w:rsidR="006134B9" w:rsidRPr="008C0F1C" w:rsidRDefault="0013590C" w:rsidP="0013590C">
      <w:pPr>
        <w:pStyle w:val="SubmissionTitle"/>
        <w:rPr>
          <w:sz w:val="18"/>
          <w:szCs w:val="18"/>
        </w:rPr>
      </w:pPr>
      <w:r w:rsidRPr="008C0F1C">
        <w:rPr>
          <w:color w:val="1F1F1C"/>
          <w:sz w:val="28"/>
          <w:szCs w:val="20"/>
        </w:rPr>
        <w:t xml:space="preserve">Re: </w:t>
      </w:r>
      <w:r w:rsidR="006134B9" w:rsidRPr="008C0F1C">
        <w:rPr>
          <w:color w:val="1F1F1C"/>
          <w:sz w:val="28"/>
          <w:szCs w:val="20"/>
        </w:rPr>
        <w:t>Review of Payments System Regulation</w:t>
      </w:r>
    </w:p>
    <w:p w14:paraId="1EFE1765" w14:textId="77777777" w:rsidR="006134B9" w:rsidRDefault="006134B9">
      <w:pPr>
        <w:spacing w:after="240"/>
      </w:pPr>
      <w:r>
        <w:t>To the Head of Payments Policy Department at the Reserve Bank of Australia</w:t>
      </w:r>
    </w:p>
    <w:p w14:paraId="14D43165" w14:textId="77777777" w:rsidR="0013590C" w:rsidRDefault="006134B9">
      <w:pPr>
        <w:spacing w:after="240"/>
      </w:pPr>
      <w:r>
        <w:t>I submit this response to Questions 6 and 19 of the June 2026 Issues Paper.</w:t>
      </w:r>
    </w:p>
    <w:p w14:paraId="2B77AFE8" w14:textId="77777777" w:rsidR="008C0F1C" w:rsidRDefault="008C0F1C">
      <w:pPr>
        <w:spacing w:after="240"/>
      </w:pPr>
      <w:r>
        <w:t xml:space="preserve">In short, I write to recommend that the RBA state, in technology-neutral terms, the properties an authorisation layer must satisfy before a software agent moves money, on the model of the Bank’s tokenisation expectations. The two principal controls, the parameterised payment agreement and the idempotency key, already operate in PayTo and in provider practice; the response asks the Bank to name the properties, not any design or protocol. </w:t>
      </w:r>
    </w:p>
    <w:p w14:paraId="29A4244F" w14:textId="48E340E3" w:rsidR="004E73C0" w:rsidRDefault="00CA0E35">
      <w:pPr>
        <w:spacing w:after="240"/>
      </w:pPr>
      <w:r>
        <w:t xml:space="preserve">I write in a personal capacity as the author of a working paper on this architecture. I am also the founder of True Primary; that interest is declared at paragraphs 1 and 14, and the arguments stand without the paper or the firm. This submission is non-confidential and is provided for publication in full. Contact details are in the covering email, </w:t>
      </w:r>
      <w:r w:rsidRPr="00C12CF5">
        <w:rPr>
          <w:color w:val="auto"/>
        </w:rPr>
        <w:t xml:space="preserve">and at </w:t>
      </w:r>
      <w:hyperlink r:id="rId9">
        <w:r w:rsidR="004E73C0" w:rsidRPr="00C12CF5">
          <w:rPr>
            <w:color w:val="auto"/>
            <w:szCs w:val="21"/>
          </w:rPr>
          <w:t>kingyewchoo.co.uk</w:t>
        </w:r>
      </w:hyperlink>
      <w:r w:rsidRPr="00C12CF5">
        <w:rPr>
          <w:color w:val="auto"/>
        </w:rPr>
        <w:t>.</w:t>
      </w:r>
    </w:p>
    <w:p w14:paraId="1911BA0D" w14:textId="77777777" w:rsidR="004E73C0" w:rsidRDefault="004E73C0">
      <w:pPr>
        <w:spacing w:after="160" w:line="100" w:lineRule="auto"/>
        <w:rPr>
          <w:sz w:val="8"/>
        </w:rPr>
      </w:pPr>
    </w:p>
    <w:p>
      <w:pPr>
        <w:pStyle w:val="Heading1"/>
        <w:pageBreakBefore/>
        <w:spacing w:line="276" w:lineRule="auto"/>
        <w:rPr>
          <w:color w:val="1F1F1C"/>
          <w:sz w:val="32"/>
        </w:rPr>
      </w:pPr>
      <w:bookmarkStart w:id="100" w:name="Question6_AI_agents_in_ecommerce"/>
      <w:r>
        <w:rPr>
          <w:color w:val="1F1F1C"/>
          <w:sz w:val="32"/>
        </w:rPr>
        <w:t>The use of AI agents for payments in e-commerce</w:t>
      </w:r>
      <w:bookmarkEnd w:id="100"/>
    </w:p>
    <w:tbl>
      <w:tblPr>
        <w:tblW w:w="0" w:type="auto"/>
        <w:tblBorders>
          <w:top w:val="single" w:sz="4" w:space="0" w:color="9FB0C7"/>
          <w:left w:val="single" w:sz="4" w:space="0" w:color="9FB0C7"/>
          <w:bottom w:val="single" w:sz="4" w:space="0" w:color="9FB0C7"/>
          <w:right w:val="single" w:sz="4" w:space="0" w:color="9FB0C7"/>
        </w:tblBorders>
        <w:tblLook w:val="04A0" w:firstRow="1" w:lastRow="0" w:firstColumn="1" w:lastColumn="0" w:noHBand="0" w:noVBand="1"/>
      </w:tblPr>
      <w:tblGrid>
        <w:gridCol w:w="9016"/>
      </w:tblGrid>
      <w:tr w:rsidR="004E73C0" w14:paraId="5D1405E8" w14:textId="77777777">
        <w:tc>
          <w:tcPr>
            <w:tcW w:w="9072" w:type="dxa"/>
            <w:shd w:val="clear" w:color="auto" w:fill="ECE9DF"/>
            <w:tcMar>
              <w:top w:w="120" w:type="dxa"/>
              <w:left w:w="160" w:type="dxa"/>
              <w:bottom w:w="120" w:type="dxa"/>
              <w:right w:w="160" w:type="dxa"/>
            </w:tcMar>
          </w:tcPr>
          <w:p w14:paraId="2955D689" w14:textId="77777777" w:rsidR="004E73C0" w:rsidRPr="00434F21" w:rsidRDefault="00CA0E35">
            <w:pPr>
              <w:spacing w:after="0" w:line="300" w:lineRule="auto"/>
              <w:rPr>
                <w:i/>
                <w:color w:val="3A3A36"/>
                <w:sz w:val="26"/>
                <w:szCs w:val="26"/>
              </w:rPr>
            </w:pPr>
            <w:r w:rsidRPr="00197E19">
              <w:rPr>
                <w:b/>
                <w:bCs/>
                <w:i/>
                <w:color w:val="3A3A36"/>
                <w:sz w:val="26"/>
                <w:szCs w:val="26"/>
              </w:rPr>
              <w:t>Q6:</w:t>
            </w:r>
            <w:r w:rsidRPr="00197E19">
              <w:rPr>
                <w:i/>
                <w:color w:val="3A3A36"/>
                <w:sz w:val="26"/>
                <w:szCs w:val="26"/>
              </w:rPr>
              <w:t xml:space="preserve"> Are there competition, efficiency and/or financial safety issues relating to the use of AI agents for payments in e-commerce? If so, are there any regulatory actions that the RBA should consider?</w:t>
            </w:r>
          </w:p>
        </w:tc>
      </w:tr>
    </w:tbl>
    <w:p w14:paraId="643381B3" w14:textId="77777777" w:rsidR="004E73C0" w:rsidRDefault="004E73C0">
      <w:pPr>
        <w:spacing w:after="60" w:line="100" w:lineRule="auto"/>
        <w:rPr>
          <w:sz w:val="8"/>
        </w:rPr>
      </w:pPr>
    </w:p>
    <w:p w14:paraId="2703A9DD" w14:textId="77777777" w:rsidR="006134B9" w:rsidRDefault="006134B9">
      <w:pPr>
        <w:spacing w:after="60" w:line="100" w:lineRule="auto"/>
        <w:rPr>
          <w:sz w:val="8"/>
        </w:rPr>
      </w:pPr>
    </w:p>
    <w:p w14:paraId="52984419" w14:textId="77777777" w:rsidR="006134B9" w:rsidRDefault="006134B9">
      <w:pPr>
        <w:spacing w:after="60" w:line="100" w:lineRule="auto"/>
        <w:rPr>
          <w:sz w:val="8"/>
        </w:rPr>
      </w:pPr>
    </w:p>
    <w:p w14:paraId="3679517E" w14:textId="77777777" w:rsidR="004E73C0" w:rsidRDefault="00CA0E35">
      <w:pPr>
        <w:tabs>
          <w:tab w:val="left" w:pos="680"/>
        </w:tabs>
        <w:ind w:left="680" w:hanging="680"/>
      </w:pPr>
      <w:r>
        <w:rPr>
          <w:b/>
          <w:color w:val="2C4A6E"/>
        </w:rPr>
        <w:t>1.</w:t>
      </w:r>
      <w:r>
        <w:rPr>
          <w:b/>
          <w:color w:val="2C4A6E"/>
        </w:rPr>
        <w:tab/>
      </w:r>
      <w:r>
        <w:t>I declare an interest at the outset. I am the founder of True Primary, which has a commercial interest in the controls discussed here. The full declaration is in the closing section of this document.</w:t>
      </w:r>
    </w:p>
    <w:p w14:paraId="67382384" w14:textId="77777777" w:rsidR="004E73C0" w:rsidRDefault="00CA0E35">
      <w:pPr>
        <w:tabs>
          <w:tab w:val="left" w:pos="680"/>
        </w:tabs>
        <w:ind w:left="680" w:hanging="680"/>
      </w:pPr>
      <w:r>
        <w:rPr>
          <w:b/>
          <w:color w:val="2C4A6E"/>
        </w:rPr>
        <w:t>2.</w:t>
      </w:r>
      <w:r>
        <w:rPr>
          <w:b/>
          <w:color w:val="2C4A6E"/>
        </w:rPr>
        <w:tab/>
      </w:r>
      <w:r>
        <w:t>Yes. I comment on financial safety and efficiency through the disputes and liability issue in Section 2.4, and on competition through the merchant choice question raised there. Both arise from how AI agents operate as software, regardless of protocol or provider.</w:t>
      </w:r>
    </w:p>
    <w:p w14:paraId="6FB76980" w14:textId="77777777" w:rsidR="004E73C0" w:rsidRDefault="00CA0E35">
      <w:r>
        <w:t>The controls that address them draw on established payments practice, and the central one already operates in a narrower form inside Australia’s own account-to-account system.</w:t>
      </w:r>
    </w:p>
    <w:p w14:paraId="6A573893" w14:textId="77777777" w:rsidR="004E73C0" w:rsidRDefault="00CA0E35">
      <w:r>
        <w:t xml:space="preserve">The regulatory actions worth considering are correspondingly modest: </w:t>
      </w:r>
      <w:r>
        <w:rPr>
          <w:b/>
        </w:rPr>
        <w:t>stating early, and in technology-neutral terms, the properties an authorisation layer must satisfy before an agent moves money</w:t>
      </w:r>
      <w:r>
        <w:t>.</w:t>
      </w:r>
    </w:p>
    <w:p w14:paraId="2F2260F4" w14:textId="77777777" w:rsidR="004E73C0" w:rsidRDefault="00CA0E35">
      <w:pPr>
        <w:tabs>
          <w:tab w:val="left" w:pos="680"/>
        </w:tabs>
        <w:ind w:left="680" w:hanging="680"/>
      </w:pPr>
      <w:r>
        <w:rPr>
          <w:b/>
          <w:color w:val="2C4A6E"/>
        </w:rPr>
        <w:t>3.</w:t>
      </w:r>
      <w:r>
        <w:rPr>
          <w:b/>
          <w:color w:val="2C4A6E"/>
        </w:rPr>
        <w:tab/>
      </w:r>
      <w:r>
        <w:t>Section 2.4 identifies disputed transactions as a risk of more autonomous agent use, with the consumer’s intent to make a payment among the questions in dispute.</w:t>
      </w:r>
    </w:p>
    <w:p w14:paraId="54EE4CA7" w14:textId="77777777" w:rsidR="004E73C0" w:rsidRDefault="00CA0E35">
      <w:r>
        <w:t>That question becomes checkable when the consumer’s authority is written down as parameters carried with the authorisation and evaluated before execution. The parameters are</w:t>
      </w:r>
    </w:p>
    <w:p w14:paraId="54FF7E9B" w14:textId="77777777" w:rsidR="004E73C0" w:rsidRDefault="00CA0E35">
      <w:pPr>
        <w:numPr>
          <w:ilvl w:val="0"/>
          <w:numId w:val="1"/>
        </w:numPr>
        <w:spacing w:after="60" w:line="300" w:lineRule="auto"/>
        <w:ind w:left="737" w:hanging="227"/>
        <w:rPr>
          <w:sz w:val="20"/>
        </w:rPr>
      </w:pPr>
      <w:r>
        <w:rPr>
          <w:sz w:val="20"/>
        </w:rPr>
        <w:t>a per-transaction cap;</w:t>
      </w:r>
    </w:p>
    <w:p w14:paraId="68A8D546" w14:textId="77777777" w:rsidR="004E73C0" w:rsidRDefault="00CA0E35">
      <w:pPr>
        <w:numPr>
          <w:ilvl w:val="0"/>
          <w:numId w:val="1"/>
        </w:numPr>
        <w:spacing w:after="60" w:line="300" w:lineRule="auto"/>
        <w:ind w:left="737" w:hanging="227"/>
        <w:rPr>
          <w:sz w:val="20"/>
        </w:rPr>
      </w:pPr>
      <w:r>
        <w:rPr>
          <w:sz w:val="20"/>
        </w:rPr>
        <w:t>a cumulative cap over a defined period;</w:t>
      </w:r>
    </w:p>
    <w:p w14:paraId="300ADDE2" w14:textId="77777777" w:rsidR="004E73C0" w:rsidRDefault="00CA0E35">
      <w:pPr>
        <w:numPr>
          <w:ilvl w:val="0"/>
          <w:numId w:val="1"/>
        </w:numPr>
        <w:spacing w:after="60" w:line="300" w:lineRule="auto"/>
        <w:ind w:left="737" w:hanging="227"/>
        <w:rPr>
          <w:sz w:val="20"/>
        </w:rPr>
      </w:pPr>
      <w:r>
        <w:rPr>
          <w:sz w:val="20"/>
        </w:rPr>
        <w:t>an authorised scope of what the agent may buy, from whom and by what payment method;</w:t>
      </w:r>
    </w:p>
    <w:p w14:paraId="2BEEFFD1" w14:textId="77777777" w:rsidR="004E73C0" w:rsidRDefault="00CA0E35">
      <w:pPr>
        <w:numPr>
          <w:ilvl w:val="0"/>
          <w:numId w:val="1"/>
        </w:numPr>
        <w:spacing w:after="60" w:line="300" w:lineRule="auto"/>
        <w:ind w:left="737" w:hanging="227"/>
        <w:rPr>
          <w:sz w:val="20"/>
        </w:rPr>
      </w:pPr>
      <w:r>
        <w:rPr>
          <w:sz w:val="20"/>
        </w:rPr>
        <w:t>an expiry after which the authority lapses;</w:t>
      </w:r>
    </w:p>
    <w:p w14:paraId="0AD8D12B" w14:textId="77777777" w:rsidR="004E73C0" w:rsidRDefault="00CA0E35">
      <w:pPr>
        <w:numPr>
          <w:ilvl w:val="0"/>
          <w:numId w:val="1"/>
        </w:numPr>
        <w:spacing w:after="60" w:line="300" w:lineRule="auto"/>
        <w:ind w:left="737" w:hanging="227"/>
        <w:rPr>
          <w:sz w:val="20"/>
        </w:rPr>
      </w:pPr>
      <w:r>
        <w:rPr>
          <w:sz w:val="20"/>
        </w:rPr>
        <w:t>and the identity of the agent that holds it.</w:t>
      </w:r>
    </w:p>
    <w:p w14:paraId="3ADD02BD" w14:textId="77777777" w:rsidR="004E73C0" w:rsidRDefault="00CA0E35" w:rsidP="008C0F1C">
      <w:pPr>
        <w:spacing w:before="240"/>
      </w:pPr>
      <w:r>
        <w:t>A purchase above a recorded escalation threshold requires the consumer’s confirmation. A request outside the parameters, or arriving after the expiry, is refused before any money moves.</w:t>
      </w:r>
    </w:p>
    <w:p w14:paraId="4BBED544" w14:textId="77777777" w:rsidR="004E73C0" w:rsidRDefault="00CA0E35">
      <w:r>
        <w:t>The industry trials Section 2.4 describes keep a human in the loop, and that is the simpler case, where the consumer confirms each purchase at the point of payment. The more autonomous case the same section anticipates is where written-down authority does the work: the consumer decides the extent of the agent’s autonomy in advance, the agent operates only inside it, and a later dispute about what was authorised is evidenced by the parameters rather than by an inference from behaviour.</w:t>
      </w:r>
      <w:r w:rsidR="002814C5">
        <w:t xml:space="preserve"> </w:t>
      </w:r>
      <w:r w:rsidR="00197E19">
        <w:br/>
      </w:r>
      <w:r w:rsidR="00197E19" w:rsidRPr="00197E19">
        <w:rPr>
          <w:sz w:val="10"/>
          <w:szCs w:val="10"/>
        </w:rPr>
        <w:br/>
      </w:r>
      <w:r>
        <w:t>Valid consent, credential compromise, performance and liability stay with the law, scheme rules, contract and, where it applies, the ePayments Code.</w:t>
      </w:r>
    </w:p>
    <w:p w14:paraId="73086BEA" w14:textId="77777777" w:rsidR="004E73C0" w:rsidRDefault="00CA0E35">
      <w:pPr>
        <w:tabs>
          <w:tab w:val="left" w:pos="680"/>
        </w:tabs>
        <w:ind w:left="680" w:hanging="680"/>
      </w:pPr>
      <w:r>
        <w:rPr>
          <w:b/>
          <w:color w:val="2C4A6E"/>
        </w:rPr>
        <w:lastRenderedPageBreak/>
        <w:t>4.</w:t>
      </w:r>
      <w:r>
        <w:rPr>
          <w:b/>
          <w:color w:val="2C4A6E"/>
        </w:rPr>
        <w:tab/>
      </w:r>
      <w:r>
        <w:t>Australia already operates a narrower form of the core authorisation control. A PayTo agreement carries the payment terms the customer has authorised, such as amount, purpose and frequency; it is authorised and managed in the customer’s own online banking; payments can be initiated only in accordance with those terms; and the customer can pause, resume or cancel the agreement. Agreements of this kind support purchases at e-commerce checkout, including at Amazon.com.au since 2025.</w:t>
      </w:r>
    </w:p>
    <w:p w14:paraId="2520E486" w14:textId="77777777" w:rsidR="004E73C0" w:rsidRDefault="00CA0E35" w:rsidP="004557CC">
      <w:pPr>
        <w:spacing w:before="240"/>
      </w:pPr>
      <w:r>
        <w:t xml:space="preserve">On the New Payments Platform the agreement names the party authorised to initiate payments under it, and </w:t>
      </w:r>
      <w:r>
        <w:rPr>
          <w:b/>
        </w:rPr>
        <w:t>the rules already provide for payments to more than one payee account</w:t>
      </w:r>
      <w:r>
        <w:t xml:space="preserve"> (NPP Product Rules, version 29.0, rule N17.1(c)).</w:t>
      </w:r>
    </w:p>
    <w:p w14:paraId="79EBAD89" w14:textId="77777777" w:rsidR="004E73C0" w:rsidRDefault="00CA0E35">
      <w:r>
        <w:t>The agentic case extends that agreement: a software agent stands where the consumer would decide the purchase, inside terms the customer has authorised in the same customer-controlled channel. Who holds that role when an agent buys across merchants is the open question.</w:t>
      </w:r>
    </w:p>
    <w:p w14:paraId="616D5E33" w14:textId="77777777" w:rsidR="004E73C0" w:rsidRDefault="00CA0E35">
      <w:r>
        <w:t>Section 2.4 observes that the rules and protocols for agentic commerce are currently led by international technology companies and payment networks. PayTo gives Australia a live domestic basis for assessing those international rules and protocols.</w:t>
      </w:r>
    </w:p>
    <w:p w14:paraId="3BC3A6EA" w14:textId="77777777" w:rsidR="004E73C0" w:rsidRDefault="00CA0E35">
      <w:r>
        <w:t>It also bears on the merchant choice issue raised in the same section: customer-authorised payment parameters should constrain the agent without displacing the merchant’s choice of debit network. The method parameter authorises a class of payment, such as card or account transfer; routing within an authorised class, including least-cost routing of a debit payment, remains the merchant’s processing decision, provided the authority is expressed at the level of a method class and does not name a network.</w:t>
      </w:r>
    </w:p>
    <w:p w14:paraId="5BE7376C" w14:textId="77777777" w:rsidR="004E73C0" w:rsidRDefault="00CA0E35">
      <w:pPr>
        <w:tabs>
          <w:tab w:val="left" w:pos="680"/>
        </w:tabs>
        <w:ind w:left="680" w:hanging="680"/>
      </w:pPr>
      <w:r>
        <w:rPr>
          <w:b/>
          <w:color w:val="2C4A6E"/>
        </w:rPr>
        <w:t>5.</w:t>
      </w:r>
      <w:r>
        <w:rPr>
          <w:b/>
          <w:color w:val="2C4A6E"/>
        </w:rPr>
        <w:tab/>
      </w:r>
      <w:r>
        <w:t>A second financial safety issue is duplicate execution after a retry: one intended instruction producing two payments. Agents call payment interfaces over networks that time out and drop connections, and a client that times out cannot tell whether its call succeeded.</w:t>
      </w:r>
    </w:p>
    <w:p w14:paraId="504610F6" w14:textId="77777777" w:rsidR="004E73C0" w:rsidRDefault="00CA0E35">
      <w:r>
        <w:t>The retry that follows, whether issued by a client library or an orchestration layer, is routine. Where the retried call moves money, the retry produces a second payment for a single intended instruction unless something specifically prevents it.</w:t>
      </w:r>
    </w:p>
    <w:p w14:paraId="2B058855" w14:textId="77777777" w:rsidR="004E73C0" w:rsidRDefault="00CA0E35">
      <w:r>
        <w:t>In a fully autonomous flow the duplicate is harder to catch. Nobody is at the point of execution to notice it and reverse it. It is a well-formed, authorised-looking request, so it presents as legitimate to every check that is not looking for a repeat. Retries also recur quickly and unattended, until a limit or a monitor stops them.</w:t>
      </w:r>
    </w:p>
    <w:p w14:paraId="0E4BEBFD" w14:textId="77777777" w:rsidR="004E73C0" w:rsidRDefault="00CA0E35">
      <w:pPr>
        <w:tabs>
          <w:tab w:val="left" w:pos="680"/>
        </w:tabs>
        <w:ind w:left="680" w:hanging="680"/>
      </w:pPr>
      <w:r>
        <w:rPr>
          <w:b/>
          <w:color w:val="2C4A6E"/>
        </w:rPr>
        <w:t>6.</w:t>
      </w:r>
      <w:r>
        <w:rPr>
          <w:b/>
          <w:color w:val="2C4A6E"/>
        </w:rPr>
        <w:tab/>
      </w:r>
      <w:r>
        <w:t>The established control is a client-supplied idempotency key. The agent supplies one key per payment-initiating instruction and reuses it on every retry; the receiving system records the key with the result under a uniqueness constraint; if the same key arrives again with matching request data, the system returns the recorded result and initiates no second payment.</w:t>
      </w:r>
    </w:p>
    <w:p w14:paraId="11A90ADA" w14:textId="77777777" w:rsidR="004E73C0" w:rsidRDefault="00CA0E35">
      <w:r>
        <w:lastRenderedPageBreak/>
        <w:t>Stripe, PayPal, Adyen and Square document this control on payment-initiating requests; Square requires it on payment creation. Their semantics differ in key scope, retention and documented behaviour on reuse with different data.</w:t>
      </w:r>
    </w:p>
    <w:p w14:paraId="1D11FAAE" w14:textId="77777777" w:rsidR="004E73C0" w:rsidRDefault="00CA0E35">
      <w:r>
        <w:t xml:space="preserve">Australia’s own rules take the same approach: the NPP defines a duplicate initiation request by its shared instruction identifier (NPP Product Rules, rule N17.9). </w:t>
      </w:r>
      <w:r>
        <w:rPr>
          <w:b/>
        </w:rPr>
        <w:t>The key must bind atomically to the payment so that concurrent retries cannot both proceed</w:t>
      </w:r>
      <w:r>
        <w:t>.</w:t>
      </w:r>
    </w:p>
    <w:p w14:paraId="55CAA280" w14:textId="77777777" w:rsidR="004E73C0" w:rsidRDefault="00CA0E35">
      <w:pPr>
        <w:tabs>
          <w:tab w:val="left" w:pos="680"/>
        </w:tabs>
        <w:ind w:left="680" w:hanging="680"/>
      </w:pPr>
      <w:r>
        <w:rPr>
          <w:b/>
          <w:color w:val="2C4A6E"/>
        </w:rPr>
        <w:t>7.</w:t>
      </w:r>
      <w:r>
        <w:rPr>
          <w:b/>
          <w:color w:val="2C4A6E"/>
        </w:rPr>
        <w:tab/>
      </w:r>
      <w:r>
        <w:t xml:space="preserve">These controls do their work only if they are enforced in order: </w:t>
      </w:r>
      <w:r>
        <w:rPr>
          <w:b/>
        </w:rPr>
        <w:t>the authority and the idempotency key are validated before any irreversible financial action</w:t>
      </w:r>
      <w:r>
        <w:t>. Rails sequence authorisation, clearing and settlement differently, and the validation precedes all of them.</w:t>
      </w:r>
    </w:p>
    <w:p w14:paraId="59C8F8AB" w14:textId="77777777" w:rsidR="004E73C0" w:rsidRDefault="00CA0E35">
      <w:r>
        <w:t>A single logical validation step, however distributed, confirms that the credential presented is authentic, that the request falls inside the authorised parameters, and that the authority is unexpired, unsuspended and unrevoked; the idempotency key is evaluated at the same gate, and any cumulative limit is reserved or consumed atomically in that evaluation, so two concurrent requests cannot both pass against the same remaining authority. The check fails closed on any absent, expired, suspended, revoked or unverifiable element.</w:t>
      </w:r>
    </w:p>
    <w:p w14:paraId="0DF88EBE" w14:textId="77777777" w:rsidR="004E73C0" w:rsidRDefault="00CA0E35">
      <w:r>
        <w:t>Ordering matters because a check that runs after the money has moved does not prevent the loss. It identifies a loss to be recovered, and recovery then depends on the rail’s return rules, the applicable scheme and consumer protections, and the counterparty returning the funds. Each of those routes starts from someone noticing the error.</w:t>
      </w:r>
    </w:p>
    <w:p w14:paraId="1388C19A" w14:textId="77777777" w:rsidR="004E73C0" w:rsidRDefault="00CA0E35">
      <w:pPr>
        <w:tabs>
          <w:tab w:val="left" w:pos="680"/>
        </w:tabs>
        <w:ind w:left="680" w:hanging="680"/>
      </w:pPr>
      <w:r>
        <w:rPr>
          <w:b/>
          <w:color w:val="2C4A6E"/>
        </w:rPr>
        <w:t>8.</w:t>
      </w:r>
      <w:r>
        <w:rPr>
          <w:b/>
          <w:color w:val="2C4A6E"/>
        </w:rPr>
        <w:tab/>
      </w:r>
      <w:r>
        <w:t>Suspension and revocation differ from expiry, and the difference matters in autonomous operation. Pausing an agreement suspends the authority and cancelling it revokes the authority; each depends on a separate stop instruction.</w:t>
      </w:r>
    </w:p>
    <w:p w14:paraId="0077FBBA" w14:textId="77777777" w:rsidR="004E73C0" w:rsidRDefault="00CA0E35">
      <w:r>
        <w:t>An expiry ends the authority with no instruction at all, so it does not depend on anyone noticing that something has gone wrong. When an expiry is combined with a gate that fails closed, authority lapses on its own unless the customer positively renews it.</w:t>
      </w:r>
    </w:p>
    <w:p w14:paraId="07BD93D6" w14:textId="77777777" w:rsidR="00C12CF5" w:rsidRDefault="00C12CF5">
      <w:pPr>
        <w:spacing w:line="276" w:lineRule="auto"/>
        <w:rPr>
          <w:b/>
          <w:color w:val="2C4A6E"/>
        </w:rPr>
      </w:pPr>
      <w:r>
        <w:rPr>
          <w:b/>
          <w:color w:val="2C4A6E"/>
        </w:rPr>
        <w:br w:type="page"/>
      </w:r>
    </w:p>
    <w:p w14:paraId="37B945AB" w14:textId="284C0737" w:rsidR="004E73C0" w:rsidRDefault="00CA0E35">
      <w:pPr>
        <w:tabs>
          <w:tab w:val="left" w:pos="680"/>
        </w:tabs>
        <w:ind w:left="680" w:hanging="680"/>
      </w:pPr>
      <w:r>
        <w:rPr>
          <w:b/>
          <w:color w:val="2C4A6E"/>
        </w:rPr>
        <w:lastRenderedPageBreak/>
        <w:t>9.</w:t>
      </w:r>
      <w:r>
        <w:rPr>
          <w:b/>
          <w:color w:val="2C4A6E"/>
        </w:rPr>
        <w:tab/>
      </w:r>
      <w:r>
        <w:t>Question 6 also asks what regulatory action to consider. The rules for agentic commerce are being set now, and the lead sits largely outside Australia.</w:t>
      </w:r>
    </w:p>
    <w:p w14:paraId="59B28C45" w14:textId="77777777" w:rsidR="004E73C0" w:rsidRDefault="00CA0E35">
      <w:r>
        <w:rPr>
          <w:b/>
        </w:rPr>
        <w:t>An RBA expectation framed as a property of the authorisation layer would define what must be true before money moves</w:t>
      </w:r>
      <w:r>
        <w:t>. It leaves payment providers and agent developers free to choose any implementation that satisfies it, and it holds as agent architectures change.</w:t>
      </w:r>
    </w:p>
    <w:p w14:paraId="31BC1ED1" w14:textId="77777777" w:rsidR="004E73C0" w:rsidRDefault="00CA0E35">
      <w:r>
        <w:t>Its addressees are the domestic participants, account servicers and payment providers whose systems accept agent-initiated instructions; it reaches agent developers through those parties’ terms of access. The properties are that</w:t>
      </w:r>
    </w:p>
    <w:tbl>
      <w:tblPr>
        <w:tblW w:w="0" w:type="auto"/>
        <w:tblInd w:w="454" w:type="dxa"/>
        <w:tblBorders>
          <w:insideH w:val="single" w:sz="2" w:space="0" w:color="E3E1DA"/>
        </w:tblBorders>
        <w:tblLook w:val="04A0" w:firstRow="1" w:lastRow="0" w:firstColumn="1" w:lastColumn="0" w:noHBand="0" w:noVBand="1"/>
      </w:tblPr>
      <w:tblGrid>
        <w:gridCol w:w="555"/>
        <w:gridCol w:w="8017"/>
      </w:tblGrid>
      <w:tr w:rsidR="004E73C0" w14:paraId="50659C98" w14:textId="77777777" w:rsidTr="00C12CF5">
        <w:tc>
          <w:tcPr>
            <w:tcW w:w="560" w:type="dxa"/>
            <w:tcMar>
              <w:top w:w="40" w:type="dxa"/>
              <w:left w:w="60" w:type="dxa"/>
              <w:bottom w:w="40" w:type="dxa"/>
              <w:right w:w="60" w:type="dxa"/>
            </w:tcMar>
            <w:vAlign w:val="center"/>
          </w:tcPr>
          <w:p w14:paraId="18F6F30C" w14:textId="77777777" w:rsidR="004E73C0" w:rsidRDefault="00CA0E35" w:rsidP="00C12CF5">
            <w:pPr>
              <w:spacing w:after="20" w:line="280" w:lineRule="auto"/>
              <w:rPr>
                <w:b/>
                <w:sz w:val="20"/>
              </w:rPr>
            </w:pPr>
            <w:r>
              <w:rPr>
                <w:b/>
                <w:sz w:val="20"/>
              </w:rPr>
              <w:t>(a)</w:t>
            </w:r>
          </w:p>
        </w:tc>
        <w:tc>
          <w:tcPr>
            <w:tcW w:w="8200" w:type="dxa"/>
            <w:tcMar>
              <w:top w:w="40" w:type="dxa"/>
              <w:left w:w="60" w:type="dxa"/>
              <w:bottom w:w="40" w:type="dxa"/>
              <w:right w:w="60" w:type="dxa"/>
            </w:tcMar>
            <w:vAlign w:val="center"/>
          </w:tcPr>
          <w:p w14:paraId="54D6D2E6" w14:textId="77777777" w:rsidR="004E73C0" w:rsidRDefault="00CA0E35" w:rsidP="00C12CF5">
            <w:pPr>
              <w:spacing w:after="20" w:line="280" w:lineRule="auto"/>
              <w:rPr>
                <w:sz w:val="20"/>
              </w:rPr>
            </w:pPr>
            <w:r>
              <w:rPr>
                <w:sz w:val="20"/>
              </w:rPr>
              <w:t>authority is recorded as checkable parameters and evaluated before execution;</w:t>
            </w:r>
          </w:p>
        </w:tc>
      </w:tr>
      <w:tr w:rsidR="004E73C0" w14:paraId="4E942FD1" w14:textId="77777777" w:rsidTr="00C12CF5">
        <w:tc>
          <w:tcPr>
            <w:tcW w:w="560" w:type="dxa"/>
            <w:tcMar>
              <w:top w:w="40" w:type="dxa"/>
              <w:left w:w="60" w:type="dxa"/>
              <w:bottom w:w="40" w:type="dxa"/>
              <w:right w:w="60" w:type="dxa"/>
            </w:tcMar>
            <w:vAlign w:val="center"/>
          </w:tcPr>
          <w:p w14:paraId="6535414B" w14:textId="77777777" w:rsidR="004E73C0" w:rsidRDefault="00CA0E35" w:rsidP="00C12CF5">
            <w:pPr>
              <w:spacing w:after="20" w:line="280" w:lineRule="auto"/>
              <w:rPr>
                <w:b/>
                <w:sz w:val="20"/>
              </w:rPr>
            </w:pPr>
            <w:r>
              <w:rPr>
                <w:b/>
                <w:sz w:val="20"/>
              </w:rPr>
              <w:t>(b)</w:t>
            </w:r>
          </w:p>
        </w:tc>
        <w:tc>
          <w:tcPr>
            <w:tcW w:w="8200" w:type="dxa"/>
            <w:tcMar>
              <w:top w:w="40" w:type="dxa"/>
              <w:left w:w="60" w:type="dxa"/>
              <w:bottom w:w="40" w:type="dxa"/>
              <w:right w:w="60" w:type="dxa"/>
            </w:tcMar>
            <w:vAlign w:val="center"/>
          </w:tcPr>
          <w:p w14:paraId="4716BE6D" w14:textId="77777777" w:rsidR="004E73C0" w:rsidRDefault="00CA0E35" w:rsidP="00C12CF5">
            <w:pPr>
              <w:spacing w:after="20" w:line="280" w:lineRule="auto"/>
              <w:rPr>
                <w:sz w:val="20"/>
              </w:rPr>
            </w:pPr>
            <w:r>
              <w:rPr>
                <w:sz w:val="20"/>
              </w:rPr>
              <w:t>no irreversible financial action happens before a check that fails closed;</w:t>
            </w:r>
          </w:p>
        </w:tc>
      </w:tr>
      <w:tr w:rsidR="004E73C0" w14:paraId="7CC64794" w14:textId="77777777" w:rsidTr="00C12CF5">
        <w:tc>
          <w:tcPr>
            <w:tcW w:w="560" w:type="dxa"/>
            <w:tcMar>
              <w:top w:w="40" w:type="dxa"/>
              <w:left w:w="60" w:type="dxa"/>
              <w:bottom w:w="40" w:type="dxa"/>
              <w:right w:w="60" w:type="dxa"/>
            </w:tcMar>
            <w:vAlign w:val="center"/>
          </w:tcPr>
          <w:p w14:paraId="25FB4510" w14:textId="77777777" w:rsidR="004E73C0" w:rsidRDefault="00CA0E35" w:rsidP="00C12CF5">
            <w:pPr>
              <w:spacing w:after="20" w:line="280" w:lineRule="auto"/>
              <w:rPr>
                <w:b/>
                <w:sz w:val="20"/>
              </w:rPr>
            </w:pPr>
            <w:r>
              <w:rPr>
                <w:b/>
                <w:sz w:val="20"/>
              </w:rPr>
              <w:t>(c)</w:t>
            </w:r>
          </w:p>
        </w:tc>
        <w:tc>
          <w:tcPr>
            <w:tcW w:w="8200" w:type="dxa"/>
            <w:tcMar>
              <w:top w:w="40" w:type="dxa"/>
              <w:left w:w="60" w:type="dxa"/>
              <w:bottom w:w="40" w:type="dxa"/>
              <w:right w:w="60" w:type="dxa"/>
            </w:tcMar>
            <w:vAlign w:val="center"/>
          </w:tcPr>
          <w:p w14:paraId="33952C03" w14:textId="77777777" w:rsidR="004E73C0" w:rsidRDefault="00CA0E35" w:rsidP="00C12CF5">
            <w:pPr>
              <w:spacing w:after="20" w:line="280" w:lineRule="auto"/>
              <w:rPr>
                <w:sz w:val="20"/>
              </w:rPr>
            </w:pPr>
            <w:r>
              <w:rPr>
                <w:sz w:val="20"/>
              </w:rPr>
              <w:t>the same payment instruction results in at most one payment within a declared key scope and retention period, with an idempotency key the receiving system enforces as the established mechanism;</w:t>
            </w:r>
          </w:p>
        </w:tc>
      </w:tr>
      <w:tr w:rsidR="004E73C0" w14:paraId="37D2F499" w14:textId="77777777" w:rsidTr="00C12CF5">
        <w:tc>
          <w:tcPr>
            <w:tcW w:w="560" w:type="dxa"/>
            <w:tcMar>
              <w:top w:w="40" w:type="dxa"/>
              <w:left w:w="60" w:type="dxa"/>
              <w:bottom w:w="40" w:type="dxa"/>
              <w:right w:w="60" w:type="dxa"/>
            </w:tcMar>
            <w:vAlign w:val="center"/>
          </w:tcPr>
          <w:p w14:paraId="5DB4E676" w14:textId="77777777" w:rsidR="004E73C0" w:rsidRDefault="00CA0E35" w:rsidP="00C12CF5">
            <w:pPr>
              <w:spacing w:after="20" w:line="280" w:lineRule="auto"/>
              <w:rPr>
                <w:b/>
                <w:sz w:val="20"/>
              </w:rPr>
            </w:pPr>
            <w:r>
              <w:rPr>
                <w:b/>
                <w:sz w:val="20"/>
              </w:rPr>
              <w:t>(d)</w:t>
            </w:r>
          </w:p>
        </w:tc>
        <w:tc>
          <w:tcPr>
            <w:tcW w:w="8200" w:type="dxa"/>
            <w:tcMar>
              <w:top w:w="40" w:type="dxa"/>
              <w:left w:w="60" w:type="dxa"/>
              <w:bottom w:w="40" w:type="dxa"/>
              <w:right w:w="60" w:type="dxa"/>
            </w:tcMar>
            <w:vAlign w:val="center"/>
          </w:tcPr>
          <w:p w14:paraId="7FFA13B5" w14:textId="77777777" w:rsidR="004E73C0" w:rsidRDefault="00CA0E35" w:rsidP="00C12CF5">
            <w:pPr>
              <w:spacing w:after="20" w:line="280" w:lineRule="auto"/>
              <w:rPr>
                <w:sz w:val="20"/>
              </w:rPr>
            </w:pPr>
            <w:r>
              <w:rPr>
                <w:sz w:val="20"/>
              </w:rPr>
              <w:t>an expiry operates alongside customer suspension and revocation;</w:t>
            </w:r>
          </w:p>
        </w:tc>
      </w:tr>
      <w:tr w:rsidR="004E73C0" w14:paraId="5AA204B5" w14:textId="77777777" w:rsidTr="00C12CF5">
        <w:tc>
          <w:tcPr>
            <w:tcW w:w="560" w:type="dxa"/>
            <w:tcMar>
              <w:top w:w="40" w:type="dxa"/>
              <w:left w:w="60" w:type="dxa"/>
              <w:bottom w:w="40" w:type="dxa"/>
              <w:right w:w="60" w:type="dxa"/>
            </w:tcMar>
            <w:vAlign w:val="center"/>
          </w:tcPr>
          <w:p w14:paraId="32FE765D" w14:textId="77777777" w:rsidR="004E73C0" w:rsidRDefault="00CA0E35" w:rsidP="00C12CF5">
            <w:pPr>
              <w:spacing w:after="20" w:line="280" w:lineRule="auto"/>
              <w:rPr>
                <w:b/>
                <w:sz w:val="20"/>
              </w:rPr>
            </w:pPr>
            <w:r>
              <w:rPr>
                <w:b/>
                <w:sz w:val="20"/>
              </w:rPr>
              <w:t>(e)</w:t>
            </w:r>
          </w:p>
        </w:tc>
        <w:tc>
          <w:tcPr>
            <w:tcW w:w="8200" w:type="dxa"/>
            <w:tcMar>
              <w:top w:w="40" w:type="dxa"/>
              <w:left w:w="60" w:type="dxa"/>
              <w:bottom w:w="40" w:type="dxa"/>
              <w:right w:w="60" w:type="dxa"/>
            </w:tcMar>
            <w:vAlign w:val="center"/>
          </w:tcPr>
          <w:p w14:paraId="670F8D06" w14:textId="77777777" w:rsidR="004E73C0" w:rsidRDefault="00CA0E35" w:rsidP="00C12CF5">
            <w:pPr>
              <w:spacing w:after="20" w:line="280" w:lineRule="auto"/>
              <w:rPr>
                <w:sz w:val="20"/>
              </w:rPr>
            </w:pPr>
            <w:r>
              <w:rPr>
                <w:sz w:val="20"/>
              </w:rPr>
              <w:t>the transaction carries a record binding the authority, the payment and the merchant order, so a dispute is argued from the record rather than from recollection.</w:t>
            </w:r>
          </w:p>
        </w:tc>
      </w:tr>
    </w:tbl>
    <w:p w14:paraId="149B7251" w14:textId="77777777" w:rsidR="00434F21" w:rsidRDefault="00434F21">
      <w:pPr>
        <w:spacing w:after="60" w:line="300" w:lineRule="auto"/>
        <w:rPr>
          <w:sz w:val="20"/>
        </w:rPr>
      </w:pPr>
    </w:p>
    <w:p w14:paraId="2A7D49BF" w14:textId="77777777" w:rsidR="004E73C0" w:rsidRDefault="00CA0E35">
      <w:pPr>
        <w:spacing w:after="60" w:line="300" w:lineRule="auto"/>
        <w:rPr>
          <w:sz w:val="20"/>
        </w:rPr>
      </w:pPr>
      <w:r>
        <w:rPr>
          <w:sz w:val="20"/>
        </w:rPr>
        <w:t>These controls carry costs: an expiry adds renewal friction, a gate that fails closed can refuse legitimate requests, and the records must observe data minimisation; stating outcomes rather than designs leaves implementers to weigh those costs.</w:t>
      </w:r>
    </w:p>
    <w:p w14:paraId="246D758B" w14:textId="77777777" w:rsidR="00C12CF5" w:rsidRDefault="00C12CF5">
      <w:pPr>
        <w:spacing w:line="276" w:lineRule="auto"/>
        <w:rPr>
          <w:rFonts w:ascii="Georgia" w:eastAsia="Georgia" w:hAnsi="Georgia" w:cs="Georgia"/>
          <w:b/>
          <w:bCs/>
          <w:sz w:val="32"/>
          <w:szCs w:val="28"/>
        </w:rPr>
      </w:pPr>
      <w:r>
        <w:rPr>
          <w:sz w:val="32"/>
        </w:rPr>
        <w:br w:type="page"/>
      </w:r>
    </w:p>
    <w:p w14:paraId="2382E055" w14:textId="62745854" w:rsidR="004E73C0" w:rsidRDefault="006134B9">
      <w:pPr>
        <w:pStyle w:val="Heading1"/>
      </w:pPr>
      <w:bookmarkStart w:id="101" w:name="Question19_other_issues"/>
      <w:r>
        <w:rPr>
          <w:color w:val="1F1F1C"/>
          <w:sz w:val="32"/>
        </w:rPr>
        <w:lastRenderedPageBreak/>
        <w:t>Related issues and prioritisation considerations</w:t>
      </w:r>
      <w:bookmarkEnd w:id="101"/>
    </w:p>
    <w:tbl>
      <w:tblPr>
        <w:tblW w:w="0" w:type="auto"/>
        <w:tblBorders>
          <w:top w:val="single" w:sz="4" w:space="0" w:color="9FB0C7"/>
          <w:left w:val="single" w:sz="4" w:space="0" w:color="9FB0C7"/>
          <w:bottom w:val="single" w:sz="4" w:space="0" w:color="9FB0C7"/>
          <w:right w:val="single" w:sz="4" w:space="0" w:color="9FB0C7"/>
        </w:tblBorders>
        <w:tblLook w:val="04A0" w:firstRow="1" w:lastRow="0" w:firstColumn="1" w:lastColumn="0" w:noHBand="0" w:noVBand="1"/>
      </w:tblPr>
      <w:tblGrid>
        <w:gridCol w:w="9016"/>
      </w:tblGrid>
      <w:tr w:rsidR="004E73C0" w14:paraId="5CE5F009" w14:textId="77777777">
        <w:tc>
          <w:tcPr>
            <w:tcW w:w="9072" w:type="dxa"/>
            <w:shd w:val="clear" w:color="auto" w:fill="ECE9DF"/>
            <w:tcMar>
              <w:top w:w="120" w:type="dxa"/>
              <w:left w:w="160" w:type="dxa"/>
              <w:bottom w:w="120" w:type="dxa"/>
              <w:right w:w="160" w:type="dxa"/>
            </w:tcMar>
          </w:tcPr>
          <w:p w14:paraId="6EE4DC57" w14:textId="77777777" w:rsidR="004E73C0" w:rsidRPr="00434F21" w:rsidRDefault="00CA0E35">
            <w:pPr>
              <w:spacing w:after="0" w:line="300" w:lineRule="auto"/>
              <w:rPr>
                <w:i/>
                <w:color w:val="3A3A36"/>
                <w:sz w:val="26"/>
                <w:szCs w:val="26"/>
              </w:rPr>
            </w:pPr>
            <w:r w:rsidRPr="00434F21">
              <w:rPr>
                <w:b/>
                <w:bCs/>
                <w:i/>
                <w:color w:val="3A3A36"/>
                <w:sz w:val="26"/>
                <w:szCs w:val="26"/>
              </w:rPr>
              <w:t>Q19</w:t>
            </w:r>
            <w:r w:rsidRPr="00434F21">
              <w:rPr>
                <w:i/>
                <w:color w:val="3A3A36"/>
                <w:sz w:val="26"/>
                <w:szCs w:val="26"/>
              </w:rPr>
              <w:t>: Are there any other issues relating to payments that the RBA should consider prioritising to promote competition, efficiency and financial safety in the payments system? Are there regulatory options outside of the RBA’s formal powers under the PSRA to address the issues outlined in this paper? Are there issues in the broader payments system that have implications for the design and implementation of the RBA’s payments system regulation?</w:t>
            </w:r>
          </w:p>
        </w:tc>
      </w:tr>
    </w:tbl>
    <w:p w14:paraId="7C3681D3" w14:textId="77777777" w:rsidR="004E73C0" w:rsidRDefault="004E73C0">
      <w:pPr>
        <w:spacing w:after="60" w:line="100" w:lineRule="auto"/>
        <w:rPr>
          <w:sz w:val="8"/>
        </w:rPr>
      </w:pPr>
    </w:p>
    <w:p w14:paraId="521F85D2" w14:textId="77777777" w:rsidR="00434F21" w:rsidRPr="00C12CF5" w:rsidRDefault="00434F21">
      <w:pPr>
        <w:tabs>
          <w:tab w:val="left" w:pos="680"/>
        </w:tabs>
        <w:ind w:left="680" w:hanging="680"/>
        <w:rPr>
          <w:b/>
          <w:color w:val="2C4A6E"/>
          <w:sz w:val="4"/>
          <w:szCs w:val="6"/>
        </w:rPr>
      </w:pPr>
    </w:p>
    <w:p w14:paraId="1E5DA108" w14:textId="77777777" w:rsidR="004E73C0" w:rsidRDefault="00CA0E35">
      <w:pPr>
        <w:tabs>
          <w:tab w:val="left" w:pos="680"/>
        </w:tabs>
        <w:ind w:left="680" w:hanging="680"/>
      </w:pPr>
      <w:r>
        <w:rPr>
          <w:b/>
          <w:color w:val="2C4A6E"/>
        </w:rPr>
        <w:t>10.</w:t>
      </w:r>
      <w:r>
        <w:rPr>
          <w:b/>
          <w:color w:val="2C4A6E"/>
        </w:rPr>
        <w:tab/>
      </w:r>
      <w:r>
        <w:t>I offer one point on prioritisation. Section 2.4 describes a small number of industry trials, so agent-initiated payment is among the smallest issues in the Issues Paper by current activity, and urgent by timing. The designs that will govern agent-initiated payments are shaping the merchant choice, cost and liability questions Section 2.4 raises.</w:t>
      </w:r>
    </w:p>
    <w:p w14:paraId="08F77E49" w14:textId="77777777" w:rsidR="004E73C0" w:rsidRDefault="00CA0E35">
      <w:r>
        <w:t xml:space="preserve">A statement of the properties an authorisation layer must satisfy is a regulatory option outside the RBA’s formal powers under the Payment Systems (Regulation) Act 1998 (the PSRA), and </w:t>
      </w:r>
      <w:r>
        <w:rPr>
          <w:b/>
        </w:rPr>
        <w:t>it has its greatest effect while designs are still fluid</w:t>
      </w:r>
      <w:r>
        <w:t>.</w:t>
      </w:r>
    </w:p>
    <w:p w14:paraId="19B469D9" w14:textId="77777777" w:rsidR="004E73C0" w:rsidRDefault="00CA0E35">
      <w:r>
        <w:t>The Bank has used this instrument before: the expectations for the tokenisation of payment cards and storage of PANs, first published in December 2023, updated in May 2024, and discussed in Section 2.3 of the Issues Paper.</w:t>
      </w:r>
    </w:p>
    <w:p w14:paraId="394D6D91" w14:textId="77777777" w:rsidR="004E73C0" w:rsidRDefault="00CA0E35">
      <w:pPr>
        <w:tabs>
          <w:tab w:val="left" w:pos="680"/>
        </w:tabs>
        <w:ind w:left="680" w:hanging="680"/>
      </w:pPr>
      <w:r>
        <w:rPr>
          <w:b/>
          <w:color w:val="2C4A6E"/>
        </w:rPr>
        <w:t>11.</w:t>
      </w:r>
      <w:r>
        <w:rPr>
          <w:b/>
          <w:color w:val="2C4A6E"/>
        </w:rPr>
        <w:tab/>
      </w:r>
      <w:r>
        <w:t>The same point serves the Review’s interest in standardisation and interoperability across cards and account-to-account payments. Agent-initiated payments are likely to span rails: an agent will pay by card where cards are accepted and by account transfer where that is the authorised route.</w:t>
      </w:r>
    </w:p>
    <w:p w14:paraId="6A71354E" w14:textId="77777777" w:rsidR="004E73C0" w:rsidRDefault="00CA0E35">
      <w:r>
        <w:t>Properties of the authorisation layer, of the kind described under Question 6, can be stated without reference to which rail carries the payment, so they promote consistency across payment methods without favouring one over another. Each rail implements them inside its own authorisation, settlement, dispute and liability model.</w:t>
      </w:r>
    </w:p>
    <w:p w14:paraId="1416E52E" w14:textId="77777777" w:rsidR="00434F21" w:rsidRDefault="00434F21">
      <w:pPr>
        <w:spacing w:line="276" w:lineRule="auto"/>
        <w:rPr>
          <w:rFonts w:ascii="Georgia" w:eastAsia="Georgia" w:hAnsi="Georgia" w:cs="Georgia"/>
          <w:b/>
          <w:bCs/>
          <w:sz w:val="32"/>
          <w:szCs w:val="28"/>
        </w:rPr>
      </w:pPr>
      <w:r>
        <w:rPr>
          <w:sz w:val="32"/>
        </w:rPr>
        <w:br w:type="page"/>
      </w:r>
    </w:p>
    <w:p w14:paraId="4D62C225" w14:textId="77777777" w:rsidR="004E73C0" w:rsidRPr="00434F21" w:rsidRDefault="00434F21" w:rsidP="008C0F1C">
      <w:pPr>
        <w:pStyle w:val="Heading1"/>
        <w:spacing w:line="360" w:lineRule="auto"/>
        <w:rPr>
          <w:color w:val="1F1F1C"/>
          <w:sz w:val="32"/>
        </w:rPr>
      </w:pPr>
      <w:bookmarkStart w:id="102" w:name="Respondent_and_declaration"/>
      <w:r>
        <w:rPr>
          <w:color w:val="1F1F1C"/>
          <w:sz w:val="32"/>
        </w:rPr>
        <w:lastRenderedPageBreak/>
        <w:t>Regarding the Respondent</w:t>
      </w:r>
      <w:bookmarkEnd w:id="102"/>
    </w:p>
    <w:p w14:paraId="60BED444" w14:textId="3C8FA135" w:rsidR="004E73C0" w:rsidRPr="00434F21" w:rsidRDefault="00CA0E35">
      <w:pPr>
        <w:tabs>
          <w:tab w:val="left" w:pos="680"/>
        </w:tabs>
        <w:ind w:left="680" w:hanging="680"/>
        <w:rPr>
          <w:b/>
          <w:bCs/>
        </w:rPr>
      </w:pPr>
      <w:r>
        <w:rPr>
          <w:b/>
          <w:color w:val="2C4A6E"/>
        </w:rPr>
        <w:t>12.</w:t>
      </w:r>
      <w:r>
        <w:rPr>
          <w:b/>
          <w:color w:val="2C4A6E"/>
        </w:rPr>
        <w:tab/>
      </w:r>
      <w:r>
        <w:rPr>
          <w:b/>
        </w:rPr>
        <w:t>Respondent.</w:t>
      </w:r>
      <w:r>
        <w:t xml:space="preserve"> </w:t>
      </w:r>
      <w:hyperlink r:id="rId10" w:history="1">
        <w:r w:rsidR="004E73C0" w:rsidRPr="00C12CF5">
          <w:t>King Yew Choo</w:t>
        </w:r>
      </w:hyperlink>
      <w:r>
        <w:t xml:space="preserve">, London, responding in a </w:t>
      </w:r>
      <w:r w:rsidRPr="00434F21">
        <w:rPr>
          <w:b/>
          <w:bCs/>
        </w:rPr>
        <w:t>personal capacity</w:t>
      </w:r>
      <w:r w:rsidR="00434F21" w:rsidRPr="00434F21">
        <w:rPr>
          <w:b/>
          <w:bCs/>
        </w:rPr>
        <w:t>.</w:t>
      </w:r>
    </w:p>
    <w:p w14:paraId="13E211D8" w14:textId="362A6C12" w:rsidR="004E73C0" w:rsidRDefault="00CA0E35">
      <w:pPr>
        <w:tabs>
          <w:tab w:val="left" w:pos="680"/>
        </w:tabs>
        <w:ind w:left="680" w:hanging="680"/>
      </w:pPr>
      <w:r>
        <w:rPr>
          <w:b/>
          <w:color w:val="2C4A6E"/>
        </w:rPr>
        <w:t>13.</w:t>
      </w:r>
      <w:r>
        <w:rPr>
          <w:b/>
          <w:color w:val="2C4A6E"/>
        </w:rPr>
        <w:tab/>
      </w:r>
      <w:r>
        <w:rPr>
          <w:b/>
        </w:rPr>
        <w:t>Background.</w:t>
      </w:r>
      <w:r>
        <w:t xml:space="preserve"> I </w:t>
      </w:r>
      <w:r w:rsidR="00C12CF5">
        <w:t xml:space="preserve">authored </w:t>
      </w:r>
      <w:r>
        <w:t xml:space="preserve">a working paper that sets out an architecture and a formal model for transactions initiated by software agents, covering the authority granted, the payment requirements and settlement. The paper: King Yew Choo, “An MPP-First, Settlement-Flexible Architecture for Self-Serve Agentic Expert-Access: Protocol Analysis, Formal Model, and Business-Model Transition”, working paper, </w:t>
      </w:r>
      <w:hyperlink r:id="rId11" w:history="1">
        <w:r w:rsidR="00F302D9" w:rsidRPr="00F302D9">
          <w:t>SSRN Abstract 6928639</w:t>
        </w:r>
      </w:hyperlink>
      <w:r w:rsidR="00F302D9">
        <w:t xml:space="preserve">, </w:t>
      </w:r>
      <w:r>
        <w:t xml:space="preserve">June 2026, </w:t>
      </w:r>
      <w:hyperlink r:id="rId12">
        <w:r w:rsidR="004E73C0">
          <w:rPr>
            <w:color w:val="2C4A6E"/>
            <w:szCs w:val="21"/>
            <w:u w:val="single"/>
          </w:rPr>
          <w:t>https://doi.org/10.2139/ssrn.6928639</w:t>
        </w:r>
      </w:hyperlink>
      <w:r>
        <w:t xml:space="preserve">. </w:t>
      </w:r>
      <w:r w:rsidR="00C12CF5">
        <w:br/>
      </w:r>
      <w:r w:rsidR="00F302D9">
        <w:br/>
      </w:r>
      <w:r>
        <w:t xml:space="preserve">Under its stated model and assumptions, the paper establishes four properties: a gate-before-fulfilment safety invariant, idempotency under a request key, absence of double payment and end-to-end auditability. The controls set out above are the general form of that analysis, grounded in industry precedents where they exist, and the arguments stand without the paper. </w:t>
      </w:r>
      <w:r w:rsidR="00434F21">
        <w:br/>
      </w:r>
      <w:r w:rsidR="00F302D9">
        <w:br/>
      </w:r>
      <w:r>
        <w:t xml:space="preserve">An independent treatment that separates intent, authorisation and settlement is Sonja Davidovic and Hervé Tourpe, IMF Notes 2026/004, “How Agentic AI Will Reshape Payments”, April 2026, </w:t>
      </w:r>
      <w:hyperlink r:id="rId13">
        <w:r w:rsidR="004E73C0">
          <w:rPr>
            <w:color w:val="2C4A6E"/>
            <w:szCs w:val="21"/>
            <w:u w:val="single"/>
          </w:rPr>
          <w:t>https://doi.org/10.5089/9781513533308.068</w:t>
        </w:r>
      </w:hyperlink>
      <w:r>
        <w:t>.</w:t>
      </w:r>
    </w:p>
    <w:p w14:paraId="62D3367A" w14:textId="77777777" w:rsidR="004E73C0" w:rsidRDefault="00CA0E35">
      <w:pPr>
        <w:tabs>
          <w:tab w:val="left" w:pos="680"/>
        </w:tabs>
        <w:ind w:left="680" w:hanging="680"/>
      </w:pPr>
      <w:r>
        <w:rPr>
          <w:b/>
          <w:color w:val="2C4A6E"/>
        </w:rPr>
        <w:t>14.</w:t>
      </w:r>
      <w:r>
        <w:rPr>
          <w:b/>
          <w:color w:val="2C4A6E"/>
        </w:rPr>
        <w:tab/>
      </w:r>
      <w:r>
        <w:rPr>
          <w:b/>
        </w:rPr>
        <w:t>Declaration of interest.</w:t>
      </w:r>
      <w:r>
        <w:t xml:space="preserve"> True Primary builds infrastructure for the agent-initiated purchase of expert work. It has a commercial interest in controls for agent-initiated payments being taken seriously.</w:t>
      </w:r>
    </w:p>
    <w:p w14:paraId="5BDDCA33" w14:textId="77777777" w:rsidR="004E73C0" w:rsidRDefault="00CA0E35">
      <w:r>
        <w:t>The controls described in this response are technology-neutral properties, implemented within the rules of each payment method. The two principal elements, the parameterised payment agreement and the idempotency key, are already established in the systems named in paragraphs 4 and 6.</w:t>
      </w:r>
    </w:p>
    <w:p w14:paraId="66A2E53C" w14:textId="77777777" w:rsidR="004E73C0" w:rsidRDefault="00CA0E35">
      <w:r>
        <w:rPr>
          <w:b/>
        </w:rPr>
        <w:t>I would therefore resist any regulatory drafting that named a particular protocol, including one I am building around</w:t>
      </w:r>
      <w:r>
        <w:t>.</w:t>
      </w:r>
    </w:p>
    <w:p w14:paraId="12411F6B" w14:textId="77777777" w:rsidR="004E73C0" w:rsidRDefault="00CA0E35">
      <w:pPr>
        <w:tabs>
          <w:tab w:val="left" w:pos="680"/>
        </w:tabs>
        <w:ind w:left="680" w:hanging="680"/>
      </w:pPr>
      <w:r>
        <w:rPr>
          <w:b/>
          <w:color w:val="2C4A6E"/>
        </w:rPr>
        <w:t>15.</w:t>
      </w:r>
      <w:r>
        <w:rPr>
          <w:b/>
          <w:color w:val="2C4A6E"/>
        </w:rPr>
        <w:tab/>
      </w:r>
      <w:r>
        <w:rPr>
          <w:b/>
        </w:rPr>
        <w:t>Scope.</w:t>
      </w:r>
      <w:r>
        <w:t xml:space="preserve"> Comments are offered on Questions 6 and 19 only. I have chosen not to answer the remaining questions: they concern parts of the Australian payments system, its merchants and its participants, on which I have no operational experience to offer. I have kept any overlap with other questions within the relevant answer; paragraph 11 touches on Question 14 only in support of Question 19.</w:t>
      </w:r>
    </w:p>
    <w:p w14:paraId="675EFF92" w14:textId="77777777" w:rsidR="004E73C0" w:rsidRDefault="00CA0E35" w:rsidP="00F302D9">
      <w:pPr>
        <w:tabs>
          <w:tab w:val="left" w:pos="680"/>
        </w:tabs>
        <w:spacing w:after="0"/>
        <w:ind w:left="680" w:hanging="680"/>
      </w:pPr>
      <w:r>
        <w:rPr>
          <w:b/>
          <w:color w:val="2C4A6E"/>
        </w:rPr>
        <w:t>16.</w:t>
      </w:r>
      <w:r>
        <w:rPr>
          <w:b/>
          <w:color w:val="2C4A6E"/>
        </w:rPr>
        <w:tab/>
      </w:r>
      <w:r>
        <w:rPr>
          <w:b/>
        </w:rPr>
        <w:t>Availability.</w:t>
      </w:r>
      <w:r>
        <w:t xml:space="preserve"> </w:t>
      </w:r>
      <w:r w:rsidR="008C0F1C">
        <w:t xml:space="preserve">I welcome discussing this further and can </w:t>
      </w:r>
      <w:r>
        <w:t>provide further detail on any of the above, in writing or in discussio</w:t>
      </w:r>
      <w:r w:rsidR="008C0F1C">
        <w:t>n.</w:t>
      </w:r>
    </w:p>
    <w:p>
      <w:pPr>
        <w:keepLines/>
        <w:spacing w:before="180" w:after="0" w:line="300" w:lineRule="auto"/>
      </w:pPr>
      <w:r>
        <w:t>Sincerely,</w:t>
      </w:r>
      <w:r>
        <w:br/>
      </w:r>
      <w:hyperlink r:id="rId14" w:history="1">
        <w:r>
          <w:t>King Yew Choo</w:t>
        </w:r>
      </w:hyperlink>
      <w:r>
        <w:br/>
      </w:r>
      <w:r>
        <w:rPr>
          <w:sz w:val="19"/>
        </w:rPr>
        <w:t>London, United Kingdom</w:t>
      </w:r>
    </w:p>
    <w:p w14:paraId="54847F1E" w14:textId="77777777" w:rsidR="004E73C0" w:rsidRDefault="00CA0E35" w:rsidP="00F302D9">
      <w:pPr>
        <w:pStyle w:val="Heading1"/>
        <w:spacing w:line="276" w:lineRule="auto"/>
      </w:pPr>
      <w:bookmarkStart w:id="103" w:name="Sources"/>
      <w:r>
        <w:rPr>
          <w:color w:val="1F1F1C"/>
          <w:sz w:val="32"/>
        </w:rPr>
        <w:lastRenderedPageBreak/>
        <w:t>Sources</w:t>
      </w:r>
      <w:bookmarkEnd w:id="103"/>
    </w:p>
    <w:p w14:paraId="7A0D8866" w14:textId="77777777" w:rsidR="00EC47BB" w:rsidRPr="00F302D9" w:rsidRDefault="00CA0E35" w:rsidP="00F302D9">
      <w:pPr>
        <w:keepLines/>
        <w:spacing w:before="240" w:after="240" w:line="331" w:lineRule="auto"/>
        <w:ind w:right="113" w:firstLine="284"/>
        <w:rPr>
          <w:sz w:val="19"/>
          <w:szCs w:val="19"/>
        </w:rPr>
      </w:pPr>
      <w:r w:rsidRPr="00F302D9">
        <w:rPr>
          <w:sz w:val="19"/>
          <w:szCs w:val="19"/>
        </w:rPr>
        <w:t xml:space="preserve">Reserve Bank of Australia, Review of Payments System Regulation, Issues Paper, June 2026: Sections 2.3 and 2.4, Questions 6 and 19. </w:t>
      </w:r>
      <w:hyperlink r:id="rId15">
        <w:r w:rsidR="00EC47BB" w:rsidRPr="00F302D9">
          <w:rPr>
            <w:color w:val="2C4A6E"/>
            <w:sz w:val="19"/>
            <w:szCs w:val="19"/>
            <w:u w:val="single"/>
          </w:rPr>
          <w:t>https://www.rba.gov.au/payments-and-infrastructure/regulatory-reviews/review-of-payments-system-regulation-2026/2026-06/</w:t>
        </w:r>
      </w:hyperlink>
    </w:p>
    <w:p w14:paraId="74369D79" w14:textId="77777777" w:rsidR="00EC47BB" w:rsidRPr="00F302D9" w:rsidRDefault="00CA0E35" w:rsidP="00F302D9">
      <w:pPr>
        <w:keepLines/>
        <w:spacing w:before="240" w:after="240" w:line="331" w:lineRule="auto"/>
        <w:ind w:right="113" w:firstLine="284"/>
        <w:rPr>
          <w:sz w:val="19"/>
          <w:szCs w:val="19"/>
        </w:rPr>
      </w:pPr>
      <w:r w:rsidRPr="00F302D9">
        <w:rPr>
          <w:sz w:val="19"/>
          <w:szCs w:val="19"/>
        </w:rPr>
        <w:t xml:space="preserve">Reserve Bank of Australia, Expectations for Tokenisation of Payment Cards and Storage of PANs, first published December 2023, updated May 2024. </w:t>
      </w:r>
      <w:hyperlink r:id="rId16">
        <w:r w:rsidR="00EC47BB" w:rsidRPr="00F302D9">
          <w:rPr>
            <w:color w:val="2C4A6E"/>
            <w:sz w:val="19"/>
            <w:szCs w:val="19"/>
            <w:u w:val="single"/>
          </w:rPr>
          <w:t>https://www.rba.gov.au/payments-and-infrastructure/debit-cards/expectations-on-tokenisation/</w:t>
        </w:r>
      </w:hyperlink>
    </w:p>
    <w:p w14:paraId="6E4424DD" w14:textId="77777777" w:rsidR="00EC47BB" w:rsidRPr="00F302D9" w:rsidRDefault="00CA0E35" w:rsidP="00F302D9">
      <w:pPr>
        <w:keepLines/>
        <w:spacing w:before="240" w:after="240" w:line="331" w:lineRule="auto"/>
        <w:ind w:right="113" w:firstLine="284"/>
        <w:rPr>
          <w:sz w:val="19"/>
          <w:szCs w:val="19"/>
        </w:rPr>
      </w:pPr>
      <w:r w:rsidRPr="00F302D9">
        <w:rPr>
          <w:sz w:val="19"/>
          <w:szCs w:val="19"/>
        </w:rPr>
        <w:t xml:space="preserve">Australian Payments Plus, NPP Product Rules, version 29.0, July 2026, rules N17.1(c) and N17.9. </w:t>
      </w:r>
      <w:hyperlink r:id="rId17">
        <w:r w:rsidR="00EC47BB" w:rsidRPr="00F302D9">
          <w:rPr>
            <w:color w:val="2C4A6E"/>
            <w:sz w:val="19"/>
            <w:szCs w:val="19"/>
            <w:u w:val="single"/>
          </w:rPr>
          <w:t>https://www.auspayplus.com.au/wp-content/uploads/2026/07/NPP-Product-Rules-v.29_Redacted.pdf</w:t>
        </w:r>
      </w:hyperlink>
    </w:p>
    <w:p w14:paraId="47472081" w14:textId="77777777" w:rsidR="00EC47BB" w:rsidRPr="00F302D9" w:rsidRDefault="00CA0E35" w:rsidP="00F302D9">
      <w:pPr>
        <w:keepLines/>
        <w:spacing w:before="240" w:after="240" w:line="331" w:lineRule="auto"/>
        <w:ind w:right="113" w:firstLine="284"/>
        <w:rPr>
          <w:sz w:val="19"/>
          <w:szCs w:val="19"/>
        </w:rPr>
      </w:pPr>
      <w:r w:rsidRPr="00F302D9">
        <w:rPr>
          <w:sz w:val="19"/>
          <w:szCs w:val="19"/>
        </w:rPr>
        <w:t xml:space="preserve">Australian Payments Plus, NPP Regulations, version 21.0, 24 September 2024, the predecessor instrument. </w:t>
      </w:r>
      <w:hyperlink r:id="rId18">
        <w:r w:rsidR="00EC47BB" w:rsidRPr="00F302D9">
          <w:rPr>
            <w:color w:val="2C4A6E"/>
            <w:sz w:val="19"/>
            <w:szCs w:val="19"/>
            <w:u w:val="single"/>
          </w:rPr>
          <w:t>https://www.auspayplus.com.au/wp-content/uploads/2024/10/NPP-Regulations-v21.0_Public_version.pdf</w:t>
        </w:r>
      </w:hyperlink>
    </w:p>
    <w:p w14:paraId="0EB6D633" w14:textId="77777777" w:rsidR="00EC47BB" w:rsidRPr="00F302D9" w:rsidRDefault="00CA0E35" w:rsidP="00F302D9">
      <w:pPr>
        <w:keepLines/>
        <w:spacing w:before="240" w:after="240" w:line="331" w:lineRule="auto"/>
        <w:ind w:right="113" w:firstLine="284"/>
        <w:rPr>
          <w:sz w:val="19"/>
          <w:szCs w:val="19"/>
        </w:rPr>
      </w:pPr>
      <w:r w:rsidRPr="00F302D9">
        <w:rPr>
          <w:sz w:val="19"/>
          <w:szCs w:val="19"/>
        </w:rPr>
        <w:t xml:space="preserve">Australian Payments Plus, PayTo, consumer information on payment terms, authorisation in online banking, and pause, resume and cancel. </w:t>
      </w:r>
      <w:hyperlink r:id="rId19">
        <w:r w:rsidR="00EC47BB" w:rsidRPr="00F302D9">
          <w:rPr>
            <w:color w:val="2C4A6E"/>
            <w:sz w:val="19"/>
            <w:szCs w:val="19"/>
            <w:u w:val="single"/>
          </w:rPr>
          <w:t>https://www.auspayplus.com.au/solutions/payto-for-consumers</w:t>
        </w:r>
      </w:hyperlink>
    </w:p>
    <w:p w14:paraId="17441422" w14:textId="77777777" w:rsidR="00EC47BB" w:rsidRPr="00F302D9" w:rsidRDefault="00CA0E35" w:rsidP="00F302D9">
      <w:pPr>
        <w:keepLines/>
        <w:spacing w:before="240" w:after="240" w:line="331" w:lineRule="auto"/>
        <w:ind w:right="113" w:firstLine="284"/>
        <w:rPr>
          <w:sz w:val="19"/>
          <w:szCs w:val="19"/>
        </w:rPr>
      </w:pPr>
      <w:r w:rsidRPr="00F302D9">
        <w:rPr>
          <w:sz w:val="19"/>
          <w:szCs w:val="19"/>
        </w:rPr>
        <w:t xml:space="preserve">National Australia Bank, “NAB and Amazon launch PayTo® payment for Amazon.com.au customers”, 31 January 2025. </w:t>
      </w:r>
      <w:hyperlink r:id="rId20">
        <w:r w:rsidR="00EC47BB" w:rsidRPr="00F302D9">
          <w:rPr>
            <w:color w:val="2C4A6E"/>
            <w:sz w:val="19"/>
            <w:szCs w:val="19"/>
            <w:u w:val="single"/>
          </w:rPr>
          <w:t>https://www.nab.com.au/news/technology-ai/amazon-payto</w:t>
        </w:r>
      </w:hyperlink>
    </w:p>
    <w:p w14:paraId="29C51945" w14:textId="77777777" w:rsidR="00EC47BB" w:rsidRPr="00F302D9" w:rsidRDefault="00CA0E35" w:rsidP="00F302D9">
      <w:pPr>
        <w:keepLines/>
        <w:spacing w:before="240" w:after="240" w:line="331" w:lineRule="auto"/>
        <w:ind w:right="113" w:firstLine="284"/>
        <w:rPr>
          <w:sz w:val="19"/>
          <w:szCs w:val="19"/>
        </w:rPr>
      </w:pPr>
      <w:r w:rsidRPr="00F302D9">
        <w:rPr>
          <w:sz w:val="19"/>
          <w:szCs w:val="19"/>
        </w:rPr>
        <w:t xml:space="preserve">Stripe, developer documentation on idempotent requests. </w:t>
      </w:r>
      <w:hyperlink r:id="rId21">
        <w:r w:rsidR="00EC47BB" w:rsidRPr="00F302D9">
          <w:rPr>
            <w:color w:val="2C4A6E"/>
            <w:sz w:val="19"/>
            <w:szCs w:val="19"/>
            <w:u w:val="single"/>
          </w:rPr>
          <w:t>https://docs.stripe.com/api/idempotent_requests</w:t>
        </w:r>
      </w:hyperlink>
    </w:p>
    <w:p w14:paraId="09673965" w14:textId="77777777" w:rsidR="00EC47BB" w:rsidRPr="00F302D9" w:rsidRDefault="00CA0E35" w:rsidP="00F302D9">
      <w:pPr>
        <w:keepLines/>
        <w:spacing w:before="240" w:after="240" w:line="331" w:lineRule="auto"/>
        <w:ind w:right="113" w:firstLine="284"/>
        <w:rPr>
          <w:sz w:val="19"/>
          <w:szCs w:val="19"/>
        </w:rPr>
      </w:pPr>
      <w:r w:rsidRPr="00F302D9">
        <w:rPr>
          <w:sz w:val="19"/>
          <w:szCs w:val="19"/>
        </w:rPr>
        <w:t xml:space="preserve">PayPal, developer documentation on idempotency, the PayPal-Request-Id header. </w:t>
      </w:r>
      <w:hyperlink r:id="rId22">
        <w:r w:rsidR="00EC47BB" w:rsidRPr="00F302D9">
          <w:rPr>
            <w:color w:val="2C4A6E"/>
            <w:sz w:val="19"/>
            <w:szCs w:val="19"/>
            <w:u w:val="single"/>
          </w:rPr>
          <w:t>https://developer.paypal.com/api/rest/reference/idempotency/</w:t>
        </w:r>
      </w:hyperlink>
    </w:p>
    <w:p w14:paraId="58119C8D" w14:textId="77777777" w:rsidR="00EC47BB" w:rsidRPr="00F302D9" w:rsidRDefault="00CA0E35" w:rsidP="00F302D9">
      <w:pPr>
        <w:keepLines/>
        <w:spacing w:before="240" w:after="240" w:line="331" w:lineRule="auto"/>
        <w:ind w:right="113" w:firstLine="284"/>
        <w:rPr>
          <w:sz w:val="19"/>
          <w:szCs w:val="19"/>
        </w:rPr>
      </w:pPr>
      <w:r w:rsidRPr="00F302D9">
        <w:rPr>
          <w:sz w:val="19"/>
          <w:szCs w:val="19"/>
        </w:rPr>
        <w:t xml:space="preserve">Adyen, developer documentation on API idempotency. </w:t>
      </w:r>
      <w:hyperlink r:id="rId23">
        <w:r w:rsidR="00EC47BB" w:rsidRPr="00F302D9">
          <w:rPr>
            <w:color w:val="2C4A6E"/>
            <w:sz w:val="19"/>
            <w:szCs w:val="19"/>
            <w:u w:val="single"/>
          </w:rPr>
          <w:t>https://docs.adyen.com/development-resources/api-idempotency</w:t>
        </w:r>
      </w:hyperlink>
    </w:p>
    <w:p w14:paraId="36AFA44A" w14:textId="77777777" w:rsidR="00EC47BB" w:rsidRPr="00F302D9" w:rsidRDefault="00CA0E35" w:rsidP="00F302D9">
      <w:pPr>
        <w:keepLines/>
        <w:spacing w:before="240" w:after="240" w:line="331" w:lineRule="auto"/>
        <w:ind w:right="113" w:firstLine="284"/>
        <w:rPr>
          <w:sz w:val="19"/>
          <w:szCs w:val="19"/>
        </w:rPr>
      </w:pPr>
      <w:r w:rsidRPr="00F302D9">
        <w:rPr>
          <w:sz w:val="19"/>
          <w:szCs w:val="19"/>
        </w:rPr>
        <w:t xml:space="preserve">Square, developer documentation on idempotency; the idempotency key is required on payment creation. </w:t>
      </w:r>
      <w:hyperlink r:id="rId24">
        <w:r w:rsidR="00EC47BB" w:rsidRPr="00F302D9">
          <w:rPr>
            <w:color w:val="2C4A6E"/>
            <w:sz w:val="19"/>
            <w:szCs w:val="19"/>
            <w:u w:val="single"/>
          </w:rPr>
          <w:t>https://developer.squareup.com/docs/build-basics/common-api-patterns/idempotency</w:t>
        </w:r>
      </w:hyperlink>
    </w:p>
    <w:p w14:paraId="0B3E8746" w14:textId="77777777" w:rsidR="00EC47BB" w:rsidRPr="00F302D9" w:rsidRDefault="00CA0E35" w:rsidP="00F302D9">
      <w:pPr>
        <w:keepLines/>
        <w:spacing w:before="240" w:after="240" w:line="331" w:lineRule="auto"/>
        <w:ind w:right="113" w:firstLine="284"/>
        <w:rPr>
          <w:sz w:val="19"/>
          <w:szCs w:val="19"/>
        </w:rPr>
      </w:pPr>
      <w:r w:rsidRPr="00F302D9">
        <w:rPr>
          <w:sz w:val="19"/>
          <w:szCs w:val="19"/>
        </w:rPr>
        <w:t xml:space="preserve">ASIC, ePayments Code, effective 2 June 2022. </w:t>
      </w:r>
      <w:hyperlink r:id="rId25">
        <w:r w:rsidR="00EC47BB" w:rsidRPr="00F302D9">
          <w:rPr>
            <w:color w:val="2C4A6E"/>
            <w:sz w:val="19"/>
            <w:szCs w:val="19"/>
            <w:u w:val="single"/>
          </w:rPr>
          <w:t>https://asic.gov.au/regulatory-resources/financial-services/epayments-code/</w:t>
        </w:r>
      </w:hyperlink>
    </w:p>
    <w:p w14:paraId="78D83A7B" w14:textId="0334645D" w:rsidR="00EC47BB" w:rsidRPr="00F302D9" w:rsidRDefault="00C12CF5" w:rsidP="00F302D9">
      <w:pPr>
        <w:keepLines/>
        <w:spacing w:before="240" w:after="240" w:line="331" w:lineRule="auto"/>
        <w:ind w:right="113" w:firstLine="284"/>
        <w:rPr>
          <w:sz w:val="19"/>
          <w:szCs w:val="19"/>
        </w:rPr>
      </w:pPr>
      <w:hyperlink r:id="rId26" w:history="1">
        <w:r w:rsidRPr="00F302D9">
          <w:rPr>
            <w:sz w:val="19"/>
            <w:szCs w:val="19"/>
          </w:rPr>
          <w:t>King Yew Choo</w:t>
        </w:r>
      </w:hyperlink>
      <w:r w:rsidRPr="00F302D9">
        <w:rPr>
          <w:sz w:val="19"/>
          <w:szCs w:val="19"/>
        </w:rPr>
        <w:t xml:space="preserve">, “An MPP-First, Settlement-Flexible Architecture for Self-Serve Agentic Expert-Access: Protocol Analysis, Formal Model, and Business-Model Transition”, working paper, SSRN Abstract 6928639, June 2026. </w:t>
      </w:r>
      <w:hyperlink r:id="rId27">
        <w:r w:rsidRPr="00F302D9">
          <w:rPr>
            <w:color w:val="2C4A6E"/>
            <w:sz w:val="19"/>
            <w:szCs w:val="19"/>
            <w:u w:val="single"/>
          </w:rPr>
          <w:t>https://doi.org/10.2139/ssrn.6928639</w:t>
        </w:r>
      </w:hyperlink>
    </w:p>
    <w:p w14:paraId="1A48676A" w14:textId="77777777" w:rsidR="00EC47BB" w:rsidRPr="00F302D9" w:rsidRDefault="00CA0E35" w:rsidP="00F302D9">
      <w:pPr>
        <w:keepLines/>
        <w:spacing w:before="240" w:after="240" w:line="331" w:lineRule="auto"/>
        <w:ind w:right="113" w:firstLine="284"/>
        <w:rPr>
          <w:sz w:val="19"/>
          <w:szCs w:val="19"/>
        </w:rPr>
      </w:pPr>
      <w:r w:rsidRPr="00F302D9">
        <w:rPr>
          <w:sz w:val="19"/>
          <w:szCs w:val="19"/>
        </w:rPr>
        <w:t xml:space="preserve">Sonja Davidovic and Hervé Tourpe, “How Agentic AI Will Reshape Payments”, IMF Notes 2026/004, April 2026. </w:t>
      </w:r>
      <w:hyperlink r:id="rId28">
        <w:r w:rsidR="00EC47BB" w:rsidRPr="00F302D9">
          <w:rPr>
            <w:color w:val="2C4A6E"/>
            <w:sz w:val="19"/>
            <w:szCs w:val="19"/>
            <w:u w:val="single"/>
          </w:rPr>
          <w:t>https://doi.org/10.5089/9781513533308.068</w:t>
        </w:r>
      </w:hyperlink>
    </w:p>
    <w:sectPr w:rsidR="00EC47BB" w:rsidRPr="00F302D9" w:rsidSect="00197E19">
      <w:headerReference w:type="even" r:id="rId29"/>
      <w:headerReference w:type="default" r:id="rId30"/>
      <w:footerReference w:type="even" r:id="rId31"/>
      <w:footerReference w:type="default" r:id="rId32"/>
      <w:headerReference w:type="first" r:id="rId33"/>
      <w:footerReference w:type="first" r:id="rId34"/>
      <w:pgSz w:w="11906" w:h="16838"/>
      <w:pgMar w:top="1418" w:right="1440" w:bottom="1247" w:left="1440" w:header="283"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345E11" w14:textId="77777777" w:rsidR="00081153" w:rsidRDefault="00081153">
      <w:pPr>
        <w:spacing w:after="0" w:line="240" w:lineRule="auto"/>
      </w:pPr>
      <w:r>
        <w:separator/>
      </w:r>
    </w:p>
  </w:endnote>
  <w:endnote w:type="continuationSeparator" w:id="0">
    <w:p w14:paraId="6F8A7DF5" w14:textId="77777777" w:rsidR="00081153" w:rsidRDefault="00081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075B8E" w14:textId="77777777" w:rsidR="00A80481" w:rsidRDefault="00A804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4E5497" w14:textId="77777777" w:rsidR="004E73C0" w:rsidRDefault="004E73C0">
    <w:pPr>
      <w:pStyle w:val="Footer"/>
      <w:pBdr>
        <w:top w:val="single" w:sz="2" w:space="8" w:color="9FB0C7"/>
      </w:pBdr>
      <w:spacing w:line="20" w:lineRule="exact"/>
    </w:pPr>
  </w:p>
  <w:tbl>
    <w:tblPr>
      <w:tblW w:w="9411" w:type="dxa"/>
      <w:tblBorders>
        <w:top w:val="nil"/>
        <w:left w:val="nil"/>
        <w:bottom w:val="nil"/>
        <w:right w:val="nil"/>
        <w:insideH w:val="nil"/>
        <w:insideV w:val="nil"/>
      </w:tblBorders>
      <w:tblLayout w:type="fixed"/>
      <w:tblLook w:val="04A0" w:firstRow="1" w:lastRow="0" w:firstColumn="1" w:lastColumn="0" w:noHBand="0" w:noVBand="1"/>
    </w:tblPr>
    <w:tblGrid>
      <w:gridCol w:w="7880"/>
      <w:gridCol w:w="1531"/>
    </w:tblGrid>
    <w:tr w:rsidR="004E73C0" w14:paraId="113D1F24" w14:textId="77777777">
      <w:tc>
        <w:tcPr>
          <w:tcW w:w="7880" w:type="dxa"/>
          <w:tcMar>
            <w:top w:w="0" w:type="dxa"/>
            <w:left w:w="0" w:type="dxa"/>
            <w:bottom w:w="0" w:type="dxa"/>
            <w:right w:w="0" w:type="dxa"/>
          </w:tcMar>
          <w:vAlign w:val="center"/>
        </w:tcPr>
        <w:p w14:paraId="5B100AAF" w14:textId="5FF04CDB" w:rsidR="004E73C0" w:rsidRDefault="00C12CF5">
          <w:pPr>
            <w:pStyle w:val="Footer"/>
          </w:pPr>
          <w:hyperlink r:id="rId1" w:history="1">
            <w:r w:rsidRPr="00C12CF5">
              <w:t>King Yew Choo</w:t>
            </w:r>
          </w:hyperlink>
          <w:r>
            <w:t xml:space="preserve"> · Response to the RBA Review of Payments System Regulation · 6 August 2026</w:t>
          </w:r>
        </w:p>
      </w:tc>
      <w:tc>
        <w:tcPr>
          <w:tcW w:w="1531" w:type="dxa"/>
          <w:tcMar>
            <w:top w:w="0" w:type="dxa"/>
            <w:left w:w="0" w:type="dxa"/>
            <w:bottom w:w="0" w:type="dxa"/>
            <w:right w:w="0" w:type="dxa"/>
          </w:tcMar>
          <w:vAlign w:val="center"/>
        </w:tcPr>
        <w:p w14:paraId="1176AFA6" w14:textId="77777777" w:rsidR="004E73C0" w:rsidRDefault="00CA0E35">
          <w:pPr>
            <w:pStyle w:val="Footer"/>
            <w:jc w:val="right"/>
          </w:pPr>
          <w:r>
            <w:t xml:space="preserve">page </w:t>
          </w:r>
          <w:r>
            <w:fldChar w:fldCharType="begin"/>
          </w:r>
          <w:r>
            <w:instrText xml:space="preserve"> PAGE </w:instrText>
          </w:r>
          <w:r>
            <w:fldChar w:fldCharType="separate"/>
          </w:r>
          <w:r>
            <w:t>1</w:t>
          </w:r>
          <w:r>
            <w:fldChar w:fldCharType="end"/>
          </w:r>
          <w:r>
            <w:t xml:space="preserve"> of </w:t>
          </w:r>
          <w:r>
            <w:fldChar w:fldCharType="begin"/>
          </w:r>
          <w:r>
            <w:instrText xml:space="preserve"> NUMPAGES </w:instrText>
          </w:r>
          <w:r>
            <w:fldChar w:fldCharType="separate"/>
          </w:r>
          <w:r>
            <w:t>1</w:t>
          </w:r>
          <w: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052441" w14:textId="77777777" w:rsidR="00A80481" w:rsidRDefault="00A80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E0A297" w14:textId="77777777" w:rsidR="00081153" w:rsidRDefault="00081153">
      <w:pPr>
        <w:spacing w:after="0" w:line="240" w:lineRule="auto"/>
      </w:pPr>
      <w:r>
        <w:separator/>
      </w:r>
    </w:p>
  </w:footnote>
  <w:footnote w:type="continuationSeparator" w:id="0">
    <w:p w14:paraId="288166EC" w14:textId="77777777" w:rsidR="00081153" w:rsidRDefault="000811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293754" w14:textId="77777777" w:rsidR="004D50B9" w:rsidRDefault="004D50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9300D9" w14:textId="77777777" w:rsidR="004D50B9" w:rsidRDefault="004D50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A3770E" w14:textId="77777777" w:rsidR="004D50B9" w:rsidRDefault="004D50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Arial" w:hAnsi="Arial" w:hint="default"/>
      </w:rPr>
    </w:lvl>
  </w:abstractNum>
  <w:abstractNum w:abstractNumId="9" w15:restartNumberingAfterBreak="0">
    <w:nsid w:val="3CCF0039"/>
    <w:multiLevelType w:val="hybridMultilevel"/>
    <w:tmpl w:val="59987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486554"/>
    <w:multiLevelType w:val="hybridMultilevel"/>
    <w:tmpl w:val="48A2FF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9407D5"/>
    <w:multiLevelType w:val="hybridMultilevel"/>
    <w:tmpl w:val="6EAE8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6810975">
    <w:abstractNumId w:val="8"/>
  </w:num>
  <w:num w:numId="2" w16cid:durableId="1430391272">
    <w:abstractNumId w:val="6"/>
  </w:num>
  <w:num w:numId="3" w16cid:durableId="988020888">
    <w:abstractNumId w:val="5"/>
  </w:num>
  <w:num w:numId="4" w16cid:durableId="820073977">
    <w:abstractNumId w:val="4"/>
  </w:num>
  <w:num w:numId="5" w16cid:durableId="1912688718">
    <w:abstractNumId w:val="7"/>
  </w:num>
  <w:num w:numId="6" w16cid:durableId="812869694">
    <w:abstractNumId w:val="3"/>
  </w:num>
  <w:num w:numId="7" w16cid:durableId="1782333705">
    <w:abstractNumId w:val="2"/>
  </w:num>
  <w:num w:numId="8" w16cid:durableId="1370448775">
    <w:abstractNumId w:val="1"/>
  </w:num>
  <w:num w:numId="9" w16cid:durableId="50540565">
    <w:abstractNumId w:val="0"/>
  </w:num>
  <w:num w:numId="10" w16cid:durableId="494106696">
    <w:abstractNumId w:val="9"/>
  </w:num>
  <w:num w:numId="11" w16cid:durableId="860123052">
    <w:abstractNumId w:val="10"/>
  </w:num>
  <w:num w:numId="12" w16cid:durableId="1769888826">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8"/>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3C0"/>
    <w:rsid w:val="00081153"/>
    <w:rsid w:val="0013590C"/>
    <w:rsid w:val="0013743D"/>
    <w:rsid w:val="00197E19"/>
    <w:rsid w:val="002814C5"/>
    <w:rsid w:val="002E0928"/>
    <w:rsid w:val="00434F21"/>
    <w:rsid w:val="004557CC"/>
    <w:rsid w:val="004B1294"/>
    <w:rsid w:val="004D50B9"/>
    <w:rsid w:val="004E0683"/>
    <w:rsid w:val="004E73C0"/>
    <w:rsid w:val="006134B9"/>
    <w:rsid w:val="008C0F1C"/>
    <w:rsid w:val="00A80481"/>
    <w:rsid w:val="00C12CF5"/>
    <w:rsid w:val="00CA0E35"/>
    <w:rsid w:val="00DB66B0"/>
    <w:rsid w:val="00E03CBA"/>
    <w:rsid w:val="00EC47BB"/>
    <w:rsid w:val="00F302D9"/>
    <w:rsid w:val="00F67370"/>
  </w:rsids>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747D76"/>
  <w14:defaultImageDpi w14:val="300"/>
  <w15:docId w15:val="{11EB8AEE-D0A5-5949-9B6D-A306E55DD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line="330" w:lineRule="auto"/>
    </w:pPr>
    <w:rPr>
      <w:rFonts w:ascii="Arial" w:eastAsia="Arial" w:hAnsi="Arial" w:cs="Arial"/>
      <w:color w:val="1F1F1C"/>
      <w:sz w:val="21"/>
      <w:lang w:val="en-GB" w:eastAsia="en-GB" w:bidi="en-GB"/>
    </w:rPr>
  </w:style>
  <w:style w:type="paragraph" w:styleId="Heading1">
    <w:name w:val="heading 1"/>
    <w:basedOn w:val="Normal"/>
    <w:next w:val="Normal"/>
    <w:link w:val="Heading1Char"/>
    <w:uiPriority w:val="9"/>
    <w:qFormat/>
    <w:rsid w:val="00FC693F"/>
    <w:pPr>
      <w:keepNext/>
      <w:keepLines/>
      <w:spacing w:before="380" w:line="240" w:lineRule="auto"/>
      <w:outlineLvl w:val="0"/>
    </w:pPr>
    <w:rPr>
      <w:rFonts w:ascii="Georgia" w:eastAsia="Georgia" w:hAnsi="Georgia" w:cs="Georgia"/>
      <w:b/>
      <w:bCs/>
      <w:color w:val="2C4A6E"/>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180" w:lineRule="exact"/>
    </w:pPr>
    <w:rPr>
      <w:color w:val="5C584F"/>
      <w:sz w:val="15"/>
    </w:r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ubmissionTitle">
    <w:name w:val="Submission Title"/>
    <w:basedOn w:val="Normal"/>
    <w:pPr>
      <w:keepNext/>
      <w:spacing w:after="280" w:line="250" w:lineRule="auto"/>
      <w:outlineLvl w:val="0"/>
    </w:pPr>
    <w:rPr>
      <w:rFonts w:ascii="Georgia" w:eastAsia="Georgia" w:hAnsi="Georgia" w:cs="Georgia"/>
      <w:b/>
      <w:color w:val="2C4A6E"/>
      <w:sz w:val="30"/>
    </w:rPr>
  </w:style>
  <w:style w:type="paragraph" w:customStyle="1" w:styleId="FrontMatter">
    <w:name w:val="Front Matter"/>
    <w:pPr>
      <w:spacing w:after="80" w:line="260" w:lineRule="auto"/>
    </w:pPr>
    <w:rPr>
      <w:rFonts w:ascii="Arial" w:eastAsia="Arial" w:hAnsi="Arial" w:cs="Arial"/>
      <w:color w:val="1F1F1C"/>
      <w:sz w:val="19"/>
      <w:lang w:val="en-GB" w:eastAsia="en-GB" w:bidi="en-GB"/>
    </w:rPr>
  </w:style>
  <w:style w:type="paragraph" w:styleId="NormalWeb">
    <w:name w:val="Normal (Web)"/>
    <w:basedOn w:val="Normal"/>
    <w:uiPriority w:val="99"/>
    <w:semiHidden/>
    <w:unhideWhenUsed/>
    <w:rsid w:val="004D50B9"/>
    <w:pPr>
      <w:spacing w:before="100" w:beforeAutospacing="1" w:after="100" w:afterAutospacing="1" w:line="240" w:lineRule="auto"/>
    </w:pPr>
    <w:rPr>
      <w:rFonts w:ascii="Times New Roman" w:eastAsiaTheme="minorEastAsia" w:hAnsi="Times New Roman" w:cs="Times New Roman"/>
      <w:color w:val="auto"/>
      <w:sz w:val="24"/>
      <w:szCs w:val="24"/>
      <w:lang w:eastAsia="zh-CN" w:bidi="ar-SA"/>
    </w:rPr>
  </w:style>
  <w:style w:type="character" w:styleId="PlaceholderText">
    <w:name w:val="Placeholder Text"/>
    <w:basedOn w:val="DefaultParagraphFont"/>
    <w:uiPriority w:val="99"/>
    <w:semiHidden/>
    <w:rsid w:val="006134B9"/>
    <w:rPr>
      <w:color w:val="808080"/>
    </w:rPr>
  </w:style>
  <w:style w:type="character" w:styleId="Hyperlink">
    <w:name w:val="Hyperlink"/>
    <w:basedOn w:val="DefaultParagraphFont"/>
    <w:uiPriority w:val="99"/>
    <w:unhideWhenUsed/>
    <w:rsid w:val="0013590C"/>
    <w:rPr>
      <w:color w:val="0000FF" w:themeColor="hyperlink"/>
      <w:u w:val="single"/>
    </w:rPr>
  </w:style>
  <w:style w:type="character" w:styleId="UnresolvedMention">
    <w:name w:val="Unresolved Mention"/>
    <w:basedOn w:val="DefaultParagraphFont"/>
    <w:uiPriority w:val="99"/>
    <w:semiHidden/>
    <w:unhideWhenUsed/>
    <w:rsid w:val="0013590C"/>
    <w:rPr>
      <w:color w:val="605E5C"/>
      <w:shd w:val="clear" w:color="auto" w:fill="E1DFDD"/>
    </w:rPr>
  </w:style>
  <w:style w:type="character" w:styleId="CommentReference">
    <w:name w:val="annotation reference"/>
    <w:basedOn w:val="DefaultParagraphFont"/>
    <w:uiPriority w:val="99"/>
    <w:semiHidden/>
    <w:unhideWhenUsed/>
    <w:rsid w:val="0013590C"/>
    <w:rPr>
      <w:sz w:val="16"/>
      <w:szCs w:val="16"/>
    </w:rPr>
  </w:style>
  <w:style w:type="paragraph" w:styleId="CommentText">
    <w:name w:val="annotation text"/>
    <w:basedOn w:val="Normal"/>
    <w:link w:val="CommentTextChar"/>
    <w:uiPriority w:val="99"/>
    <w:semiHidden/>
    <w:unhideWhenUsed/>
    <w:rsid w:val="0013590C"/>
    <w:pPr>
      <w:spacing w:line="240" w:lineRule="auto"/>
    </w:pPr>
    <w:rPr>
      <w:sz w:val="20"/>
      <w:szCs w:val="20"/>
    </w:rPr>
  </w:style>
  <w:style w:type="character" w:customStyle="1" w:styleId="CommentTextChar">
    <w:name w:val="Comment Text Char"/>
    <w:basedOn w:val="DefaultParagraphFont"/>
    <w:link w:val="CommentText"/>
    <w:uiPriority w:val="99"/>
    <w:semiHidden/>
    <w:rsid w:val="0013590C"/>
    <w:rPr>
      <w:rFonts w:ascii="Arial" w:eastAsia="Arial" w:hAnsi="Arial" w:cs="Arial"/>
      <w:color w:val="1F1F1C"/>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13590C"/>
    <w:rPr>
      <w:b/>
      <w:bCs/>
    </w:rPr>
  </w:style>
  <w:style w:type="character" w:customStyle="1" w:styleId="CommentSubjectChar">
    <w:name w:val="Comment Subject Char"/>
    <w:basedOn w:val="CommentTextChar"/>
    <w:link w:val="CommentSubject"/>
    <w:uiPriority w:val="99"/>
    <w:semiHidden/>
    <w:rsid w:val="0013590C"/>
    <w:rPr>
      <w:rFonts w:ascii="Arial" w:eastAsia="Arial" w:hAnsi="Arial" w:cs="Arial"/>
      <w:b/>
      <w:bCs/>
      <w:color w:val="1F1F1C"/>
      <w:sz w:val="20"/>
      <w:szCs w:val="20"/>
      <w:lang w:val="en-GB" w:eastAsia="en-GB" w:bidi="en-GB"/>
    </w:rPr>
  </w:style>
  <w:style w:type="paragraph" w:styleId="Revision">
    <w:name w:val="Revision"/>
    <w:hidden/>
    <w:uiPriority w:val="99"/>
    <w:semiHidden/>
    <w:rsid w:val="0013590C"/>
    <w:pPr>
      <w:spacing w:after="0" w:line="240" w:lineRule="auto"/>
    </w:pPr>
    <w:rPr>
      <w:rFonts w:ascii="Arial" w:eastAsia="Arial" w:hAnsi="Arial" w:cs="Arial"/>
      <w:color w:val="1F1F1C"/>
      <w:sz w:val="21"/>
      <w:lang w:val="en-GB" w:eastAsia="en-GB" w:bidi="en-GB"/>
    </w:rPr>
  </w:style>
  <w:style w:type="character" w:styleId="FollowedHyperlink">
    <w:name w:val="FollowedHyperlink"/>
    <w:basedOn w:val="DefaultParagraphFont"/>
    <w:uiPriority w:val="99"/>
    <w:semiHidden/>
    <w:unhideWhenUsed/>
    <w:rsid w:val="008C0F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089/9781513533308.068" TargetMode="External"/><Relationship Id="rId18" Type="http://schemas.openxmlformats.org/officeDocument/2006/relationships/hyperlink" Target="https://www.auspayplus.com.au/wp-content/uploads/2024/10/NPP-Regulations-v21.0_Public_version.pdf" TargetMode="External"/><Relationship Id="rId26" Type="http://schemas.openxmlformats.org/officeDocument/2006/relationships/hyperlink" Target="https://kingyewchoo.co.uk/" TargetMode="External"/><Relationship Id="rId39" Type="http://schemas.openxmlformats.org/officeDocument/2006/relationships/customXml" Target="../customXml/item3.xml"/><Relationship Id="rId21" Type="http://schemas.openxmlformats.org/officeDocument/2006/relationships/hyperlink" Target="https://docs.stripe.com/api/idempotent_requests" TargetMode="External"/><Relationship Id="rId34" Type="http://schemas.openxmlformats.org/officeDocument/2006/relationships/footer" Target="footer3.xml"/><Relationship Id="rId7" Type="http://schemas.openxmlformats.org/officeDocument/2006/relationships/hyperlink" Target="https://kingyewchoo.co.uk" TargetMode="External"/><Relationship Id="rId12" Type="http://schemas.openxmlformats.org/officeDocument/2006/relationships/hyperlink" Target="https://doi.org/10.2139/ssrn.6928639" TargetMode="External"/><Relationship Id="rId17" Type="http://schemas.openxmlformats.org/officeDocument/2006/relationships/hyperlink" Target="https://www.auspayplus.com.au/wp-content/uploads/2026/07/NPP-Product-Rules-v.29_Redacted.pdf" TargetMode="External"/><Relationship Id="rId25" Type="http://schemas.openxmlformats.org/officeDocument/2006/relationships/hyperlink" Target="https://asic.gov.au/regulatory-resources/financial-services/epayments-code/" TargetMode="External"/><Relationship Id="rId33" Type="http://schemas.openxmlformats.org/officeDocument/2006/relationships/header" Target="header3.xml"/><Relationship Id="rId38"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rba.gov.au/payments-and-infrastructure/debit-cards/expectations-on-tokenisation/" TargetMode="External"/><Relationship Id="rId20" Type="http://schemas.openxmlformats.org/officeDocument/2006/relationships/hyperlink" Target="https://www.nab.com.au/news/technology-ai/amazon-payto"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pers.ssrn.com/sol3/papers.cfm?abstract_id=6928639" TargetMode="External"/><Relationship Id="rId24" Type="http://schemas.openxmlformats.org/officeDocument/2006/relationships/hyperlink" Target="https://developer.squareup.com/docs/build-basics/common-api-patterns/idempotency" TargetMode="External"/><Relationship Id="rId32" Type="http://schemas.openxmlformats.org/officeDocument/2006/relationships/footer" Target="footer2.xml"/><Relationship Id="rId37" Type="http://schemas.openxmlformats.org/officeDocument/2006/relationships/customXml" Target="../customXml/item1.xml"/><Relationship Id="rId40"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hyperlink" Target="https://www.rba.gov.au/payments-and-infrastructure/regulatory-reviews/review-of-payments-system-regulation-2026/2026-06/" TargetMode="External"/><Relationship Id="rId23" Type="http://schemas.openxmlformats.org/officeDocument/2006/relationships/hyperlink" Target="https://docs.adyen.com/development-resources/api-idempotency" TargetMode="External"/><Relationship Id="rId28" Type="http://schemas.openxmlformats.org/officeDocument/2006/relationships/hyperlink" Target="https://doi.org/10.5089/9781513533308.068" TargetMode="External"/><Relationship Id="rId36" Type="http://schemas.openxmlformats.org/officeDocument/2006/relationships/theme" Target="theme/theme1.xml"/><Relationship Id="rId10" Type="http://schemas.openxmlformats.org/officeDocument/2006/relationships/hyperlink" Target="https://kingyewchoo.co.uk/" TargetMode="External"/><Relationship Id="rId19" Type="http://schemas.openxmlformats.org/officeDocument/2006/relationships/hyperlink" Target="https://www.auspayplus.com.au/solutions/payto-for-consumer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kingyewchoo.co.uk" TargetMode="External"/><Relationship Id="rId14" Type="http://schemas.openxmlformats.org/officeDocument/2006/relationships/hyperlink" Target="https://kingyewchoo.co.uk/" TargetMode="External"/><Relationship Id="rId22" Type="http://schemas.openxmlformats.org/officeDocument/2006/relationships/hyperlink" Target="https://developer.paypal.com/api/rest/reference/idempotency/" TargetMode="External"/><Relationship Id="rId27" Type="http://schemas.openxmlformats.org/officeDocument/2006/relationships/hyperlink" Target="https://doi.org/10.2139/ssrn.6928639"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mailto:pysubmissions@rba.gov.au"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hyperlink" Target="https://kingyewc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474D5961133C4EAB4E06A228DFEE58" ma:contentTypeVersion="3" ma:contentTypeDescription="Create a new document." ma:contentTypeScope="" ma:versionID="9fcd54684af4bc2e3e12fba3d2ee663e">
  <xsd:schema xmlns:xsd="http://www.w3.org/2001/XMLSchema" xmlns:xs="http://www.w3.org/2001/XMLSchema" xmlns:p="http://schemas.microsoft.com/office/2006/metadata/properties" xmlns:ns2="83822f4d-e4c0-48bf-b768-841e5f404804" xmlns:ns3="a2aa19ac-7254-4672-b5f3-36bb7be1aecc" targetNamespace="http://schemas.microsoft.com/office/2006/metadata/properties" ma:root="true" ma:fieldsID="406ff5dc5739e50793881089d6d6d05a" ns2:_="" ns3:_="">
    <xsd:import namespace="83822f4d-e4c0-48bf-b768-841e5f404804"/>
    <xsd:import namespace="a2aa19ac-7254-4672-b5f3-36bb7be1ae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22f4d-e4c0-48bf-b768-841e5f404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a19ac-7254-4672-b5f3-36bb7be1aec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2aa19ac-7254-4672-b5f3-36bb7be1aecc">W5QWCE3MWNWV-1111276950-130</_dlc_DocId>
    <_dlc_DocIdUrl xmlns="a2aa19ac-7254-4672-b5f3-36bb7be1aecc">
      <Url>https://rbaau.sharepoint.com/sites/py-rrpr/_layouts/15/DocIdRedir.aspx?ID=W5QWCE3MWNWV-1111276950-130</Url>
      <Description>W5QWCE3MWNWV-1111276950-130</Description>
    </_dlc_DocIdUrl>
  </documentManagement>
</p:properties>
</file>

<file path=customXml/itemProps1.xml><?xml version="1.0" encoding="utf-8"?>
<ds:datastoreItem xmlns:ds="http://schemas.openxmlformats.org/officeDocument/2006/customXml" ds:itemID="{7796C968-F599-4A33-BF1B-B0E211E5E6AE}"/>
</file>

<file path=customXml/itemProps2.xml><?xml version="1.0" encoding="utf-8"?>
<ds:datastoreItem xmlns:ds="http://schemas.openxmlformats.org/officeDocument/2006/customXml" ds:itemID="{D11D6440-2655-4E12-9D00-72E7F30DB9F7}"/>
</file>

<file path=customXml/itemProps3.xml><?xml version="1.0" encoding="utf-8"?>
<ds:datastoreItem xmlns:ds="http://schemas.openxmlformats.org/officeDocument/2006/customXml" ds:itemID="{98269F0C-6F75-4FD2-AF47-035D79802A9A}"/>
</file>

<file path=customXml/itemProps4.xml><?xml version="1.0" encoding="utf-8"?>
<ds:datastoreItem xmlns:ds="http://schemas.openxmlformats.org/officeDocument/2006/customXml" ds:itemID="{1D9735D7-A623-4CE2-A98E-CAF3D4CE6AAE}"/>
</file>

<file path=docProps/app.xml><?xml version="1.0" encoding="utf-8"?>
<Properties xmlns="http://schemas.openxmlformats.org/officeDocument/2006/extended-properties" xmlns:vt="http://schemas.openxmlformats.org/officeDocument/2006/docPropsVTypes">
  <Template>Normal.dotm</Template>
  <TotalTime>1</TotalTime>
  <Pages>8</Pages>
  <Words>2653</Words>
  <Characters>15842</Characters>
  <Application>Microsoft Office Word</Application>
  <DocSecurity>0</DocSecurity>
  <Lines>282</Lines>
  <Paragraphs>114</Paragraphs>
  <ScaleCrop>false</ScaleCrop>
  <HeadingPairs>
    <vt:vector size="2" baseType="variant">
      <vt:variant>
        <vt:lpstr>Title</vt:lpstr>
      </vt:variant>
      <vt:variant>
        <vt:i4>1</vt:i4>
      </vt:variant>
    </vt:vector>
  </HeadingPairs>
  <TitlesOfParts>
    <vt:vector size="1" baseType="lpstr">
      <vt:lpstr>Response to the Reserve Bank of Australia's Review of Payments System Regulation, Issues Paper, June 2026</vt:lpstr>
    </vt:vector>
  </TitlesOfParts>
  <Manager/>
  <Company/>
  <LinksUpToDate>false</LinksUpToDate>
  <CharactersWithSpaces>18381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to the Reserve Bank of Australia's Review of Payments System Regulation, Issues Paper, June 2026</dc:title>
  <dc:subject>Personal submission on Questions 6 and 19</dc:subject>
  <dc:creator>King Yew Choo</dc:creator>
  <cp:keywords>RBA, payments system regulation, AI agents, PayTo, idempotency</cp:keywords>
  <dc:description>Non-confidential submission provided for publication in full.</dc:description>
  <cp:lastModifiedBy>King Yew Choo</cp:lastModifiedBy>
  <cp:revision>3</cp:revision>
  <dcterms:created xsi:type="dcterms:W3CDTF">2026-08-04T14:10:00Z</dcterms:created>
  <dcterms:modified xsi:type="dcterms:W3CDTF">2026-08-04T15:20:00Z</dcterms:modified>
  <cp:category>Public consultation submission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0x010100C6474D5961133C4EAB4E06A228DFEE58</vt:lpwstr>
  </property>
  <property fmtid="{D5CDD505-2E9C-101B-9397-08002B2CF9AE}" pid="3" name="_dlc_DocIdItemGuid">
    <vt:lpwstr>557a9287-edd0-439d-9785-dc5b83409674</vt:lpwstr>
  </property>
</Properties>
</file>