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bCs w:val="1"/>
          <w:sz w:val="27"/>
          <w:szCs w:val="27"/>
        </w:rPr>
      </w:pPr>
      <w:r w:rsidDel="00000000" w:rsidR="00000000" w:rsidRPr="00000000">
        <w:rPr>
          <w:rFonts w:ascii="Google Sans" w:cs="Google Sans" w:eastAsia="Google Sans" w:hAnsi="Google Sans"/>
        </w:rPr>
        <w:drawing>
          <wp:inline distB="114300" distT="114300" distL="114300" distR="114300">
            <wp:extent cx="2141538" cy="71675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41538" cy="71675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hd w:fill="ffffff" w:val="clear"/>
        <w:spacing w:before="400" w:lineRule="auto"/>
        <w:jc w:val="center"/>
        <w:rPr>
          <w:b w:val="1"/>
          <w:bCs w:val="1"/>
          <w:sz w:val="27"/>
          <w:szCs w:val="27"/>
        </w:rPr>
      </w:pPr>
      <w:r w:rsidDel="00000000" w:rsidR="00000000" w:rsidRPr="00000000">
        <w:rPr>
          <w:b w:val="1"/>
          <w:bCs w:val="1"/>
          <w:sz w:val="27"/>
          <w:szCs w:val="27"/>
          <w:rtl w:val="0"/>
        </w:rPr>
        <w:t xml:space="preserve">Google Submission on the Review of Payments System Regulation Issues Paper June 2026 </w:t>
      </w:r>
    </w:p>
    <w:p w:rsidR="00000000" w:rsidDel="00000000" w:rsidP="00000000" w:rsidRDefault="00000000" w:rsidRPr="00000000" w14:paraId="00000003">
      <w:pPr>
        <w:shd w:fill="ffffff" w:val="clear"/>
        <w:spacing w:before="400" w:lineRule="auto"/>
        <w:rPr>
          <w:rFonts w:ascii="Google Sans" w:cs="Google Sans" w:eastAsia="Google Sans" w:hAnsi="Google Sans"/>
          <w:color w:val="1f1f1f"/>
          <w:highlight w:val="white"/>
        </w:rPr>
      </w:pPr>
      <w:r w:rsidDel="00000000" w:rsidR="00000000" w:rsidRPr="00000000">
        <w:rPr>
          <w:rFonts w:ascii="Google Sans" w:cs="Google Sans" w:eastAsia="Google Sans" w:hAnsi="Google Sans"/>
          <w:color w:val="1f1f1f"/>
          <w:highlight w:val="white"/>
          <w:rtl w:val="0"/>
        </w:rPr>
        <w:t xml:space="preserve">Thank you for the opportunity to respond to the </w:t>
      </w:r>
      <w:r w:rsidDel="00000000" w:rsidR="00000000" w:rsidRPr="00000000">
        <w:rPr>
          <w:rFonts w:ascii="Google Sans" w:cs="Google Sans" w:eastAsia="Google Sans" w:hAnsi="Google Sans"/>
          <w:i w:val="1"/>
          <w:iCs w:val="1"/>
          <w:color w:val="1f1f1f"/>
          <w:highlight w:val="white"/>
          <w:rtl w:val="0"/>
        </w:rPr>
        <w:t xml:space="preserve">Review of Payments System Regulation - Issues Paper June 2026</w:t>
      </w:r>
      <w:r w:rsidDel="00000000" w:rsidR="00000000" w:rsidRPr="00000000">
        <w:rPr>
          <w:rFonts w:ascii="Google Sans" w:cs="Google Sans" w:eastAsia="Google Sans" w:hAnsi="Google Sans"/>
          <w:color w:val="1f1f1f"/>
          <w:highlight w:val="white"/>
          <w:rtl w:val="0"/>
        </w:rPr>
        <w:t xml:space="preserve"> (</w:t>
      </w:r>
      <w:r w:rsidDel="00000000" w:rsidR="00000000" w:rsidRPr="00000000">
        <w:rPr>
          <w:rFonts w:ascii="Google Sans" w:cs="Google Sans" w:eastAsia="Google Sans" w:hAnsi="Google Sans"/>
          <w:b w:val="1"/>
          <w:bCs w:val="1"/>
          <w:color w:val="1f1f1f"/>
          <w:highlight w:val="white"/>
          <w:rtl w:val="0"/>
        </w:rPr>
        <w:t xml:space="preserve">Issues Paper</w:t>
      </w:r>
      <w:r w:rsidDel="00000000" w:rsidR="00000000" w:rsidRPr="00000000">
        <w:rPr>
          <w:rFonts w:ascii="Google Sans" w:cs="Google Sans" w:eastAsia="Google Sans" w:hAnsi="Google Sans"/>
          <w:color w:val="1f1f1f"/>
          <w:highlight w:val="white"/>
          <w:rtl w:val="0"/>
        </w:rPr>
        <w:t xml:space="preserve">). </w:t>
      </w:r>
    </w:p>
    <w:p w:rsidR="00000000" w:rsidDel="00000000" w:rsidP="00000000" w:rsidRDefault="00000000" w:rsidRPr="00000000" w14:paraId="00000004">
      <w:pPr>
        <w:shd w:fill="ffffff" w:val="clear"/>
        <w:spacing w:before="400" w:lineRule="auto"/>
        <w:rPr>
          <w:rFonts w:ascii="Google Sans" w:cs="Google Sans" w:eastAsia="Google Sans" w:hAnsi="Google Sans"/>
          <w:color w:val="1f1f1f"/>
          <w:highlight w:val="white"/>
        </w:rPr>
      </w:pPr>
      <w:r w:rsidDel="00000000" w:rsidR="00000000" w:rsidRPr="00000000">
        <w:rPr>
          <w:rFonts w:ascii="Google Sans" w:cs="Google Sans" w:eastAsia="Google Sans" w:hAnsi="Google Sans"/>
          <w:color w:val="1f1f1f"/>
          <w:highlight w:val="white"/>
          <w:rtl w:val="0"/>
        </w:rPr>
        <w:t xml:space="preserve">Our submission below provides short submissions in response to the following issues: </w:t>
      </w:r>
    </w:p>
    <w:p w:rsidR="00000000" w:rsidDel="00000000" w:rsidP="00000000" w:rsidRDefault="00000000" w:rsidRPr="00000000" w14:paraId="00000005">
      <w:pPr>
        <w:numPr>
          <w:ilvl w:val="0"/>
          <w:numId w:val="3"/>
        </w:numPr>
        <w:shd w:fill="ffffff" w:val="clear"/>
        <w:spacing w:after="0" w:afterAutospacing="0" w:before="400" w:lineRule="auto"/>
        <w:ind w:left="720" w:hanging="360"/>
        <w:rPr>
          <w:rFonts w:ascii="Google Sans" w:cs="Google Sans" w:eastAsia="Google Sans" w:hAnsi="Google Sans"/>
          <w:color w:val="1f1f1f"/>
          <w:highlight w:val="white"/>
        </w:rPr>
      </w:pPr>
      <w:r w:rsidDel="00000000" w:rsidR="00000000" w:rsidRPr="00000000">
        <w:rPr>
          <w:rFonts w:ascii="Google Sans" w:cs="Google Sans" w:eastAsia="Google Sans" w:hAnsi="Google Sans"/>
          <w:color w:val="1f1f1f"/>
          <w:highlight w:val="white"/>
          <w:rtl w:val="0"/>
        </w:rPr>
        <w:t xml:space="preserve">Google’s experience in implementing Least Cost Routing; </w:t>
      </w:r>
    </w:p>
    <w:p w:rsidR="00000000" w:rsidDel="00000000" w:rsidP="00000000" w:rsidRDefault="00000000" w:rsidRPr="00000000" w14:paraId="00000006">
      <w:pPr>
        <w:numPr>
          <w:ilvl w:val="0"/>
          <w:numId w:val="3"/>
        </w:numPr>
        <w:shd w:fill="ffffff" w:val="clear"/>
        <w:spacing w:after="0" w:afterAutospacing="0" w:before="0" w:beforeAutospacing="0" w:lineRule="auto"/>
        <w:ind w:left="720" w:hanging="360"/>
        <w:rPr>
          <w:rFonts w:ascii="Google Sans" w:cs="Google Sans" w:eastAsia="Google Sans" w:hAnsi="Google Sans"/>
          <w:color w:val="1f1f1f"/>
          <w:highlight w:val="white"/>
        </w:rPr>
      </w:pPr>
      <w:r w:rsidDel="00000000" w:rsidR="00000000" w:rsidRPr="00000000">
        <w:rPr>
          <w:rFonts w:ascii="Google Sans" w:cs="Google Sans" w:eastAsia="Google Sans" w:hAnsi="Google Sans"/>
          <w:color w:val="1f1f1f"/>
          <w:highlight w:val="white"/>
          <w:rtl w:val="0"/>
        </w:rPr>
        <w:t xml:space="preserve">Enabling Account to Account Payments in Google Pay or Digital Wallets; and</w:t>
      </w:r>
    </w:p>
    <w:p w:rsidR="00000000" w:rsidDel="00000000" w:rsidP="00000000" w:rsidRDefault="00000000" w:rsidRPr="00000000" w14:paraId="00000007">
      <w:pPr>
        <w:numPr>
          <w:ilvl w:val="0"/>
          <w:numId w:val="3"/>
        </w:numPr>
        <w:shd w:fill="ffffff" w:val="clear"/>
        <w:spacing w:before="0" w:beforeAutospacing="0" w:lineRule="auto"/>
        <w:ind w:left="720" w:hanging="360"/>
        <w:rPr>
          <w:rFonts w:ascii="Google Sans" w:cs="Google Sans" w:eastAsia="Google Sans" w:hAnsi="Google Sans"/>
          <w:color w:val="1f1f1f"/>
          <w:highlight w:val="white"/>
        </w:rPr>
      </w:pPr>
      <w:r w:rsidDel="00000000" w:rsidR="00000000" w:rsidRPr="00000000">
        <w:rPr>
          <w:rFonts w:ascii="Google Sans" w:cs="Google Sans" w:eastAsia="Google Sans" w:hAnsi="Google Sans"/>
          <w:color w:val="1f1f1f"/>
          <w:highlight w:val="white"/>
          <w:rtl w:val="0"/>
        </w:rPr>
        <w:t xml:space="preserve">Use of AI Agents in payments and the importance of taking a methodical and evidence based approach to regulation.</w:t>
      </w:r>
    </w:p>
    <w:p w:rsidR="00000000" w:rsidDel="00000000" w:rsidP="00000000" w:rsidRDefault="00000000" w:rsidRPr="00000000" w14:paraId="00000008">
      <w:pPr>
        <w:shd w:fill="ffffff" w:val="clear"/>
        <w:spacing w:before="400" w:lineRule="auto"/>
        <w:rPr>
          <w:rFonts w:ascii="Google Sans" w:cs="Google Sans" w:eastAsia="Google Sans" w:hAnsi="Google Sans"/>
          <w:color w:val="1f1f1f"/>
          <w:highlight w:val="white"/>
        </w:rPr>
      </w:pPr>
      <w:r w:rsidDel="00000000" w:rsidR="00000000" w:rsidRPr="00000000">
        <w:rPr>
          <w:rFonts w:ascii="Google Sans" w:cs="Google Sans" w:eastAsia="Google Sans" w:hAnsi="Google Sans"/>
          <w:color w:val="1f1f1f"/>
          <w:highlight w:val="white"/>
          <w:rtl w:val="0"/>
        </w:rPr>
        <w:t xml:space="preserve">If you require further information on the below, or on any other issue identified in the Issue Paper, please let us know. </w:t>
      </w:r>
    </w:p>
    <w:p w:rsidR="00000000" w:rsidDel="00000000" w:rsidP="00000000" w:rsidRDefault="00000000" w:rsidRPr="00000000" w14:paraId="00000009">
      <w:pPr>
        <w:rPr>
          <w:rFonts w:ascii="Google Sans" w:cs="Google Sans" w:eastAsia="Google Sans" w:hAnsi="Google Sans"/>
          <w:b w:val="1"/>
          <w:bCs w:val="1"/>
          <w:color w:val="1f1f1f"/>
          <w:sz w:val="26"/>
          <w:szCs w:val="26"/>
          <w:highlight w:val="white"/>
        </w:rPr>
      </w:pPr>
      <w:r w:rsidDel="00000000" w:rsidR="00000000" w:rsidRPr="00000000">
        <w:rPr>
          <w:rtl w:val="0"/>
        </w:rPr>
      </w:r>
    </w:p>
    <w:p w:rsidR="00000000" w:rsidDel="00000000" w:rsidP="00000000" w:rsidRDefault="00000000" w:rsidRPr="00000000" w14:paraId="0000000A">
      <w:pPr>
        <w:rPr>
          <w:rFonts w:ascii="Google Sans" w:cs="Google Sans" w:eastAsia="Google Sans" w:hAnsi="Google Sans"/>
          <w:b w:val="1"/>
          <w:bCs w:val="1"/>
          <w:highlight w:val="yellow"/>
        </w:rPr>
      </w:pPr>
      <w:r w:rsidDel="00000000" w:rsidR="00000000" w:rsidRPr="00000000">
        <w:rPr>
          <w:rFonts w:ascii="Google Sans" w:cs="Google Sans" w:eastAsia="Google Sans" w:hAnsi="Google Sans"/>
          <w:b w:val="1"/>
          <w:bCs w:val="1"/>
          <w:sz w:val="24"/>
          <w:szCs w:val="24"/>
          <w:rtl w:val="0"/>
        </w:rPr>
        <w:t xml:space="preserve">Merchant Choice in Payments (Section 2.1 of Issues Paper) - Implementation of Least Cost Routing</w:t>
      </w:r>
      <w:r w:rsidDel="00000000" w:rsidR="00000000" w:rsidRPr="00000000">
        <w:rPr>
          <w:rtl w:val="0"/>
        </w:rPr>
      </w:r>
    </w:p>
    <w:p w:rsidR="00000000" w:rsidDel="00000000" w:rsidP="00000000" w:rsidRDefault="00000000" w:rsidRPr="00000000" w14:paraId="0000000B">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C">
      <w:pPr>
        <w:rPr>
          <w:rFonts w:ascii="Google Sans" w:cs="Google Sans" w:eastAsia="Google Sans" w:hAnsi="Google Sans"/>
        </w:rPr>
      </w:pPr>
      <w:r w:rsidDel="00000000" w:rsidR="00000000" w:rsidRPr="00000000">
        <w:rPr>
          <w:rFonts w:ascii="Google Sans" w:cs="Google Sans" w:eastAsia="Google Sans" w:hAnsi="Google Sans"/>
          <w:rtl w:val="0"/>
        </w:rPr>
        <w:t xml:space="preserve">Google has invested significantly over the last few years to support the RBA’s effort to promote competition and efficiency across debit card networks by expecting large debit card issuers to issue dual-network debit cards (DNDCs) and acquirers to enable least-cost routing (LCR) for merchants. Good progress has been made by Australian Payments Plus (AP+) in having issuers certified to enable the addition of an eftpos token to Google Wallet, along with a Visa or Mastercard token, when DNDCs are manually provisioned in the Google Wallet app. However,  competing priorities of both issuers and Australian Payments Plus (AP+) has slowed progress in enabling this for cards added from the issuer’s own app (“push provisioning”) and for adding eftpos tokens to cards that were already provisioned prior to the introduction of dual-network debit cards. As a result, further work in this area is unlikely to substantially progress before 2027.</w:t>
      </w:r>
    </w:p>
    <w:p w:rsidR="00000000" w:rsidDel="00000000" w:rsidP="00000000" w:rsidRDefault="00000000" w:rsidRPr="00000000" w14:paraId="0000000D">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E">
      <w:pPr>
        <w:rPr>
          <w:rFonts w:ascii="Google Sans" w:cs="Google Sans" w:eastAsia="Google Sans" w:hAnsi="Google Sans"/>
        </w:rPr>
      </w:pPr>
      <w:r w:rsidDel="00000000" w:rsidR="00000000" w:rsidRPr="00000000">
        <w:rPr>
          <w:rFonts w:ascii="Google Sans" w:cs="Google Sans" w:eastAsia="Google Sans" w:hAnsi="Google Sans"/>
          <w:rtl w:val="0"/>
        </w:rPr>
        <w:t xml:space="preserve">To make LCR available for  online transactions, Google formulated its approach to updating the fields in its APIs in 2025 and also sought review of this approach by other  ecosystem stakeholders including Payment Service Providers, major merchants and AP+. That work has now been completed . We appreciate AP+ commitment  in 2026 to also update its APIs and make changes to the ecommerce settings on existing tokens so that once completed, both new and existing tokens will be able to be routed to eftpos in future Google Pay online transactions.</w:t>
      </w:r>
    </w:p>
    <w:p w:rsidR="00000000" w:rsidDel="00000000" w:rsidP="00000000" w:rsidRDefault="00000000" w:rsidRPr="00000000" w14:paraId="0000000F">
      <w:pPr>
        <w:rPr>
          <w:b w:val="1"/>
          <w:bCs w:val="1"/>
          <w:sz w:val="26"/>
          <w:szCs w:val="26"/>
        </w:rPr>
      </w:pPr>
      <w:r w:rsidDel="00000000" w:rsidR="00000000" w:rsidRPr="00000000">
        <w:rPr>
          <w:rtl w:val="0"/>
        </w:rPr>
      </w:r>
    </w:p>
    <w:p w:rsidR="00000000" w:rsidDel="00000000" w:rsidP="00000000" w:rsidRDefault="00000000" w:rsidRPr="00000000" w14:paraId="00000010">
      <w:pPr>
        <w:rPr>
          <w:i w:val="1"/>
          <w:iCs w:val="1"/>
          <w:highlight w:val="yellow"/>
        </w:rPr>
      </w:pPr>
      <w:r w:rsidDel="00000000" w:rsidR="00000000" w:rsidRPr="00000000">
        <w:rPr>
          <w:rFonts w:ascii="Google Sans" w:cs="Google Sans" w:eastAsia="Google Sans" w:hAnsi="Google Sans"/>
          <w:b w:val="1"/>
          <w:bCs w:val="1"/>
          <w:sz w:val="26"/>
          <w:szCs w:val="26"/>
          <w:rtl w:val="0"/>
        </w:rPr>
        <w:t xml:space="preserve">Account to Account Payments (Section 4 of the Issues Paper)</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Google Sans" w:cs="Google Sans" w:eastAsia="Google Sans" w:hAnsi="Google Sans"/>
        </w:rPr>
      </w:pPr>
      <w:r w:rsidDel="00000000" w:rsidR="00000000" w:rsidRPr="00000000">
        <w:rPr>
          <w:rFonts w:ascii="Google Sans" w:cs="Google Sans" w:eastAsia="Google Sans" w:hAnsi="Google Sans"/>
          <w:rtl w:val="0"/>
        </w:rPr>
        <w:t xml:space="preserve">Google has enabled account to account payments (</w:t>
      </w:r>
      <w:r w:rsidDel="00000000" w:rsidR="00000000" w:rsidRPr="00000000">
        <w:rPr>
          <w:rFonts w:ascii="Google Sans" w:cs="Google Sans" w:eastAsia="Google Sans" w:hAnsi="Google Sans"/>
          <w:b w:val="1"/>
          <w:bCs w:val="1"/>
          <w:rtl w:val="0"/>
        </w:rPr>
        <w:t xml:space="preserve">A2A Payments</w:t>
      </w:r>
      <w:r w:rsidDel="00000000" w:rsidR="00000000" w:rsidRPr="00000000">
        <w:rPr>
          <w:rFonts w:ascii="Google Sans" w:cs="Google Sans" w:eastAsia="Google Sans" w:hAnsi="Google Sans"/>
          <w:rtl w:val="0"/>
        </w:rPr>
        <w:t xml:space="preserve">) in countries where there is high user adoption of A2A Payments.  For example in Singapore, Google Pay facilitates offline Peer-to-Peer and Peer-to-Merchant Payments on PayNow through linkages with local banks. PayNow covers over 90% of Singapore’s population and businesses. In 2024 we added </w:t>
      </w:r>
      <w:r w:rsidDel="00000000" w:rsidR="00000000" w:rsidRPr="00000000">
        <w:rPr>
          <w:rFonts w:ascii="Google Sans" w:cs="Google Sans" w:eastAsia="Google Sans" w:hAnsi="Google Sans"/>
          <w:color w:val="202124"/>
          <w:rtl w:val="0"/>
        </w:rPr>
        <w:t xml:space="preserve">Pix, Brazil’s most popular payment format, to Google Pay and a year later launched functionality for Pix on Chrome for easier ecommerce checkouts, and integrated Pix QR code scanning directly into Google Lens</w:t>
      </w:r>
      <w:r w:rsidDel="00000000" w:rsidR="00000000" w:rsidRPr="00000000">
        <w:rPr>
          <w:rFonts w:ascii="Google Sans" w:cs="Google Sans" w:eastAsia="Google Sans" w:hAnsi="Google Sans"/>
          <w:rtl w:val="0"/>
        </w:rPr>
        <w:t xml:space="preserve">.</w:t>
      </w:r>
    </w:p>
    <w:p w:rsidR="00000000" w:rsidDel="00000000" w:rsidP="00000000" w:rsidRDefault="00000000" w:rsidRPr="00000000" w14:paraId="00000013">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4">
      <w:pPr>
        <w:rPr>
          <w:b w:val="1"/>
          <w:bCs w:val="1"/>
          <w:sz w:val="26"/>
          <w:szCs w:val="26"/>
        </w:rPr>
      </w:pPr>
      <w:r w:rsidDel="00000000" w:rsidR="00000000" w:rsidRPr="00000000">
        <w:rPr>
          <w:rFonts w:ascii="Google Sans" w:cs="Google Sans" w:eastAsia="Google Sans" w:hAnsi="Google Sans"/>
          <w:rtl w:val="0"/>
        </w:rPr>
        <w:t xml:space="preserve">We continue to monitor the development and use of PayTo in Australia. We have received feedback from some merchants and PSPs that they are not currently comfortable with the chargeback and refund functionality of PayTo because unlike credit card chargebacks where the bank generally defaults to refunding the customer, a PayTo claim triggers a mandate claim  under section 17.10 of the New Payments Platform (NPP) regulations.  For it to succeed it will be important that it is widely welcomed and adopted by both the user user and the Australian merchant ecosystem.</w:t>
      </w:r>
      <w:r w:rsidDel="00000000" w:rsidR="00000000" w:rsidRPr="00000000">
        <w:rPr>
          <w:rtl w:val="0"/>
        </w:rPr>
      </w:r>
    </w:p>
    <w:p w:rsidR="00000000" w:rsidDel="00000000" w:rsidP="00000000" w:rsidRDefault="00000000" w:rsidRPr="00000000" w14:paraId="00000015">
      <w:pPr>
        <w:rPr>
          <w:b w:val="1"/>
          <w:bCs w:val="1"/>
          <w:sz w:val="26"/>
          <w:szCs w:val="26"/>
        </w:rPr>
      </w:pPr>
      <w:r w:rsidDel="00000000" w:rsidR="00000000" w:rsidRPr="00000000">
        <w:rPr>
          <w:rtl w:val="0"/>
        </w:rPr>
      </w:r>
    </w:p>
    <w:p w:rsidR="00000000" w:rsidDel="00000000" w:rsidP="00000000" w:rsidRDefault="00000000" w:rsidRPr="00000000" w14:paraId="00000016">
      <w:pPr>
        <w:rPr>
          <w:b w:val="1"/>
          <w:bCs w:val="1"/>
          <w:sz w:val="26"/>
          <w:szCs w:val="26"/>
        </w:rPr>
      </w:pPr>
      <w:r w:rsidDel="00000000" w:rsidR="00000000" w:rsidRPr="00000000">
        <w:rPr>
          <w:b w:val="1"/>
          <w:bCs w:val="1"/>
          <w:sz w:val="26"/>
          <w:szCs w:val="26"/>
          <w:rtl w:val="0"/>
        </w:rPr>
        <w:t xml:space="preserve">Use of AI agents for payments in e-Commerce (Section 2.4 of the Issues Paper) </w:t>
      </w:r>
    </w:p>
    <w:p w:rsidR="00000000" w:rsidDel="00000000" w:rsidP="00000000" w:rsidRDefault="00000000" w:rsidRPr="00000000" w14:paraId="00000017">
      <w:pPr>
        <w:rPr>
          <w:sz w:val="23"/>
          <w:szCs w:val="23"/>
          <w:highlight w:val="yellow"/>
        </w:rPr>
      </w:pPr>
      <w:r w:rsidDel="00000000" w:rsidR="00000000" w:rsidRPr="00000000">
        <w:rPr>
          <w:rtl w:val="0"/>
        </w:rPr>
      </w:r>
    </w:p>
    <w:p w:rsidR="00000000" w:rsidDel="00000000" w:rsidP="00000000" w:rsidRDefault="00000000" w:rsidRPr="00000000" w14:paraId="00000018">
      <w:pPr>
        <w:widowControl w:val="0"/>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highlight w:val="white"/>
          <w:rtl w:val="0"/>
        </w:rPr>
        <w:t xml:space="preserve">AI agents are the next step in the evolution of AI technology. </w:t>
      </w:r>
      <w:r w:rsidDel="00000000" w:rsidR="00000000" w:rsidRPr="00000000">
        <w:rPr>
          <w:rFonts w:ascii="Google Sans" w:cs="Google Sans" w:eastAsia="Google Sans" w:hAnsi="Google Sans"/>
          <w:color w:val="1f1f1f"/>
          <w:rtl w:val="0"/>
        </w:rPr>
        <w:t xml:space="preserve">For the past several years, the public’s understanding of AI has been largely shaped by chatbots—generative models that synthesize information, answer questions, and create content. Agentic AI represents a move beyond conversational interfaces into execution engines.</w:t>
      </w:r>
    </w:p>
    <w:p w:rsidR="00000000" w:rsidDel="00000000" w:rsidP="00000000" w:rsidRDefault="00000000" w:rsidRPr="00000000" w14:paraId="00000019">
      <w:pPr>
        <w:widowControl w:val="0"/>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Currently there is no industry-wide definition for agents. We are working with organizations like OECD and standards bodies like ISO to converge on an industry-wide definition.  We define AI agents more broadly, as systems that combine the intelligence of advanced AI models with access to digital tools, empowering the agents to take actions on behalf of users, under their control.  </w:t>
      </w:r>
    </w:p>
    <w:p w:rsidR="00000000" w:rsidDel="00000000" w:rsidP="00000000" w:rsidRDefault="00000000" w:rsidRPr="00000000" w14:paraId="0000001A">
      <w:pPr>
        <w:widowControl w:val="0"/>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There are four things that characterize an agent:</w:t>
      </w:r>
    </w:p>
    <w:p w:rsidR="00000000" w:rsidDel="00000000" w:rsidP="00000000" w:rsidRDefault="00000000" w:rsidRPr="00000000" w14:paraId="0000001B">
      <w:pPr>
        <w:widowControl w:val="0"/>
        <w:numPr>
          <w:ilvl w:val="0"/>
          <w:numId w:val="2"/>
        </w:numPr>
        <w:spacing w:after="0" w:afterAutospacing="0" w:line="275.9999942779541" w:lineRule="auto"/>
        <w:ind w:left="720" w:hanging="36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gathering and remembering relevant information; </w:t>
      </w:r>
    </w:p>
    <w:p w:rsidR="00000000" w:rsidDel="00000000" w:rsidP="00000000" w:rsidRDefault="00000000" w:rsidRPr="00000000" w14:paraId="0000001C">
      <w:pPr>
        <w:widowControl w:val="0"/>
        <w:numPr>
          <w:ilvl w:val="0"/>
          <w:numId w:val="2"/>
        </w:numPr>
        <w:spacing w:after="0" w:afterAutospacing="0" w:line="275.9999942779541" w:lineRule="auto"/>
        <w:ind w:left="720" w:hanging="36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reasoning and planning multiple steps ahead;</w:t>
      </w:r>
    </w:p>
    <w:p w:rsidR="00000000" w:rsidDel="00000000" w:rsidP="00000000" w:rsidRDefault="00000000" w:rsidRPr="00000000" w14:paraId="0000001D">
      <w:pPr>
        <w:widowControl w:val="0"/>
        <w:numPr>
          <w:ilvl w:val="0"/>
          <w:numId w:val="2"/>
        </w:numPr>
        <w:spacing w:after="0" w:afterAutospacing="0" w:line="275.9999942779541" w:lineRule="auto"/>
        <w:ind w:left="720" w:hanging="36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completing complex tasks autonomously with appropriate human supervision; and</w:t>
      </w:r>
    </w:p>
    <w:p w:rsidR="00000000" w:rsidDel="00000000" w:rsidP="00000000" w:rsidRDefault="00000000" w:rsidRPr="00000000" w14:paraId="0000001E">
      <w:pPr>
        <w:widowControl w:val="0"/>
        <w:numPr>
          <w:ilvl w:val="0"/>
          <w:numId w:val="2"/>
        </w:numPr>
        <w:spacing w:after="240" w:line="275.9999942779541" w:lineRule="auto"/>
        <w:ind w:left="720" w:hanging="36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interacting with other systems and products (such as other applications or websites) to achieve users’ goals.</w:t>
      </w:r>
    </w:p>
    <w:p w:rsidR="00000000" w:rsidDel="00000000" w:rsidP="00000000" w:rsidRDefault="00000000" w:rsidRPr="00000000" w14:paraId="0000001F">
      <w:pPr>
        <w:widowControl w:val="0"/>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At the core of agentic AI are new capabilities including planning, tool use, and task execution. Agents can use the information they gather to work through a problem logically (i.e., reason); and unlike prior AI applications that only generated content, they can formulate a multi-step plan (i.e., plan), interact with other systems, tools, and websites (i.e., use tools), react to changes in their environment, and autonomously execute complex tasks with appropriate human supervision. </w:t>
      </w:r>
    </w:p>
    <w:p w:rsidR="00000000" w:rsidDel="00000000" w:rsidP="00000000" w:rsidRDefault="00000000" w:rsidRPr="00000000" w14:paraId="00000020">
      <w:pPr>
        <w:spacing w:after="240" w:before="240" w:lineRule="auto"/>
        <w:ind w:right="-27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Agentic AI is not a binary switch between purely responsive models and fully proactive systems; rather, agents’ autonomy, reasoning and planning capabilities, and goal complexity exist on a </w:t>
      </w:r>
      <w:hyperlink r:id="rId7">
        <w:r w:rsidDel="00000000" w:rsidR="00000000" w:rsidRPr="00000000">
          <w:rPr>
            <w:rFonts w:ascii="Google Sans" w:cs="Google Sans" w:eastAsia="Google Sans" w:hAnsi="Google Sans"/>
            <w:color w:val="1155cc"/>
            <w:u w:val="single"/>
            <w:rtl w:val="0"/>
          </w:rPr>
          <w:t xml:space="preserve">continuum</w:t>
        </w:r>
      </w:hyperlink>
      <w:r w:rsidDel="00000000" w:rsidR="00000000" w:rsidRPr="00000000">
        <w:rPr>
          <w:rFonts w:ascii="Google Sans" w:cs="Google Sans" w:eastAsia="Google Sans" w:hAnsi="Google Sans"/>
          <w:color w:val="1f1f1f"/>
          <w:rtl w:val="0"/>
        </w:rPr>
        <w:t xml:space="preserve">. This spectrum spans from assistants that research and curate information for human decision making, to collaborative partners acting under users’ close supervision, to advanced agents empowered to independently take actions at users’ direction.</w:t>
      </w:r>
    </w:p>
    <w:p w:rsidR="00000000" w:rsidDel="00000000" w:rsidP="00000000" w:rsidRDefault="00000000" w:rsidRPr="00000000" w14:paraId="00000021">
      <w:pPr>
        <w:spacing w:after="240" w:before="240" w:lineRule="auto"/>
        <w:ind w:right="-270"/>
        <w:rPr>
          <w:rFonts w:ascii="Google Sans" w:cs="Google Sans" w:eastAsia="Google Sans" w:hAnsi="Google Sans"/>
          <w:color w:val="1f1f1f"/>
        </w:rPr>
      </w:pPr>
      <w:r w:rsidDel="00000000" w:rsidR="00000000" w:rsidRPr="00000000">
        <w:rPr>
          <w:rFonts w:ascii="Google Sans" w:cs="Google Sans" w:eastAsia="Google Sans" w:hAnsi="Google Sans"/>
          <w:color w:val="1f1f1f"/>
          <w:highlight w:val="white"/>
          <w:rtl w:val="0"/>
        </w:rPr>
        <w:t xml:space="preserve">Agents can accelerate entrepreneurship, increase commercial transactions, and produce unprecedented gains in productivity, potentially unlocking </w:t>
      </w:r>
      <w:hyperlink r:id="rId8">
        <w:r w:rsidDel="00000000" w:rsidR="00000000" w:rsidRPr="00000000">
          <w:rPr>
            <w:rFonts w:ascii="Google Sans" w:cs="Google Sans" w:eastAsia="Google Sans" w:hAnsi="Google Sans"/>
            <w:color w:val="1155cc"/>
            <w:highlight w:val="white"/>
            <w:u w:val="single"/>
            <w:rtl w:val="0"/>
          </w:rPr>
          <w:t xml:space="preserve">trillions of dollars in economic value</w:t>
        </w:r>
      </w:hyperlink>
      <w:r w:rsidDel="00000000" w:rsidR="00000000" w:rsidRPr="00000000">
        <w:rPr>
          <w:rFonts w:ascii="Google Sans" w:cs="Google Sans" w:eastAsia="Google Sans" w:hAnsi="Google Sans"/>
          <w:color w:val="1f1f1f"/>
          <w:rtl w:val="0"/>
        </w:rPr>
        <w:t xml:space="preserve">. This new economic activity may create entirely new categories of jobs, and spur changes in how current jobs get done</w:t>
      </w:r>
      <w:r w:rsidDel="00000000" w:rsidR="00000000" w:rsidRPr="00000000">
        <w:rPr>
          <w:rFonts w:ascii="Google Sans" w:cs="Google Sans" w:eastAsia="Google Sans" w:hAnsi="Google Sans"/>
          <w:color w:val="1f1f1f"/>
          <w:highlight w:val="white"/>
          <w:rtl w:val="0"/>
        </w:rPr>
        <w:t xml:space="preserve">, and perhaps catalyze larger shifts in economic and digital ecosystems.</w:t>
      </w:r>
      <w:r w:rsidDel="00000000" w:rsidR="00000000" w:rsidRPr="00000000">
        <w:rPr>
          <w:rtl w:val="0"/>
        </w:rPr>
      </w:r>
    </w:p>
    <w:p w:rsidR="00000000" w:rsidDel="00000000" w:rsidP="00000000" w:rsidRDefault="00000000" w:rsidRPr="00000000" w14:paraId="00000022">
      <w:pPr>
        <w:pStyle w:val="Heading4"/>
        <w:spacing w:after="120" w:before="0" w:line="275.9999942779541" w:lineRule="auto"/>
        <w:rPr>
          <w:rFonts w:ascii="Google Sans" w:cs="Google Sans" w:eastAsia="Google Sans" w:hAnsi="Google Sans"/>
          <w:b w:val="1"/>
          <w:bCs w:val="1"/>
          <w:color w:val="3c78d8"/>
          <w:sz w:val="22"/>
          <w:szCs w:val="22"/>
        </w:rPr>
      </w:pPr>
      <w:r w:rsidDel="00000000" w:rsidR="00000000" w:rsidRPr="00000000">
        <w:rPr>
          <w:rFonts w:ascii="Google Sans" w:cs="Google Sans" w:eastAsia="Google Sans" w:hAnsi="Google Sans"/>
          <w:b w:val="1"/>
          <w:bCs w:val="1"/>
          <w:color w:val="3c78d8"/>
          <w:sz w:val="22"/>
          <w:szCs w:val="22"/>
          <w:rtl w:val="0"/>
        </w:rPr>
        <w:t xml:space="preserve">Transforming Digital Commerce</w:t>
      </w:r>
    </w:p>
    <w:p w:rsidR="00000000" w:rsidDel="00000000" w:rsidP="00000000" w:rsidRDefault="00000000" w:rsidRPr="00000000" w14:paraId="00000023">
      <w:pPr>
        <w:widowControl w:val="0"/>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Agentic commerce marks a shift from manual, user navigation involving searching, comparing, and authenticating across platforms, to agents that autonomously analyze merchants’ offerings at speed and scale, under a user’s direction. In an agentic future, personal AI assistants will likely communicate directly with businesses’ agents to execute complex, multi-step transactions. Consider a routine task like restocking a home pantry. Instead of a user manually browsing various grocery apps for the best prices and delivery slots, their personal agent could autonomously negotiate with multiple merchant agents, balancing real-time inventory, bulk discounts, and the user’s dietary preferences to finalize a purchase that optimizes both cost and convenience, while saving the user time. </w:t>
      </w:r>
    </w:p>
    <w:p w:rsidR="00000000" w:rsidDel="00000000" w:rsidP="00000000" w:rsidRDefault="00000000" w:rsidRPr="00000000" w14:paraId="00000024">
      <w:pPr>
        <w:widowControl w:val="0"/>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While agents can help deliver a frictionless customer experience, they can also enable new abuse and fraud vectors. Consider a high-demand product launch: 10,000 individual customers task their personal AI agents to each buy one item the moment it drops. This is great for a merchant reaching thousands of new customers. But consider the risk of one malicious scalper deploying 10,000 agents to buy the entire inventory for resale. To a traditional security system, both scenarios could look like an identical "attack." To respond to these challenges, fraud and abuse prevention mechanisms must evolve to differentiate legitimate agents’ activities. For example, </w:t>
      </w:r>
      <w:hyperlink r:id="rId9">
        <w:r w:rsidDel="00000000" w:rsidR="00000000" w:rsidRPr="00000000">
          <w:rPr>
            <w:rFonts w:ascii="Google Sans" w:cs="Google Sans" w:eastAsia="Google Sans" w:hAnsi="Google Sans"/>
            <w:color w:val="1155cc"/>
            <w:u w:val="single"/>
            <w:rtl w:val="0"/>
          </w:rPr>
          <w:t xml:space="preserve">Forensic Intelligence</w:t>
        </w:r>
      </w:hyperlink>
      <w:r w:rsidDel="00000000" w:rsidR="00000000" w:rsidRPr="00000000">
        <w:rPr>
          <w:rFonts w:ascii="Google Sans" w:cs="Google Sans" w:eastAsia="Google Sans" w:hAnsi="Google Sans"/>
          <w:color w:val="1f1f1f"/>
          <w:rtl w:val="0"/>
        </w:rPr>
        <w:t xml:space="preserve"> provides specialized protection against malicious automation, account takeovers, and payment fraud. Google has also developed a technical framework for agents identity and security, </w:t>
      </w:r>
      <w:hyperlink r:id="rId10">
        <w:r w:rsidDel="00000000" w:rsidR="00000000" w:rsidRPr="00000000">
          <w:rPr>
            <w:rFonts w:ascii="Google Sans" w:cs="Google Sans" w:eastAsia="Google Sans" w:hAnsi="Google Sans"/>
            <w:color w:val="1155cc"/>
            <w:u w:val="single"/>
            <w:rtl w:val="0"/>
          </w:rPr>
          <w:t xml:space="preserve">enabling a safe agentic web</w:t>
        </w:r>
      </w:hyperlink>
      <w:r w:rsidDel="00000000" w:rsidR="00000000" w:rsidRPr="00000000">
        <w:rPr>
          <w:rFonts w:ascii="Google Sans" w:cs="Google Sans" w:eastAsia="Google Sans" w:hAnsi="Google Sans"/>
          <w:color w:val="1f1f1f"/>
          <w:rtl w:val="0"/>
        </w:rPr>
        <w:t xml:space="preserve"> that protects users and businesses from fraud and abuse while helping deliver an autonomous and frictionless agentic commerce experience.</w:t>
      </w:r>
    </w:p>
    <w:p w:rsidR="00000000" w:rsidDel="00000000" w:rsidP="00000000" w:rsidRDefault="00000000" w:rsidRPr="00000000" w14:paraId="00000025">
      <w:pPr>
        <w:widowControl w:val="0"/>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paradigm shift also unlocks massive opportunities. It's possible to imagine a future where if a user chooses to share their unique preferences with their agent; over time their agent will learn when to flag deviations, like a merchant agent attempting a stealthy price-bait-and-switch that the user might have otherwise overlooked. </w:t>
      </w:r>
    </w:p>
    <w:p w:rsidR="00000000" w:rsidDel="00000000" w:rsidP="00000000" w:rsidRDefault="00000000" w:rsidRPr="00000000" w14:paraId="00000026">
      <w:pPr>
        <w:widowControl w:val="0"/>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Trust is a two-way street. Traditional commerce relies on Know Your Customer principles. Merchants should be able to identify malicious activities, regardless of whether those activities are mediated by an agent or not</w:t>
      </w:r>
      <w:r w:rsidDel="00000000" w:rsidR="00000000" w:rsidRPr="00000000">
        <w:rPr>
          <w:rFonts w:ascii="Google Sans" w:cs="Google Sans" w:eastAsia="Google Sans" w:hAnsi="Google Sans"/>
          <w:color w:val="444746"/>
          <w:sz w:val="21"/>
          <w:szCs w:val="21"/>
          <w:rtl w:val="0"/>
        </w:rPr>
        <w:t xml:space="preserve">.</w:t>
      </w:r>
      <w:r w:rsidDel="00000000" w:rsidR="00000000" w:rsidRPr="00000000">
        <w:rPr>
          <w:rFonts w:ascii="Google Sans" w:cs="Google Sans" w:eastAsia="Google Sans" w:hAnsi="Google Sans"/>
          <w:color w:val="1f1f1f"/>
          <w:rtl w:val="0"/>
        </w:rPr>
        <w:t xml:space="preserve"> Conversely, consumers must be able to verify the identity and legitimacy of the merchant or advertiser to avoid a spoofed storefront. This creates a “circle of trust” for the entire transaction loop. To facilitate merchant and advertiser verification, replacing uploads of physical IDs and business documents with deterministic cryptographic credentials will enable platforms to verify legitimacy in seconds with high assurance, surfacing that information to consumers (and the agents operating on their behalf,</w:t>
      </w:r>
      <w:r w:rsidDel="00000000" w:rsidR="00000000" w:rsidRPr="00000000">
        <w:rPr>
          <w:rFonts w:ascii="Google Sans" w:cs="Google Sans" w:eastAsia="Google Sans" w:hAnsi="Google Sans"/>
          <w:color w:val="444746"/>
          <w:sz w:val="21"/>
          <w:szCs w:val="21"/>
          <w:rtl w:val="0"/>
        </w:rPr>
        <w:t xml:space="preserve"> all while under their control</w:t>
      </w:r>
      <w:r w:rsidDel="00000000" w:rsidR="00000000" w:rsidRPr="00000000">
        <w:rPr>
          <w:rFonts w:ascii="Google Sans" w:cs="Google Sans" w:eastAsia="Google Sans" w:hAnsi="Google Sans"/>
          <w:color w:val="1f1f1f"/>
          <w:rtl w:val="0"/>
        </w:rPr>
        <w:t xml:space="preserve">) and making for a more secure and accountable ecosystem.  </w:t>
      </w:r>
    </w:p>
    <w:p w:rsidR="00000000" w:rsidDel="00000000" w:rsidP="00000000" w:rsidRDefault="00000000" w:rsidRPr="00000000" w14:paraId="00000027">
      <w:pPr>
        <w:widowControl w:val="0"/>
        <w:spacing w:after="240" w:before="240" w:line="275.9999942779541" w:lineRule="auto"/>
        <w:rPr>
          <w:rFonts w:ascii="Google Sans" w:cs="Google Sans" w:eastAsia="Google Sans" w:hAnsi="Google Sans"/>
          <w:color w:val="1f1f1f"/>
          <w:sz w:val="20"/>
          <w:szCs w:val="20"/>
        </w:rPr>
      </w:pPr>
      <w:r w:rsidDel="00000000" w:rsidR="00000000" w:rsidRPr="00000000">
        <w:rPr>
          <w:rFonts w:ascii="Google Sans" w:cs="Google Sans" w:eastAsia="Google Sans" w:hAnsi="Google Sans"/>
          <w:color w:val="1f1f1f"/>
          <w:shd w:fill="fdfcfc" w:val="clear"/>
          <w:rtl w:val="0"/>
        </w:rPr>
        <w:t xml:space="preserve">Ultimately, secure digital wallets must evolve to serve as the foundational 'trust anchor' bridging financial capability with legal authority. This digital identity layer allows users to delegate a formal, cryptographically secured mandate (a limited 'power of attorney') to their agents, establishing bidirectional trust—ensuring merchants can verify legitimate user intent ('Know Your Agent') while protecting users from spoofed storefronts.</w:t>
      </w:r>
      <w:r w:rsidDel="00000000" w:rsidR="00000000" w:rsidRPr="00000000">
        <w:rPr>
          <w:rtl w:val="0"/>
        </w:rPr>
      </w:r>
    </w:p>
    <w:p w:rsidR="00000000" w:rsidDel="00000000" w:rsidP="00000000" w:rsidRDefault="00000000" w:rsidRPr="00000000" w14:paraId="00000028">
      <w:pPr>
        <w:widowControl w:val="0"/>
        <w:spacing w:after="240" w:line="275.9999942779541" w:lineRule="auto"/>
        <w:rPr>
          <w:rFonts w:ascii="Google Sans" w:cs="Google Sans" w:eastAsia="Google Sans" w:hAnsi="Google Sans"/>
          <w:b w:val="1"/>
          <w:bCs w:val="1"/>
          <w:color w:val="4a86e8"/>
        </w:rPr>
      </w:pPr>
      <w:r w:rsidDel="00000000" w:rsidR="00000000" w:rsidRPr="00000000">
        <w:rPr>
          <w:rFonts w:ascii="Google Sans" w:cs="Google Sans" w:eastAsia="Google Sans" w:hAnsi="Google Sans"/>
          <w:b w:val="1"/>
          <w:bCs w:val="1"/>
          <w:color w:val="4a86e8"/>
          <w:rtl w:val="0"/>
        </w:rPr>
        <w:t xml:space="preserve">Open standards to support secure, platform-agnostic machine-to-machine transaction</w:t>
      </w:r>
    </w:p>
    <w:p w:rsidR="00000000" w:rsidDel="00000000" w:rsidP="00000000" w:rsidRDefault="00000000" w:rsidRPr="00000000" w14:paraId="00000029">
      <w:pPr>
        <w:widowControl w:val="0"/>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We recognize that although this space is nascent, it's already a highly competitive space, with agentic commerce features being actively launched by major players, including OpenAI, Mastercard (Co-pilot Checkout), Microsoft (Copilot Checkout), Visa (Intelligent Commerce), Amazon, and Expedia - to name a few. We believe the future of agentic commerce relies on adoption of open standards that support secure, platform-agnostic machine-to-machine transactions. At Google, under the broader commerce umbrella, agentic payments are currently materializing through the following two key frameworks. </w:t>
      </w:r>
    </w:p>
    <w:bookmarkStart w:colFirst="0" w:colLast="0" w:name="1ykyz3isyhrs" w:id="0"/>
    <w:bookmarkEnd w:id="0"/>
    <w:p w:rsidR="00000000" w:rsidDel="00000000" w:rsidP="00000000" w:rsidRDefault="00000000" w:rsidRPr="00000000" w14:paraId="0000002A">
      <w:pPr>
        <w:widowControl w:val="0"/>
        <w:spacing w:after="240" w:line="275.9999942779541" w:lineRule="auto"/>
        <w:rPr>
          <w:rFonts w:ascii="Google Sans" w:cs="Google Sans" w:eastAsia="Google Sans" w:hAnsi="Google Sans"/>
          <w:i w:val="1"/>
          <w:iCs w:val="1"/>
          <w:color w:val="202124"/>
          <w:highlight w:val="yellow"/>
        </w:rPr>
      </w:pPr>
      <w:r w:rsidDel="00000000" w:rsidR="00000000" w:rsidRPr="00000000">
        <w:rPr>
          <w:rFonts w:ascii="Google Sans" w:cs="Google Sans" w:eastAsia="Google Sans" w:hAnsi="Google Sans"/>
          <w:i w:val="1"/>
          <w:iCs w:val="1"/>
          <w:color w:val="1f1f1f"/>
          <w:rtl w:val="0"/>
        </w:rPr>
        <w:t xml:space="preserve">The </w:t>
      </w:r>
      <w:hyperlink r:id="rId11">
        <w:r w:rsidDel="00000000" w:rsidR="00000000" w:rsidRPr="00000000">
          <w:rPr>
            <w:rFonts w:ascii="Google Sans" w:cs="Google Sans" w:eastAsia="Google Sans" w:hAnsi="Google Sans"/>
            <w:i w:val="1"/>
            <w:iCs w:val="1"/>
            <w:color w:val="1f1f1f"/>
            <w:rtl w:val="0"/>
          </w:rPr>
          <w:t xml:space="preserve">Universal Commerce Protocol</w:t>
        </w:r>
      </w:hyperlink>
      <w:r w:rsidDel="00000000" w:rsidR="00000000" w:rsidRPr="00000000">
        <w:rPr>
          <w:rFonts w:ascii="Google Sans" w:cs="Google Sans" w:eastAsia="Google Sans" w:hAnsi="Google Sans"/>
          <w:color w:val="1f1f1f"/>
          <w:rtl w:val="0"/>
        </w:rPr>
        <w:t xml:space="preserve"> (</w:t>
      </w:r>
      <w:hyperlink r:id="rId12">
        <w:r w:rsidDel="00000000" w:rsidR="00000000" w:rsidRPr="00000000">
          <w:rPr>
            <w:rFonts w:ascii="Google Sans" w:cs="Google Sans" w:eastAsia="Google Sans" w:hAnsi="Google Sans"/>
            <w:color w:val="4a86e8"/>
            <w:u w:val="single"/>
            <w:rtl w:val="0"/>
          </w:rPr>
          <w:t xml:space="preserve">UCP</w:t>
        </w:r>
      </w:hyperlink>
      <w:r w:rsidDel="00000000" w:rsidR="00000000" w:rsidRPr="00000000">
        <w:rPr>
          <w:rFonts w:ascii="Google Sans" w:cs="Google Sans" w:eastAsia="Google Sans" w:hAnsi="Google Sans"/>
          <w:color w:val="1f1f1f"/>
          <w:rtl w:val="0"/>
        </w:rPr>
        <w:t xml:space="preserve">). </w:t>
      </w:r>
      <w:r w:rsidDel="00000000" w:rsidR="00000000" w:rsidRPr="00000000">
        <w:rPr>
          <w:rtl w:val="0"/>
        </w:rPr>
      </w:r>
    </w:p>
    <w:p w:rsidR="00000000" w:rsidDel="00000000" w:rsidP="00000000" w:rsidRDefault="00000000" w:rsidRPr="00000000" w14:paraId="0000002B">
      <w:pPr>
        <w:widowControl w:val="0"/>
        <w:spacing w:after="240" w:line="275.9999942779541" w:lineRule="auto"/>
        <w:rPr>
          <w:rFonts w:ascii="Google Sans" w:cs="Google Sans" w:eastAsia="Google Sans" w:hAnsi="Google Sans"/>
          <w:sz w:val="20"/>
          <w:szCs w:val="20"/>
        </w:rPr>
      </w:pPr>
      <w:r w:rsidDel="00000000" w:rsidR="00000000" w:rsidRPr="00000000">
        <w:rPr>
          <w:rFonts w:ascii="Google Sans" w:cs="Google Sans" w:eastAsia="Google Sans" w:hAnsi="Google Sans"/>
          <w:color w:val="1f1f1f"/>
          <w:rtl w:val="0"/>
        </w:rPr>
        <w:t xml:space="preserve">The Universal Commerce Protocol (UCP) is an open-source standard, like a common language, co-developed in collaboration with the wider industry.  Amazon, Meta, Microsoft, Salesforce and Stripe have joined foundational industry partners such as Target, Wayfair, Sephora, Shopify on the UCP council. UCP is designed to help different parts of the online shopping world talk to each other easily. This could include AI shopping agents, websites where customers shop, merchants, payment systems, and more. The goal is to allow AI agents to help people shop smoothly and efficiently from start to finish, anywhere online– all while providing both buyers and sellers assurance that their interactions are secure. UCP supports businesses of all sizes across a range of sectors (food, travel, retail) to deliver hyper-personalized experiences for users and unlock growth for merchants. This open standard also allows other e-commerce participants to do the same.</w:t>
      </w:r>
      <w:r w:rsidDel="00000000" w:rsidR="00000000" w:rsidRPr="00000000">
        <w:rPr>
          <w:rFonts w:ascii="Google Sans" w:cs="Google Sans" w:eastAsia="Google Sans" w:hAnsi="Google Sans"/>
          <w:sz w:val="20"/>
          <w:szCs w:val="20"/>
          <w:rtl w:val="0"/>
        </w:rPr>
        <w:t xml:space="preserve"> </w:t>
      </w:r>
    </w:p>
    <w:p w:rsidR="00000000" w:rsidDel="00000000" w:rsidP="00000000" w:rsidRDefault="00000000" w:rsidRPr="00000000" w14:paraId="0000002C">
      <w:pPr>
        <w:numPr>
          <w:ilvl w:val="0"/>
          <w:numId w:val="1"/>
        </w:numPr>
        <w:spacing w:after="200" w:lineRule="auto"/>
        <w:ind w:left="720" w:hanging="360"/>
        <w:rPr>
          <w:sz w:val="20"/>
          <w:szCs w:val="20"/>
        </w:rPr>
      </w:pPr>
      <w:r w:rsidDel="00000000" w:rsidR="00000000" w:rsidRPr="00000000">
        <w:rPr>
          <w:rFonts w:ascii="Google Sans" w:cs="Google Sans" w:eastAsia="Google Sans" w:hAnsi="Google Sans"/>
          <w:b w:val="1"/>
          <w:bCs w:val="1"/>
          <w:color w:val="1f1f1f"/>
          <w:rtl w:val="0"/>
        </w:rPr>
        <w:t xml:space="preserve">Open &amp; collaborative. </w:t>
      </w:r>
      <w:r w:rsidDel="00000000" w:rsidR="00000000" w:rsidRPr="00000000">
        <w:rPr>
          <w:rFonts w:ascii="Google Sans" w:cs="Google Sans" w:eastAsia="Google Sans" w:hAnsi="Google Sans"/>
          <w:color w:val="1f1f1f"/>
          <w:rtl w:val="0"/>
        </w:rPr>
        <w:t xml:space="preserve">Because it's open-source (using the Apache 2.0 license), anyone can use it (including for commercial purposes), submit contributions, or build on it. Google is an early adopter, but it's not just for Google. Developed with industry leaders, UCP is publicly available on </w:t>
      </w:r>
      <w:hyperlink r:id="rId13">
        <w:r w:rsidDel="00000000" w:rsidR="00000000" w:rsidRPr="00000000">
          <w:rPr>
            <w:rFonts w:ascii="Google Sans" w:cs="Google Sans" w:eastAsia="Google Sans" w:hAnsi="Google Sans"/>
            <w:color w:val="4a86e8"/>
            <w:u w:val="single"/>
            <w:rtl w:val="0"/>
          </w:rPr>
          <w:t xml:space="preserve">GitHub</w:t>
        </w:r>
      </w:hyperlink>
      <w:r w:rsidDel="00000000" w:rsidR="00000000" w:rsidRPr="00000000">
        <w:rPr>
          <w:rFonts w:ascii="Google Sans" w:cs="Google Sans" w:eastAsia="Google Sans" w:hAnsi="Google Sans"/>
          <w:color w:val="1f1f1f"/>
          <w:rtl w:val="0"/>
        </w:rPr>
        <w:t xml:space="preserve">. By keeping UCP open-source and platform agnostic, we aim to prevent the emergence of closed, proprietary gatekeepers. Open standards ensure that the agentic economy remains competitive and that SMEs remain visible and transactional without being forced to pay tolls to proprietary networks. </w:t>
      </w:r>
    </w:p>
    <w:p w:rsidR="00000000" w:rsidDel="00000000" w:rsidP="00000000" w:rsidRDefault="00000000" w:rsidRPr="00000000" w14:paraId="0000002D">
      <w:pPr>
        <w:numPr>
          <w:ilvl w:val="0"/>
          <w:numId w:val="1"/>
        </w:numPr>
        <w:spacing w:after="200" w:lineRule="auto"/>
        <w:ind w:left="720" w:hanging="360"/>
        <w:rPr>
          <w:sz w:val="20"/>
          <w:szCs w:val="20"/>
        </w:rPr>
      </w:pPr>
      <w:r w:rsidDel="00000000" w:rsidR="00000000" w:rsidRPr="00000000">
        <w:rPr>
          <w:rFonts w:ascii="Google Sans" w:cs="Google Sans" w:eastAsia="Google Sans" w:hAnsi="Google Sans"/>
          <w:b w:val="1"/>
          <w:bCs w:val="1"/>
          <w:color w:val="1f1f1f"/>
          <w:rtl w:val="0"/>
        </w:rPr>
        <w:t xml:space="preserve">Compatibility.</w:t>
      </w:r>
      <w:r w:rsidDel="00000000" w:rsidR="00000000" w:rsidRPr="00000000">
        <w:rPr>
          <w:rFonts w:ascii="Google Sans" w:cs="Google Sans" w:eastAsia="Google Sans" w:hAnsi="Google Sans"/>
          <w:color w:val="1f1f1f"/>
          <w:rtl w:val="0"/>
        </w:rPr>
        <w:t xml:space="preserve"> UCP is compatible with major industry protocols such as Agent to Agent (A2A), </w:t>
      </w:r>
      <w:hyperlink r:id="rId14">
        <w:r w:rsidDel="00000000" w:rsidR="00000000" w:rsidRPr="00000000">
          <w:rPr>
            <w:rFonts w:ascii="Google Sans" w:cs="Google Sans" w:eastAsia="Google Sans" w:hAnsi="Google Sans"/>
            <w:color w:val="1f1f1f"/>
            <w:rtl w:val="0"/>
          </w:rPr>
          <w:t xml:space="preserve">Agentic Payments Protocol</w:t>
        </w:r>
      </w:hyperlink>
      <w:r w:rsidDel="00000000" w:rsidR="00000000" w:rsidRPr="00000000">
        <w:rPr>
          <w:rFonts w:ascii="Google Sans" w:cs="Google Sans" w:eastAsia="Google Sans" w:hAnsi="Google Sans"/>
          <w:color w:val="1f1f1f"/>
          <w:rtl w:val="0"/>
        </w:rPr>
        <w:t xml:space="preserve"> (AP2), and </w:t>
      </w:r>
      <w:hyperlink r:id="rId15">
        <w:r w:rsidDel="00000000" w:rsidR="00000000" w:rsidRPr="00000000">
          <w:rPr>
            <w:rFonts w:ascii="Google Sans" w:cs="Google Sans" w:eastAsia="Google Sans" w:hAnsi="Google Sans"/>
            <w:color w:val="1f1f1f"/>
            <w:rtl w:val="0"/>
          </w:rPr>
          <w:t xml:space="preserve">Model Context Protocol </w:t>
        </w:r>
      </w:hyperlink>
      <w:r w:rsidDel="00000000" w:rsidR="00000000" w:rsidRPr="00000000">
        <w:rPr>
          <w:rFonts w:ascii="Google Sans" w:cs="Google Sans" w:eastAsia="Google Sans" w:hAnsi="Google Sans"/>
          <w:color w:val="1f1f1f"/>
          <w:rtl w:val="0"/>
        </w:rPr>
        <w:t xml:space="preserve">(MCP). UCP is Platform-Agnostic and works with non-Gemini AI agents.</w:t>
      </w:r>
    </w:p>
    <w:p w:rsidR="00000000" w:rsidDel="00000000" w:rsidP="00000000" w:rsidRDefault="00000000" w:rsidRPr="00000000" w14:paraId="0000002E">
      <w:pPr>
        <w:numPr>
          <w:ilvl w:val="0"/>
          <w:numId w:val="1"/>
        </w:numPr>
        <w:spacing w:after="200" w:lineRule="auto"/>
        <w:ind w:left="720" w:hanging="360"/>
        <w:rPr>
          <w:sz w:val="20"/>
          <w:szCs w:val="20"/>
        </w:rPr>
      </w:pPr>
      <w:r w:rsidDel="00000000" w:rsidR="00000000" w:rsidRPr="00000000">
        <w:rPr>
          <w:rFonts w:ascii="Google Sans" w:cs="Google Sans" w:eastAsia="Google Sans" w:hAnsi="Google Sans"/>
          <w:b w:val="1"/>
          <w:bCs w:val="1"/>
          <w:color w:val="1f1f1f"/>
          <w:rtl w:val="0"/>
        </w:rPr>
        <w:t xml:space="preserve">Google implementation.</w:t>
      </w:r>
      <w:r w:rsidDel="00000000" w:rsidR="00000000" w:rsidRPr="00000000">
        <w:rPr>
          <w:rFonts w:ascii="Google Sans" w:cs="Google Sans" w:eastAsia="Google Sans" w:hAnsi="Google Sans"/>
          <w:color w:val="1f1f1f"/>
          <w:rtl w:val="0"/>
        </w:rPr>
        <w:t xml:space="preserve"> UCP will power agentic commerce across the web and enable seamless shopping on Google surfaces. Today UCP supports instant checkout, and helps users incorporate loyalty and membership cards. </w:t>
      </w:r>
    </w:p>
    <w:p w:rsidR="00000000" w:rsidDel="00000000" w:rsidP="00000000" w:rsidRDefault="00000000" w:rsidRPr="00000000" w14:paraId="0000002F">
      <w:pPr>
        <w:numPr>
          <w:ilvl w:val="0"/>
          <w:numId w:val="1"/>
        </w:numPr>
        <w:spacing w:after="200" w:lineRule="auto"/>
        <w:ind w:left="720" w:hanging="360"/>
        <w:rPr>
          <w:sz w:val="20"/>
          <w:szCs w:val="20"/>
        </w:rPr>
      </w:pPr>
      <w:r w:rsidDel="00000000" w:rsidR="00000000" w:rsidRPr="00000000">
        <w:rPr>
          <w:rFonts w:ascii="Google Sans" w:cs="Google Sans" w:eastAsia="Google Sans" w:hAnsi="Google Sans"/>
          <w:b w:val="1"/>
          <w:bCs w:val="1"/>
          <w:color w:val="1f1f1f"/>
          <w:rtl w:val="0"/>
        </w:rPr>
        <w:t xml:space="preserve">Merchant control. </w:t>
      </w:r>
      <w:r w:rsidDel="00000000" w:rsidR="00000000" w:rsidRPr="00000000">
        <w:rPr>
          <w:rFonts w:ascii="Google Sans" w:cs="Google Sans" w:eastAsia="Google Sans" w:hAnsi="Google Sans"/>
          <w:color w:val="1f1f1f"/>
          <w:rtl w:val="0"/>
        </w:rPr>
        <w:t xml:space="preserve">Retailers remain the merchant of record, retaining control of their business and maintaining their customer relationships. </w:t>
      </w:r>
      <w:r w:rsidDel="00000000" w:rsidR="00000000" w:rsidRPr="00000000">
        <w:rPr>
          <w:rtl w:val="0"/>
        </w:rPr>
      </w:r>
    </w:p>
    <w:p w:rsidR="00000000" w:rsidDel="00000000" w:rsidP="00000000" w:rsidRDefault="00000000" w:rsidRPr="00000000" w14:paraId="00000030">
      <w:pPr>
        <w:rPr>
          <w:rFonts w:ascii="Google Sans Text" w:cs="Google Sans Text" w:eastAsia="Google Sans Text" w:hAnsi="Google Sans Text"/>
          <w:i w:val="1"/>
          <w:iCs w:val="1"/>
          <w:color w:val="303030"/>
          <w:sz w:val="21"/>
          <w:szCs w:val="21"/>
          <w:highlight w:val="yellow"/>
        </w:rPr>
      </w:pPr>
      <w:r w:rsidDel="00000000" w:rsidR="00000000" w:rsidRPr="00000000">
        <w:rPr>
          <w:rFonts w:ascii="Google Sans Text" w:cs="Google Sans Text" w:eastAsia="Google Sans Text" w:hAnsi="Google Sans Text"/>
          <w:i w:val="1"/>
          <w:iCs w:val="1"/>
          <w:color w:val="303030"/>
          <w:sz w:val="21"/>
          <w:szCs w:val="21"/>
          <w:highlight w:val="white"/>
          <w:rtl w:val="0"/>
        </w:rPr>
        <w:t xml:space="preserve">The Agent Payments Protocol (</w:t>
      </w:r>
      <w:hyperlink r:id="rId16">
        <w:r w:rsidDel="00000000" w:rsidR="00000000" w:rsidRPr="00000000">
          <w:rPr>
            <w:rFonts w:ascii="Google Sans Text" w:cs="Google Sans Text" w:eastAsia="Google Sans Text" w:hAnsi="Google Sans Text"/>
            <w:i w:val="1"/>
            <w:iCs w:val="1"/>
            <w:color w:val="1155cc"/>
            <w:sz w:val="21"/>
            <w:szCs w:val="21"/>
            <w:highlight w:val="white"/>
            <w:rtl w:val="0"/>
          </w:rPr>
          <w:t xml:space="preserve">AP2</w:t>
        </w:r>
      </w:hyperlink>
      <w:r w:rsidDel="00000000" w:rsidR="00000000" w:rsidRPr="00000000">
        <w:rPr>
          <w:rFonts w:ascii="Google Sans Text" w:cs="Google Sans Text" w:eastAsia="Google Sans Text" w:hAnsi="Google Sans Text"/>
          <w:i w:val="1"/>
          <w:iCs w:val="1"/>
          <w:color w:val="303030"/>
          <w:sz w:val="21"/>
          <w:szCs w:val="21"/>
          <w:highlight w:val="white"/>
          <w:rtl w:val="0"/>
        </w:rPr>
        <w:t xml:space="preserve">). </w:t>
      </w:r>
      <w:r w:rsidDel="00000000" w:rsidR="00000000" w:rsidRPr="00000000">
        <w:rPr>
          <w:rtl w:val="0"/>
        </w:rPr>
      </w:r>
    </w:p>
    <w:p w:rsidR="00000000" w:rsidDel="00000000" w:rsidP="00000000" w:rsidRDefault="00000000" w:rsidRPr="00000000" w14:paraId="00000031">
      <w:pPr>
        <w:rPr>
          <w:rFonts w:ascii="Google Sans Text" w:cs="Google Sans Text" w:eastAsia="Google Sans Text" w:hAnsi="Google Sans Text"/>
          <w:color w:val="303030"/>
          <w:sz w:val="21"/>
          <w:szCs w:val="21"/>
          <w:highlight w:val="white"/>
        </w:rPr>
      </w:pPr>
      <w:r w:rsidDel="00000000" w:rsidR="00000000" w:rsidRPr="00000000">
        <w:rPr>
          <w:rtl w:val="0"/>
        </w:rPr>
      </w:r>
    </w:p>
    <w:p w:rsidR="00000000" w:rsidDel="00000000" w:rsidP="00000000" w:rsidRDefault="00000000" w:rsidRPr="00000000" w14:paraId="00000032">
      <w:pPr>
        <w:rPr>
          <w:rFonts w:ascii="Google Sans Text" w:cs="Google Sans Text" w:eastAsia="Google Sans Text" w:hAnsi="Google Sans Text"/>
          <w:i w:val="1"/>
          <w:iCs w:val="1"/>
          <w:color w:val="303030"/>
          <w:highlight w:val="yellow"/>
        </w:rPr>
      </w:pPr>
      <w:r w:rsidDel="00000000" w:rsidR="00000000" w:rsidRPr="00000000">
        <w:rPr>
          <w:rFonts w:ascii="Google Sans" w:cs="Google Sans" w:eastAsia="Google Sans" w:hAnsi="Google Sans"/>
          <w:color w:val="1f1f1f"/>
          <w:rtl w:val="0"/>
        </w:rPr>
        <w:t xml:space="preserve">AP2 debuted in 2025 and is an open protocol developed with leading payments and technology companies to securely initiate and transact agent-led payments across platforms.  The protocol can be used as an extension of the </w:t>
      </w:r>
      <w:hyperlink r:id="rId17">
        <w:r w:rsidDel="00000000" w:rsidR="00000000" w:rsidRPr="00000000">
          <w:rPr>
            <w:rFonts w:ascii="Google Sans" w:cs="Google Sans" w:eastAsia="Google Sans" w:hAnsi="Google Sans"/>
            <w:color w:val="1f1f1f"/>
            <w:rtl w:val="0"/>
          </w:rPr>
          <w:t xml:space="preserve">Agent2Agent (A2A) protocol</w:t>
        </w:r>
      </w:hyperlink>
      <w:r w:rsidDel="00000000" w:rsidR="00000000" w:rsidRPr="00000000">
        <w:rPr>
          <w:rFonts w:ascii="Google Sans" w:cs="Google Sans" w:eastAsia="Google Sans" w:hAnsi="Google Sans"/>
          <w:color w:val="1f1f1f"/>
          <w:rtl w:val="0"/>
        </w:rPr>
        <w:t xml:space="preserve"> and Model Context Protocol (MCP). In concert with industry rules and standards, it establishes a payment-agnostic framework for users, merchants, and payments providers to transact with confidence across all types of payment methods. In 2026, Google donated the AP2 protocol to the FIDO Alliance, to ensure AP2 remains platform-agnostic and community-led, while accelerating adoption of secure agentic payments. AP2 is also helping to drive industry standards like </w:t>
      </w:r>
      <w:hyperlink r:id="rId18">
        <w:r w:rsidDel="00000000" w:rsidR="00000000" w:rsidRPr="00000000">
          <w:rPr>
            <w:rFonts w:ascii="Google Sans" w:cs="Google Sans" w:eastAsia="Google Sans" w:hAnsi="Google Sans"/>
            <w:color w:val="4a86e8"/>
            <w:u w:val="single"/>
            <w:rtl w:val="0"/>
          </w:rPr>
          <w:t xml:space="preserve">Verifiable Intent</w:t>
        </w:r>
      </w:hyperlink>
      <w:hyperlink r:id="rId19">
        <w:r w:rsidDel="00000000" w:rsidR="00000000" w:rsidRPr="00000000">
          <w:rPr>
            <w:rFonts w:ascii="Google Sans" w:cs="Google Sans" w:eastAsia="Google Sans" w:hAnsi="Google Sans"/>
            <w:color w:val="1f1f1f"/>
            <w:rtl w:val="0"/>
          </w:rPr>
          <w:t xml:space="preserve">,</w:t>
        </w:r>
      </w:hyperlink>
      <w:r w:rsidDel="00000000" w:rsidR="00000000" w:rsidRPr="00000000">
        <w:rPr>
          <w:rFonts w:ascii="Google Sans" w:cs="Google Sans" w:eastAsia="Google Sans" w:hAnsi="Google Sans"/>
          <w:color w:val="1f1f1f"/>
          <w:rtl w:val="0"/>
        </w:rPr>
        <w:t xml:space="preserve"> a new, AP2-compatible standard co-developed with Mastercard and also being donated to FIDO, that creates a tamper-proof log of user-authorized agent actions to ensure accountability. </w:t>
      </w:r>
      <w:r w:rsidDel="00000000" w:rsidR="00000000" w:rsidRPr="00000000">
        <w:rPr>
          <w:rtl w:val="0"/>
        </w:rPr>
      </w:r>
    </w:p>
    <w:p w:rsidR="00000000" w:rsidDel="00000000" w:rsidP="00000000" w:rsidRDefault="00000000" w:rsidRPr="00000000" w14:paraId="00000033">
      <w:pPr>
        <w:rPr>
          <w:rFonts w:ascii="Google Sans Text" w:cs="Google Sans Text" w:eastAsia="Google Sans Text" w:hAnsi="Google Sans Text"/>
          <w:color w:val="303030"/>
          <w:sz w:val="21"/>
          <w:szCs w:val="21"/>
          <w:highlight w:val="white"/>
        </w:rPr>
      </w:pPr>
      <w:r w:rsidDel="00000000" w:rsidR="00000000" w:rsidRPr="00000000">
        <w:rPr>
          <w:rtl w:val="0"/>
        </w:rPr>
      </w:r>
    </w:p>
    <w:p w:rsidR="00000000" w:rsidDel="00000000" w:rsidP="00000000" w:rsidRDefault="00000000" w:rsidRPr="00000000" w14:paraId="00000034">
      <w:pPr>
        <w:numPr>
          <w:ilvl w:val="0"/>
          <w:numId w:val="4"/>
        </w:numPr>
        <w:spacing w:after="200" w:lineRule="auto"/>
        <w:ind w:left="720" w:hanging="360"/>
        <w:rPr>
          <w:sz w:val="20"/>
          <w:szCs w:val="20"/>
        </w:rPr>
      </w:pPr>
      <w:r w:rsidDel="00000000" w:rsidR="00000000" w:rsidRPr="00000000">
        <w:rPr>
          <w:rFonts w:ascii="Google Sans" w:cs="Google Sans" w:eastAsia="Google Sans" w:hAnsi="Google Sans"/>
          <w:b w:val="1"/>
          <w:bCs w:val="1"/>
          <w:color w:val="1f1f1f"/>
          <w:rtl w:val="0"/>
        </w:rPr>
        <w:t xml:space="preserve">Open &amp; collaborative. </w:t>
      </w:r>
      <w:r w:rsidDel="00000000" w:rsidR="00000000" w:rsidRPr="00000000">
        <w:rPr>
          <w:rFonts w:ascii="Google Sans" w:cs="Google Sans" w:eastAsia="Google Sans" w:hAnsi="Google Sans"/>
          <w:color w:val="1f1f1f"/>
          <w:rtl w:val="0"/>
        </w:rPr>
        <w:t xml:space="preserve"> AP2 was developed in partnership with major partners like Mastercard, American Express, JCB and UnionPay international to name a few to ensure AP2 is interoperable with their protocols. </w:t>
      </w:r>
    </w:p>
    <w:p w:rsidR="00000000" w:rsidDel="00000000" w:rsidP="00000000" w:rsidRDefault="00000000" w:rsidRPr="00000000" w14:paraId="00000035">
      <w:pPr>
        <w:numPr>
          <w:ilvl w:val="0"/>
          <w:numId w:val="4"/>
        </w:numPr>
        <w:spacing w:after="200" w:lineRule="auto"/>
        <w:ind w:left="720" w:hanging="360"/>
        <w:rPr>
          <w:sz w:val="20"/>
          <w:szCs w:val="20"/>
        </w:rPr>
      </w:pPr>
      <w:r w:rsidDel="00000000" w:rsidR="00000000" w:rsidRPr="00000000">
        <w:rPr>
          <w:rFonts w:ascii="Google Sans" w:cs="Google Sans" w:eastAsia="Google Sans" w:hAnsi="Google Sans"/>
          <w:b w:val="1"/>
          <w:bCs w:val="1"/>
          <w:color w:val="1f1f1f"/>
          <w:rtl w:val="0"/>
        </w:rPr>
        <w:t xml:space="preserve">Compatibility.</w:t>
      </w:r>
      <w:r w:rsidDel="00000000" w:rsidR="00000000" w:rsidRPr="00000000">
        <w:rPr>
          <w:rFonts w:ascii="Google Sans" w:cs="Google Sans" w:eastAsia="Google Sans" w:hAnsi="Google Sans"/>
          <w:color w:val="1f1f1f"/>
          <w:rtl w:val="0"/>
        </w:rPr>
        <w:t xml:space="preserve"> AP2 supports different payment types–from credit and debit cards to stablecoins and real-time bank transfers. This helps ensure a consistent, secure, and scalable experience for users and merchants, while also providing financial institutions with the clarity they need to effectively manage risk.</w:t>
      </w:r>
    </w:p>
    <w:p w:rsidR="00000000" w:rsidDel="00000000" w:rsidP="00000000" w:rsidRDefault="00000000" w:rsidRPr="00000000" w14:paraId="00000036">
      <w:pPr>
        <w:numPr>
          <w:ilvl w:val="0"/>
          <w:numId w:val="4"/>
        </w:numPr>
        <w:spacing w:after="200" w:lineRule="auto"/>
        <w:ind w:left="720" w:hanging="360"/>
        <w:rPr>
          <w:sz w:val="20"/>
          <w:szCs w:val="20"/>
        </w:rPr>
      </w:pPr>
      <w:r w:rsidDel="00000000" w:rsidR="00000000" w:rsidRPr="00000000">
        <w:rPr>
          <w:rFonts w:ascii="Google Sans" w:cs="Google Sans" w:eastAsia="Google Sans" w:hAnsi="Google Sans"/>
          <w:b w:val="1"/>
          <w:bCs w:val="1"/>
          <w:color w:val="1f1f1f"/>
          <w:rtl w:val="0"/>
        </w:rPr>
        <w:t xml:space="preserve">Unalterable audit trail.</w:t>
      </w:r>
      <w:r w:rsidDel="00000000" w:rsidR="00000000" w:rsidRPr="00000000">
        <w:rPr>
          <w:rFonts w:ascii="Google Sans" w:cs="Google Sans" w:eastAsia="Google Sans" w:hAnsi="Google Sans"/>
          <w:color w:val="1f1f1f"/>
          <w:rtl w:val="0"/>
        </w:rPr>
        <w:t xml:space="preserve"> AP2 builds trust by using Mandates—tamper-proof, cryptographically-signed digital contracts that serve as verifiable proof of a user's instructions. These mandates are signed by verifiable credentials (VCs) and act as the foundational evidence for every transaction.</w:t>
      </w:r>
      <w:r w:rsidDel="00000000" w:rsidR="00000000" w:rsidRPr="00000000">
        <w:rPr>
          <w:rtl w:val="0"/>
        </w:rPr>
      </w:r>
    </w:p>
    <w:p w:rsidR="00000000" w:rsidDel="00000000" w:rsidP="00000000" w:rsidRDefault="00000000" w:rsidRPr="00000000" w14:paraId="00000037">
      <w:pPr>
        <w:shd w:fill="ffffff" w:val="clear"/>
        <w:spacing w:after="180" w:lineRule="auto"/>
        <w:rPr>
          <w:b w:val="1"/>
          <w:bCs w:val="1"/>
          <w:color w:val="4a86e8"/>
          <w:sz w:val="16"/>
          <w:szCs w:val="16"/>
          <w:highlight w:val="yellow"/>
        </w:rPr>
      </w:pPr>
      <w:r w:rsidDel="00000000" w:rsidR="00000000" w:rsidRPr="00000000">
        <w:rPr>
          <w:b w:val="1"/>
          <w:bCs w:val="1"/>
          <w:color w:val="4a86e8"/>
          <w:sz w:val="21"/>
          <w:szCs w:val="21"/>
          <w:rtl w:val="0"/>
        </w:rPr>
        <w:t xml:space="preserve">Regulatory Response</w:t>
      </w:r>
      <w:r w:rsidDel="00000000" w:rsidR="00000000" w:rsidRPr="00000000">
        <w:rPr>
          <w:rtl w:val="0"/>
        </w:rPr>
      </w:r>
    </w:p>
    <w:p w:rsidR="00000000" w:rsidDel="00000000" w:rsidP="00000000" w:rsidRDefault="00000000" w:rsidRPr="00000000" w14:paraId="00000038">
      <w:pPr>
        <w:widowControl w:val="0"/>
        <w:shd w:fill="ffffff"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Because agentic AI is nascent and rapidly evolving, any policy framework must remain agile. Policymakers should use a methodological, evidence-based approach rather than a “rush to regulate” that often leads to institutional friction and additional complexity. </w:t>
      </w:r>
    </w:p>
    <w:p w:rsidR="00000000" w:rsidDel="00000000" w:rsidP="00000000" w:rsidRDefault="00000000" w:rsidRPr="00000000" w14:paraId="00000039">
      <w:pPr>
        <w:widowControl w:val="0"/>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As profound as the technology transitions could be, agentic AI does not necessitate an entirely new legal frontier, nor do its challenges require policymakers to reinvent regulatory goals or fundamental frameworks. Current regulatory principles around privacy, consumer protection, and digital security still apply:</w:t>
      </w:r>
      <w:r w:rsidDel="00000000" w:rsidR="00000000" w:rsidRPr="00000000">
        <w:rPr>
          <w:rFonts w:ascii="Google Sans Text" w:cs="Google Sans Text" w:eastAsia="Google Sans Text" w:hAnsi="Google Sans Text"/>
          <w:color w:val="1f1f1f"/>
          <w:rtl w:val="0"/>
        </w:rPr>
        <w:t xml:space="preserve"> if </w:t>
      </w:r>
      <w:r w:rsidDel="00000000" w:rsidR="00000000" w:rsidRPr="00000000">
        <w:rPr>
          <w:rFonts w:ascii="Google Sans" w:cs="Google Sans" w:eastAsia="Google Sans" w:hAnsi="Google Sans"/>
          <w:color w:val="1f1f1f"/>
          <w:rtl w:val="0"/>
        </w:rPr>
        <w:t xml:space="preserve">an action is unlawful to do without agents, it is unlawful to do with agents</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tl w:val="0"/>
        </w:rPr>
      </w:r>
    </w:p>
    <w:p w:rsidR="00000000" w:rsidDel="00000000" w:rsidP="00000000" w:rsidRDefault="00000000" w:rsidRPr="00000000" w14:paraId="0000003A">
      <w:pPr>
        <w:widowControl w:val="0"/>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Before moving to create entirely new regulatory frameworks, we recommend that industry and policymakers study the ways agents interact with users and broader ecosystems. Since agentic AI is a nascent and rapidly evolving technology, we encourage policymakers to:</w:t>
      </w:r>
    </w:p>
    <w:p w:rsidR="00000000" w:rsidDel="00000000" w:rsidP="00000000" w:rsidRDefault="00000000" w:rsidRPr="00000000" w14:paraId="0000003B">
      <w:pPr>
        <w:numPr>
          <w:ilvl w:val="0"/>
          <w:numId w:val="5"/>
        </w:numPr>
        <w:shd w:fill="ffffff" w:val="clear"/>
        <w:spacing w:after="0" w:afterAutospacing="0" w:before="240" w:lineRule="auto"/>
        <w:ind w:left="720" w:hanging="36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Rely on existing legal frameworks, such as privacy and applicable sectoral regulations.</w:t>
      </w:r>
    </w:p>
    <w:p w:rsidR="00000000" w:rsidDel="00000000" w:rsidP="00000000" w:rsidRDefault="00000000" w:rsidRPr="00000000" w14:paraId="0000003C">
      <w:pPr>
        <w:numPr>
          <w:ilvl w:val="0"/>
          <w:numId w:val="5"/>
        </w:numPr>
        <w:shd w:fill="ffffff" w:val="clear"/>
        <w:spacing w:after="0" w:afterAutospacing="0" w:before="0" w:beforeAutospacing="0" w:lineRule="auto"/>
        <w:ind w:left="720" w:hanging="36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Assess the sufficiency and applicability of existing laws, such as consumer protection regulations, and update them if gaps are identified.</w:t>
      </w:r>
    </w:p>
    <w:p w:rsidR="00000000" w:rsidDel="00000000" w:rsidP="00000000" w:rsidRDefault="00000000" w:rsidRPr="00000000" w14:paraId="0000003D">
      <w:pPr>
        <w:numPr>
          <w:ilvl w:val="0"/>
          <w:numId w:val="5"/>
        </w:numPr>
        <w:shd w:fill="ffffff" w:val="clear"/>
        <w:spacing w:after="0" w:afterAutospacing="0" w:before="0" w:beforeAutospacing="0" w:lineRule="auto"/>
        <w:ind w:left="720" w:hanging="36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Ensure legal frameworks are outcome-focused and technology-neutral. </w:t>
      </w:r>
    </w:p>
    <w:p w:rsidR="00000000" w:rsidDel="00000000" w:rsidP="00000000" w:rsidRDefault="00000000" w:rsidRPr="00000000" w14:paraId="0000003E">
      <w:pPr>
        <w:numPr>
          <w:ilvl w:val="0"/>
          <w:numId w:val="5"/>
        </w:numPr>
        <w:shd w:fill="ffffff" w:val="clear"/>
        <w:spacing w:after="0" w:afterAutospacing="0" w:before="0" w:beforeAutospacing="0" w:lineRule="auto"/>
        <w:ind w:left="720" w:hanging="36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Leverage tools like regulatory sandboxes to gather real-world insights about agentic AI.</w:t>
      </w:r>
    </w:p>
    <w:p w:rsidR="00000000" w:rsidDel="00000000" w:rsidP="00000000" w:rsidRDefault="00000000" w:rsidRPr="00000000" w14:paraId="0000003F">
      <w:pPr>
        <w:numPr>
          <w:ilvl w:val="0"/>
          <w:numId w:val="5"/>
        </w:numPr>
        <w:shd w:fill="ffffff" w:val="clear"/>
        <w:spacing w:after="240" w:before="0" w:beforeAutospacing="0" w:lineRule="auto"/>
        <w:ind w:left="720" w:hanging="36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Allow developers and deployers the flexibility to continue research and development (R&amp;D) and innovation.</w:t>
      </w:r>
    </w:p>
    <w:p w:rsidR="00000000" w:rsidDel="00000000" w:rsidP="00000000" w:rsidRDefault="00000000" w:rsidRPr="00000000" w14:paraId="00000040">
      <w:pPr>
        <w:widowControl w:val="0"/>
        <w:spacing w:after="100" w:lineRule="auto"/>
        <w:rPr/>
      </w:pPr>
      <w:r w:rsidDel="00000000" w:rsidR="00000000" w:rsidRPr="00000000">
        <w:rPr>
          <w:rFonts w:ascii="Google Sans" w:cs="Google Sans" w:eastAsia="Google Sans" w:hAnsi="Google Sans"/>
          <w:color w:val="1f1f1f"/>
          <w:rtl w:val="0"/>
        </w:rPr>
        <w:t xml:space="preserve">Understanding where agentic AI is and is not different from past transformative technologies can allow for adaptation as needed.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3" Type="http://schemas.openxmlformats.org/officeDocument/2006/relationships/hyperlink" Target="https://developers.devsite.corp.google.com/merchant/ucp/guides" TargetMode="External"/><Relationship Id="rId18" Type="http://schemas.openxmlformats.org/officeDocument/2006/relationships/hyperlink" Target="https://www.mastercard.com/global/en/news-and-trends/stories/2026/verifiable-intent.html" TargetMode="External"/><Relationship Id="rId8" Type="http://schemas.openxmlformats.org/officeDocument/2006/relationships/hyperlink" Target="https://www.mckinsey.com/mgi/our-research/agents-robots-and-us-skill-partnerships-in-the-age-of-ai#/" TargetMode="External"/><Relationship Id="rId3" Type="http://schemas.openxmlformats.org/officeDocument/2006/relationships/fontTable" Target="fontTable.xml"/><Relationship Id="rId21" Type="http://schemas.openxmlformats.org/officeDocument/2006/relationships/customXml" Target="../customXml/item2.xml"/><Relationship Id="rId12" Type="http://schemas.openxmlformats.org/officeDocument/2006/relationships/hyperlink" Target="https://developers.google.com/merchant/ucp" TargetMode="External"/><Relationship Id="rId17" Type="http://schemas.openxmlformats.org/officeDocument/2006/relationships/hyperlink" Target="https://a2a-protocol.org/" TargetMode="External"/><Relationship Id="rId7" Type="http://schemas.openxmlformats.org/officeDocument/2006/relationships/hyperlink" Target="https://www.gao.gov/products/gao-25-108519" TargetMode="External"/><Relationship Id="rId2" Type="http://schemas.openxmlformats.org/officeDocument/2006/relationships/settings" Target="settings.xml"/><Relationship Id="rId16" Type="http://schemas.openxmlformats.org/officeDocument/2006/relationships/hyperlink" Target="https://cloud.google.com/blog/products/ai-machine-learning/announcing-agents-to-payments-ap2-protocol" TargetMode="External"/><Relationship Id="rId20" Type="http://schemas.openxmlformats.org/officeDocument/2006/relationships/customXml" Target="../customXml/item1.xml"/><Relationship Id="rId11" Type="http://schemas.openxmlformats.org/officeDocument/2006/relationships/hyperlink" Target="https://ucp.dev/" TargetMode="External"/><Relationship Id="rId1" Type="http://schemas.openxmlformats.org/officeDocument/2006/relationships/theme" Target="theme/theme1.xml"/><Relationship Id="rId6" Type="http://schemas.openxmlformats.org/officeDocument/2006/relationships/image" Target="media/image1.png"/><Relationship Id="rId15" Type="http://schemas.openxmlformats.org/officeDocument/2006/relationships/hyperlink" Target="https://modelcontextprotocol.io/docs/2026-07-28/getting-started/intro" TargetMode="External"/><Relationship Id="rId5" Type="http://schemas.openxmlformats.org/officeDocument/2006/relationships/styles" Target="styles.xml"/><Relationship Id="rId23" Type="http://schemas.openxmlformats.org/officeDocument/2006/relationships/customXml" Target="../customXml/item4.xml"/><Relationship Id="rId10" Type="http://schemas.openxmlformats.org/officeDocument/2006/relationships/hyperlink" Target="https://cloud.google.com/blog/products/identity-security/enabling-a-safe-agentic-web-with-recaptcha?e=48754805" TargetMode="External"/><Relationship Id="rId19" Type="http://schemas.openxmlformats.org/officeDocument/2006/relationships/hyperlink" Target="https://www.mastercard.com/global/en/news-and-trends/stories/2026/verifiable-intent.html" TargetMode="External"/><Relationship Id="rId4" Type="http://schemas.openxmlformats.org/officeDocument/2006/relationships/numbering" Target="numbering.xml"/><Relationship Id="rId9" Type="http://schemas.openxmlformats.org/officeDocument/2006/relationships/hyperlink" Target="https://security.googlecloudcommunity.com/community-blog-42/empowering-fraud-analysts-with-forensic-intelligence-from-login-to-transactions-7122" TargetMode="External"/><Relationship Id="rId14" Type="http://schemas.openxmlformats.org/officeDocument/2006/relationships/hyperlink" Target="https://agent2agent.info/" TargetMode="External"/><Relationship Id="rId22"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W5QWCE3MWNWV-1111276950-224</_dlc_DocId>
    <_dlc_DocIdUrl xmlns="a2aa19ac-7254-4672-b5f3-36bb7be1aecc">
      <Url>https://rbaau.sharepoint.com/sites/py-rrpr/_layouts/15/DocIdRedir.aspx?ID=W5QWCE3MWNWV-1111276950-224</Url>
      <Description>W5QWCE3MWNWV-1111276950-224</Description>
    </_dlc_DocIdUrl>
  </documentManagement>
</p:properties>
</file>

<file path=customXml/itemProps1.xml><?xml version="1.0" encoding="utf-8"?>
<ds:datastoreItem xmlns:ds="http://schemas.openxmlformats.org/officeDocument/2006/customXml" ds:itemID="{272CC354-4813-4554-9C11-8224FFE3F02A}"/>
</file>

<file path=customXml/itemProps2.xml><?xml version="1.0" encoding="utf-8"?>
<ds:datastoreItem xmlns:ds="http://schemas.openxmlformats.org/officeDocument/2006/customXml" ds:itemID="{D3613DDD-6CE5-4A74-81FB-A868F6C78D47}"/>
</file>

<file path=customXml/itemProps3.xml><?xml version="1.0" encoding="utf-8"?>
<ds:datastoreItem xmlns:ds="http://schemas.openxmlformats.org/officeDocument/2006/customXml" ds:itemID="{34108BD9-4718-4039-8573-877A50F097C4}"/>
</file>

<file path=customXml/itemProps4.xml><?xml version="1.0" encoding="utf-8"?>
<ds:datastoreItem xmlns:ds="http://schemas.openxmlformats.org/officeDocument/2006/customXml" ds:itemID="{EE78EA18-94E1-4D96-8225-C5F46D25572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0x010100C6474D5961133C4EAB4E06A228DFEE58</vt:lpwstr>
  </property>
  <property fmtid="{D5CDD505-2E9C-101B-9397-08002B2CF9AE}" pid="3" name="_dlc_DocIdItemGuid">
    <vt:lpwstr>11f5d360-27e5-4957-b329-0734d5f82796</vt:lpwstr>
  </property>
</Properties>
</file>