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9D6F1" w14:textId="5A25CAEC" w:rsidR="00DC13B9" w:rsidRDefault="005E213D" w:rsidP="001E6CF7">
      <w:pPr>
        <w:pStyle w:val="Title"/>
        <w:jc w:val="center"/>
      </w:pPr>
      <w:r>
        <w:t xml:space="preserve"> </w:t>
      </w:r>
      <w:r w:rsidR="001E6CF7" w:rsidRPr="001E6CF7">
        <w:t>Reserve Bank of Australia</w:t>
      </w:r>
    </w:p>
    <w:p w14:paraId="79076F04" w14:textId="77777777" w:rsidR="00DC13B9" w:rsidRDefault="003C1C16">
      <w:pPr>
        <w:jc w:val="center"/>
      </w:pPr>
      <w:r w:rsidRPr="003C1C16">
        <w:rPr>
          <w:b/>
          <w:bCs/>
        </w:rPr>
        <w:t>Review of Payments System Regulation</w:t>
      </w:r>
      <w:r w:rsidRPr="003C1C16">
        <w:br/>
      </w:r>
      <w:r w:rsidRPr="003C1C16">
        <w:rPr>
          <w:i/>
          <w:iCs/>
        </w:rPr>
        <w:t>Submission by Fiserv Australia</w:t>
      </w:r>
    </w:p>
    <w:p w14:paraId="6C490918" w14:textId="77777777" w:rsidR="00DC13B9" w:rsidRDefault="00A445D7" w:rsidP="00BC7F6F">
      <w:pPr>
        <w:pStyle w:val="Heading1"/>
      </w:pPr>
      <w:r>
        <w:t xml:space="preserve">1. </w:t>
      </w:r>
      <w:r w:rsidR="00BC7F6F" w:rsidRPr="00BC7F6F">
        <w:t>Introduction</w:t>
      </w:r>
    </w:p>
    <w:p w14:paraId="03D7D080" w14:textId="77777777" w:rsidR="00DC13B9" w:rsidRDefault="00C140B7" w:rsidP="00215436">
      <w:r w:rsidRPr="00C140B7">
        <w:t>Fiserv welcomes the opportunity to respond to the Reserve Bank of Australia’s Review of Payments System Regulation Issues Paper dated 25 June 2026.</w:t>
      </w:r>
    </w:p>
    <w:p w14:paraId="7722706F" w14:textId="77777777" w:rsidR="00DC13B9" w:rsidRDefault="003D1FC5" w:rsidP="0046178E">
      <w:r w:rsidRPr="003D1FC5">
        <w:t>Fiserv supports the RBA’s objective of ensuring that payments system regulation continues to promote competition, efficiency and financial safety while responding appropriately to innovation and structural change in the Australian payments landscape.</w:t>
      </w:r>
    </w:p>
    <w:p w14:paraId="33D953C9" w14:textId="77777777" w:rsidR="004D39F3" w:rsidRPr="004D39F3" w:rsidRDefault="00A445D7" w:rsidP="00AB20D7">
      <w:r>
        <w:t xml:space="preserve">Fiserv provides merchant acquiring and payment services and has practical experience implementing regulatory, reporting, disclosure and technology changes across the payments ecosystem. This submission focuses on </w:t>
      </w:r>
      <w:r>
        <w:t>merchant choice and least-cost routing; regulatory reporting and data collection; account-to-account payments, including PayTo</w:t>
      </w:r>
      <w:r w:rsidR="00B279A3" w:rsidRPr="00B279A3">
        <w:t>;</w:t>
      </w:r>
      <w:r>
        <w:t xml:space="preserve"> competition in merchant acquiring; and merchant transparency and disclosure.</w:t>
      </w:r>
    </w:p>
    <w:p w14:paraId="48B5A04B" w14:textId="77777777" w:rsidR="004D39F3" w:rsidRPr="004D39F3" w:rsidRDefault="00A445D7" w:rsidP="0013158B">
      <w:r w:rsidRPr="005E21FC">
        <w:t>Fiserv’s overarching position is that future regulatory intervention should be evidence-based, proportionate</w:t>
      </w:r>
      <w:r w:rsidR="000509E2" w:rsidRPr="000509E2">
        <w:t xml:space="preserve"> and </w:t>
      </w:r>
      <w:r w:rsidRPr="005E21FC">
        <w:t>technology-neutral</w:t>
      </w:r>
      <w:r w:rsidR="000509E2" w:rsidRPr="000509E2">
        <w:t>,</w:t>
      </w:r>
      <w:r w:rsidRPr="005E21FC">
        <w:t xml:space="preserve"> and </w:t>
      </w:r>
      <w:r>
        <w:t>designed to address</w:t>
      </w:r>
      <w:r w:rsidRPr="005E21FC">
        <w:t xml:space="preserve"> a public-interest issue.</w:t>
      </w:r>
      <w:r>
        <w:t xml:space="preserve"> Any new regulation should also take into account the </w:t>
      </w:r>
      <w:r w:rsidRPr="005E21FC">
        <w:t>cumulative imp</w:t>
      </w:r>
      <w:r>
        <w:t xml:space="preserve">act </w:t>
      </w:r>
      <w:r w:rsidR="000509E2" w:rsidRPr="000509E2">
        <w:t xml:space="preserve">of </w:t>
      </w:r>
      <w:r>
        <w:t xml:space="preserve">increased regulation on the payments ecosystem and </w:t>
      </w:r>
      <w:r w:rsidR="000509E2" w:rsidRPr="000509E2">
        <w:t>on</w:t>
      </w:r>
      <w:r>
        <w:t xml:space="preserve"> end users</w:t>
      </w:r>
      <w:r w:rsidRPr="005E21FC">
        <w:t>.</w:t>
      </w:r>
    </w:p>
    <w:p w14:paraId="25C4C097" w14:textId="77777777" w:rsidR="00DC13B9" w:rsidRDefault="00EB50FE">
      <w:pPr>
        <w:pStyle w:val="Heading1"/>
      </w:pPr>
      <w:r w:rsidRPr="00EB50FE">
        <w:t>2. Executive Summary</w:t>
      </w:r>
    </w:p>
    <w:p w14:paraId="189F7950" w14:textId="77777777" w:rsidR="00DC13B9" w:rsidRDefault="00E856E1" w:rsidP="002C2F9A">
      <w:r w:rsidRPr="00E856E1">
        <w:t>Fiserv supports the RBA’s objectives of promoting competition, efficiency, innovation and financial safety in the Australian payments system.</w:t>
      </w:r>
    </w:p>
    <w:p w14:paraId="2BD9043C" w14:textId="77777777" w:rsidR="004D39F3" w:rsidRPr="004D39F3" w:rsidRDefault="00A445D7" w:rsidP="00BF3E1A">
      <w:r w:rsidRPr="005F0077">
        <w:t>The payments industry has already implemented significant reforms affecting merchant acquiring</w:t>
      </w:r>
      <w:r w:rsidR="00913B2F" w:rsidRPr="00913B2F">
        <w:t xml:space="preserve">, </w:t>
      </w:r>
      <w:r w:rsidRPr="005F0077">
        <w:t>including least-cost routing initiatives</w:t>
      </w:r>
      <w:r w:rsidR="00913B2F" w:rsidRPr="00913B2F">
        <w:t>,</w:t>
      </w:r>
      <w:r w:rsidRPr="005F0077">
        <w:t xml:space="preserve"> merchant cost disclosures and changes to surcharging arrangements. </w:t>
      </w:r>
      <w:r>
        <w:t>Accordingly, any f</w:t>
      </w:r>
      <w:r w:rsidRPr="005F0077">
        <w:t xml:space="preserve">urther </w:t>
      </w:r>
      <w:r>
        <w:t>requirements</w:t>
      </w:r>
      <w:r w:rsidRPr="005F0077">
        <w:t xml:space="preserve"> should be evidence</w:t>
      </w:r>
      <w:r w:rsidR="00913B2F" w:rsidRPr="00913B2F">
        <w:t>-</w:t>
      </w:r>
      <w:r>
        <w:t>based and designed to address</w:t>
      </w:r>
      <w:r w:rsidRPr="005F0077">
        <w:t xml:space="preserve"> a</w:t>
      </w:r>
      <w:r>
        <w:t xml:space="preserve"> gap or issue that is in the</w:t>
      </w:r>
      <w:r w:rsidRPr="005F0077">
        <w:t xml:space="preserve"> public</w:t>
      </w:r>
      <w:r w:rsidR="00913B2F" w:rsidRPr="00913B2F">
        <w:t xml:space="preserve"> </w:t>
      </w:r>
      <w:r w:rsidRPr="005F0077">
        <w:t>interest.</w:t>
      </w:r>
    </w:p>
    <w:p w14:paraId="41B37DCC" w14:textId="77777777" w:rsidR="00DC13B9" w:rsidRDefault="00EF3A8C" w:rsidP="008F1007">
      <w:r w:rsidRPr="00EF3A8C">
        <w:t>Fiserv recommends that the RBA:</w:t>
      </w:r>
    </w:p>
    <w:p w14:paraId="408EBE57" w14:textId="77777777" w:rsidR="00EF3A8C" w:rsidRDefault="00EF3A8C" w:rsidP="00EF3A8C">
      <w:pPr>
        <w:pStyle w:val="ListBullet"/>
        <w:rPr>
          <w:kern w:val="2"/>
          <w:lang w:val="en-AU" w:eastAsia="en-AU"/>
          <w14:ligatures w14:val="standardContextual"/>
        </w:rPr>
      </w:pPr>
      <w:r>
        <w:t>apply technology-neutral and outcomes-based regulatory principles;</w:t>
      </w:r>
    </w:p>
    <w:p w14:paraId="3F28D883" w14:textId="77777777" w:rsidR="00EF3A8C" w:rsidRDefault="00EF3A8C" w:rsidP="00EF3A8C">
      <w:pPr>
        <w:pStyle w:val="ListBullet"/>
      </w:pPr>
      <w:r>
        <w:t>assess the incremental policy benefit and implementation cost of any proposed intervention;</w:t>
      </w:r>
    </w:p>
    <w:p w14:paraId="1D06E951" w14:textId="05424B6F" w:rsidR="00EF3A8C" w:rsidRDefault="00EF3A8C" w:rsidP="00EF3A8C">
      <w:pPr>
        <w:pStyle w:val="ListBullet"/>
      </w:pPr>
      <w:r>
        <w:t>use</w:t>
      </w:r>
      <w:r w:rsidR="00815DB8">
        <w:t>, enhance</w:t>
      </w:r>
      <w:r>
        <w:t xml:space="preserve"> and </w:t>
      </w:r>
      <w:proofErr w:type="spellStart"/>
      <w:r>
        <w:t>rationalise</w:t>
      </w:r>
      <w:proofErr w:type="spellEnd"/>
      <w:r>
        <w:t xml:space="preserve"> existing reporting datasets before introducing new recurring collections;</w:t>
      </w:r>
    </w:p>
    <w:p w14:paraId="2D318618" w14:textId="77777777" w:rsidR="00EF3A8C" w:rsidRDefault="00EF3A8C" w:rsidP="00EF3A8C">
      <w:pPr>
        <w:pStyle w:val="ListBullet"/>
      </w:pPr>
      <w:r>
        <w:t>align regulatory responsibility with the party that controls the relevant technology, data or customer outcome;</w:t>
      </w:r>
    </w:p>
    <w:p w14:paraId="155CB589" w14:textId="77777777" w:rsidR="004D39F3" w:rsidRDefault="00A445D7" w:rsidP="00EB5E90">
      <w:pPr>
        <w:pStyle w:val="ListBullet"/>
      </w:pPr>
      <w:r>
        <w:t xml:space="preserve">assess the reporting requirements for account-to-account payments </w:t>
      </w:r>
      <w:r>
        <w:t xml:space="preserve">from first principles to determine whether </w:t>
      </w:r>
      <w:r w:rsidR="00EB5E90" w:rsidRPr="00EB5E90">
        <w:t>card-</w:t>
      </w:r>
      <w:r>
        <w:t xml:space="preserve">reporting requirements are appropriate or </w:t>
      </w:r>
      <w:r w:rsidR="00EB5E90" w:rsidRPr="00EB5E90">
        <w:t xml:space="preserve">whether </w:t>
      </w:r>
      <w:r>
        <w:t>different requirements should apply; and</w:t>
      </w:r>
    </w:p>
    <w:p w14:paraId="63E9A160" w14:textId="77777777" w:rsidR="00EF3A8C" w:rsidRDefault="00EF3A8C" w:rsidP="00EF3A8C">
      <w:pPr>
        <w:pStyle w:val="ListBullet"/>
      </w:pPr>
      <w:r>
        <w:t>ensure that merchant disclosures are clear, useful and proportionate.</w:t>
      </w:r>
    </w:p>
    <w:p w14:paraId="47E63779" w14:textId="77777777" w:rsidR="00DC13B9" w:rsidRDefault="00B53A48" w:rsidP="00B53A48">
      <w:pPr>
        <w:pStyle w:val="Heading1"/>
        <w:spacing w:before="200"/>
      </w:pPr>
      <w:r w:rsidRPr="00B53A48">
        <w:lastRenderedPageBreak/>
        <w:t xml:space="preserve">3. Principles for Regulatory </w:t>
      </w:r>
      <w:proofErr w:type="spellStart"/>
      <w:r w:rsidRPr="00B53A48">
        <w:t>Prioritisation</w:t>
      </w:r>
      <w:proofErr w:type="spellEnd"/>
    </w:p>
    <w:p w14:paraId="6A14A6BB" w14:textId="77777777" w:rsidR="00DC13B9" w:rsidRDefault="003A0F6B" w:rsidP="00526FD6">
      <w:r w:rsidRPr="003A0F6B">
        <w:t>Australia’s payments system is competitive and continues to evolve rapidly. Innovation is occurring through account-to-account payments, real-time payment infrastructure, integrated acceptance platforms and alternative payment methods.</w:t>
      </w:r>
    </w:p>
    <w:p w14:paraId="4125A8F6" w14:textId="77777777" w:rsidR="004D39F3" w:rsidRPr="004D39F3" w:rsidRDefault="00A445D7" w:rsidP="00A3051F">
      <w:r>
        <w:t>In this environment, regulation should focus on outcomes rather than particular technologies or payment rails.</w:t>
      </w:r>
      <w:r w:rsidDel="00B41D4C">
        <w:t xml:space="preserve"> </w:t>
      </w:r>
      <w:r>
        <w:t xml:space="preserve">The guiding principle of ‘same risk, same regulation’ should apply across payment services unless there is good reason to deviate from </w:t>
      </w:r>
      <w:r w:rsidR="00AB05CB" w:rsidRPr="00AB05CB">
        <w:t>it.</w:t>
      </w:r>
      <w:r>
        <w:t xml:space="preserve"> In addition, a risk</w:t>
      </w:r>
      <w:r w:rsidR="00AB05CB" w:rsidRPr="00AB05CB">
        <w:t>-</w:t>
      </w:r>
      <w:r>
        <w:t>based approach to regulation should be adopted that has regard to the scale, maturity and functionality of the payment service.</w:t>
      </w:r>
    </w:p>
    <w:p w14:paraId="42FD6314" w14:textId="77777777" w:rsidR="003A0F6B" w:rsidRDefault="003A0F6B">
      <w:pPr>
        <w:rPr>
          <w:kern w:val="2"/>
          <w:szCs w:val="21"/>
          <w:lang w:val="en-AU" w:eastAsia="en-AU"/>
          <w14:ligatures w14:val="standardContextual"/>
        </w:rPr>
      </w:pPr>
      <w:r>
        <w:t>The RBA should also consider the cumulative effect of successive regulatory initiatives. New requirements commonly involve more than compliance policy changes. They can require material system development, data mapping, testing, quality assurance, governance oversight, operational reconciliation and ongoing control maintenance.</w:t>
      </w:r>
    </w:p>
    <w:p w14:paraId="51F51103" w14:textId="02865282" w:rsidR="00BB41EC" w:rsidRDefault="003A0F6B">
      <w:r>
        <w:t xml:space="preserve">These costs are borne by industry participants and may flow through to the cost of providing payment acceptance services to merchants. Accordingly, the RBA should </w:t>
      </w:r>
      <w:proofErr w:type="spellStart"/>
      <w:r>
        <w:t>prioritise</w:t>
      </w:r>
      <w:proofErr w:type="spellEnd"/>
      <w:r>
        <w:t xml:space="preserve"> matters where there is credible evidence of a material issue</w:t>
      </w:r>
      <w:r w:rsidR="00504617">
        <w:t xml:space="preserve"> that</w:t>
      </w:r>
      <w:r>
        <w:t xml:space="preserve"> existing </w:t>
      </w:r>
      <w:r w:rsidR="00504617">
        <w:t xml:space="preserve">requirements </w:t>
      </w:r>
      <w:r>
        <w:t>are unlikely to address</w:t>
      </w:r>
      <w:r w:rsidR="00BB41EC">
        <w:t>. Further, any new requirement should:</w:t>
      </w:r>
    </w:p>
    <w:p w14:paraId="46D9BB92" w14:textId="7617EC09" w:rsidR="00BB41EC" w:rsidRPr="000B15FA" w:rsidRDefault="00A61D5E" w:rsidP="00BB41EC">
      <w:pPr>
        <w:pStyle w:val="ListParagraph"/>
        <w:numPr>
          <w:ilvl w:val="0"/>
          <w:numId w:val="16"/>
        </w:numPr>
        <w:rPr>
          <w:kern w:val="2"/>
          <w:szCs w:val="21"/>
          <w:lang w:val="en-AU" w:eastAsia="en-AU"/>
          <w14:ligatures w14:val="standardContextual"/>
        </w:rPr>
      </w:pPr>
      <w:r>
        <w:t xml:space="preserve">be </w:t>
      </w:r>
      <w:r w:rsidR="003A0F6B">
        <w:t>proportionate</w:t>
      </w:r>
      <w:r w:rsidR="00BB41EC">
        <w:t xml:space="preserve">; </w:t>
      </w:r>
    </w:p>
    <w:p w14:paraId="75B5E1D8" w14:textId="77777777" w:rsidR="004D39F3" w:rsidRPr="002440E9" w:rsidRDefault="00A445D7" w:rsidP="002440E9">
      <w:pPr>
        <w:pStyle w:val="ListParagraph"/>
        <w:numPr>
          <w:ilvl w:val="0"/>
          <w:numId w:val="16"/>
        </w:numPr>
        <w:rPr>
          <w:kern w:val="2"/>
          <w:szCs w:val="21"/>
          <w:lang w:val="en-AU" w:eastAsia="en-AU"/>
          <w14:ligatures w14:val="standardContextual"/>
        </w:rPr>
      </w:pPr>
      <w:r>
        <w:t xml:space="preserve">direct accountability </w:t>
      </w:r>
      <w:r w:rsidR="002440E9" w:rsidRPr="002440E9">
        <w:t>to</w:t>
      </w:r>
      <w:r>
        <w:t xml:space="preserve"> those participants with practical control; and</w:t>
      </w:r>
    </w:p>
    <w:p w14:paraId="67C07176" w14:textId="4FEE58A0" w:rsidR="003A0F6B" w:rsidRPr="00BB41EC" w:rsidRDefault="00A61D5E" w:rsidP="000B15FA">
      <w:pPr>
        <w:pStyle w:val="ListParagraph"/>
        <w:numPr>
          <w:ilvl w:val="0"/>
          <w:numId w:val="16"/>
        </w:numPr>
        <w:rPr>
          <w:kern w:val="2"/>
          <w:szCs w:val="21"/>
          <w:lang w:val="en-AU" w:eastAsia="en-AU"/>
          <w14:ligatures w14:val="standardContextual"/>
        </w:rPr>
      </w:pPr>
      <w:r>
        <w:t xml:space="preserve">apply where </w:t>
      </w:r>
      <w:r w:rsidR="003A0F6B">
        <w:t>the expected public benefit exceeds the implementation and ongoing operational cost.</w:t>
      </w:r>
    </w:p>
    <w:p w14:paraId="41010FEB" w14:textId="77777777" w:rsidR="00DC13B9" w:rsidRDefault="00D76353" w:rsidP="00D76353">
      <w:pPr>
        <w:pStyle w:val="Heading1"/>
      </w:pPr>
      <w:r w:rsidRPr="00D76353">
        <w:t>4</w:t>
      </w:r>
      <w:r>
        <w:t>. Regulatory Reporting and Data Collection</w:t>
      </w:r>
    </w:p>
    <w:p w14:paraId="059A096A" w14:textId="215F3D26" w:rsidR="00DC13B9" w:rsidRDefault="00DD2B65" w:rsidP="00670421">
      <w:r w:rsidRPr="00DD2B65">
        <w:t xml:space="preserve">Fiserv recognises that reliable industry data is important to evidence-based regulation and effective regulatory oversight. However, the volume and complexity of payments reporting obligations have </w:t>
      </w:r>
      <w:r w:rsidR="000126B0">
        <w:t xml:space="preserve">materially </w:t>
      </w:r>
      <w:r w:rsidRPr="00DD2B65">
        <w:t>increased in recent years.</w:t>
      </w:r>
    </w:p>
    <w:p w14:paraId="698915FB" w14:textId="77777777" w:rsidR="00DC13B9" w:rsidRDefault="005E0C1A" w:rsidP="00337A20">
      <w:r w:rsidRPr="005E0C1A">
        <w:t>Merchant acquirers may be required to support reporting across merchant payment costs, cost of acceptance, least-cost routing, interchange, merchant disclosures and surcharging-related requirements. These obligations can require data to be extracted from multiple platforms, transformed into prescribed formats, reconciled, quality-assured and approved through governance processes.</w:t>
      </w:r>
    </w:p>
    <w:p w14:paraId="5D22530F" w14:textId="77777777" w:rsidR="005E0C1A" w:rsidRDefault="005E0C1A">
      <w:pPr>
        <w:rPr>
          <w:kern w:val="2"/>
          <w:szCs w:val="21"/>
          <w:lang w:val="en-AU" w:eastAsia="en-AU"/>
          <w14:ligatures w14:val="standardContextual"/>
        </w:rPr>
      </w:pPr>
      <w:r>
        <w:t>Additional reporting is therefore not cost neutral. It may require technology development and testing, data lineage and mapping, manual or automated reconciliation, control design and assurance, governance review and approval, and ongoing remediation where source systems or regulatory definitions change.</w:t>
      </w:r>
    </w:p>
    <w:p w14:paraId="059E6C30" w14:textId="77777777" w:rsidR="005E0C1A" w:rsidRDefault="005E0C1A">
      <w:pPr>
        <w:rPr>
          <w:kern w:val="2"/>
          <w:szCs w:val="21"/>
          <w:lang w:val="en-AU" w:eastAsia="en-AU"/>
          <w14:ligatures w14:val="standardContextual"/>
        </w:rPr>
      </w:pPr>
      <w:r>
        <w:t>Before introducing further recurring data collections, the RBA should consider whether:</w:t>
      </w:r>
    </w:p>
    <w:p w14:paraId="7020F354" w14:textId="77777777" w:rsidR="005E0C1A" w:rsidRPr="00620112" w:rsidRDefault="005E0C1A" w:rsidP="005E0C1A">
      <w:pPr>
        <w:pStyle w:val="ListParagraph"/>
        <w:numPr>
          <w:ilvl w:val="0"/>
          <w:numId w:val="11"/>
        </w:numPr>
        <w:rPr>
          <w:kern w:val="2"/>
          <w:szCs w:val="21"/>
          <w:lang w:val="en-AU" w:eastAsia="en-AU"/>
          <w14:ligatures w14:val="standardContextual"/>
        </w:rPr>
      </w:pPr>
      <w:r w:rsidRPr="00620112">
        <w:rPr>
          <w:szCs w:val="21"/>
        </w:rPr>
        <w:t>existing RBA, scheme, acquirer or industry datasets can be used or refined;</w:t>
      </w:r>
    </w:p>
    <w:p w14:paraId="3B23D40E" w14:textId="77777777" w:rsidR="005E0C1A" w:rsidRPr="00620112" w:rsidRDefault="005E0C1A" w:rsidP="005E0C1A">
      <w:pPr>
        <w:pStyle w:val="ListParagraph"/>
        <w:numPr>
          <w:ilvl w:val="0"/>
          <w:numId w:val="11"/>
        </w:numPr>
        <w:rPr>
          <w:szCs w:val="21"/>
        </w:rPr>
      </w:pPr>
      <w:r w:rsidRPr="00620112">
        <w:rPr>
          <w:szCs w:val="21"/>
        </w:rPr>
        <w:t>overlapping obligations can be consolidated or simplified;</w:t>
      </w:r>
    </w:p>
    <w:p w14:paraId="688ADE59" w14:textId="77777777" w:rsidR="005E0C1A" w:rsidRPr="00620112" w:rsidRDefault="005E0C1A" w:rsidP="005E0C1A">
      <w:pPr>
        <w:pStyle w:val="ListParagraph"/>
        <w:numPr>
          <w:ilvl w:val="0"/>
          <w:numId w:val="11"/>
        </w:numPr>
        <w:rPr>
          <w:szCs w:val="21"/>
        </w:rPr>
      </w:pPr>
      <w:r w:rsidRPr="00620112">
        <w:rPr>
          <w:szCs w:val="21"/>
        </w:rPr>
        <w:t>targeted information requests, thematic reviews or sample-based collections would meet the policy objective;</w:t>
      </w:r>
    </w:p>
    <w:p w14:paraId="3280DE31" w14:textId="77777777" w:rsidR="005E0C1A" w:rsidRPr="00620112" w:rsidRDefault="005E0C1A" w:rsidP="005E0C1A">
      <w:pPr>
        <w:pStyle w:val="ListParagraph"/>
        <w:numPr>
          <w:ilvl w:val="0"/>
          <w:numId w:val="11"/>
        </w:numPr>
        <w:rPr>
          <w:szCs w:val="21"/>
        </w:rPr>
      </w:pPr>
      <w:r w:rsidRPr="00620112">
        <w:rPr>
          <w:szCs w:val="21"/>
        </w:rPr>
        <w:t>the frequency and granularity of the data are proportionate to the identified issue; and</w:t>
      </w:r>
    </w:p>
    <w:p w14:paraId="14D8B9D2" w14:textId="77777777" w:rsidR="005E0C1A" w:rsidRPr="00620112" w:rsidRDefault="005E0C1A" w:rsidP="005E0C1A">
      <w:pPr>
        <w:pStyle w:val="ListParagraph"/>
        <w:numPr>
          <w:ilvl w:val="0"/>
          <w:numId w:val="11"/>
        </w:numPr>
        <w:rPr>
          <w:szCs w:val="21"/>
        </w:rPr>
      </w:pPr>
      <w:r w:rsidRPr="00620112">
        <w:rPr>
          <w:szCs w:val="21"/>
        </w:rPr>
        <w:t>reasonable implementation periods have been allowed for systems, data governance and control changes.</w:t>
      </w:r>
    </w:p>
    <w:p w14:paraId="4059EEC7" w14:textId="77777777" w:rsidR="00DC13B9" w:rsidRDefault="004A7895" w:rsidP="004A7895">
      <w:pPr>
        <w:pStyle w:val="Heading1"/>
      </w:pPr>
      <w:r w:rsidRPr="004A7895">
        <w:lastRenderedPageBreak/>
        <w:t>5. Account-to-Account Payments and PayTo</w:t>
      </w:r>
    </w:p>
    <w:p w14:paraId="781E51DF" w14:textId="77777777" w:rsidR="00DC13B9" w:rsidRDefault="00516DB7" w:rsidP="0086171F">
      <w:r w:rsidRPr="00516DB7">
        <w:t>Fiserv supports the continued development of account-to-account payments, including PayTo. These services have the potential to increase merchant and consumer choice, strengthen competition between payment methods and improve the resilience of the broader payments ecosystem.</w:t>
      </w:r>
    </w:p>
    <w:p w14:paraId="72DE43E5" w14:textId="77777777" w:rsidR="00DC13B9" w:rsidRDefault="002060C9" w:rsidP="004F38EC">
      <w:r w:rsidRPr="002060C9">
        <w:t>The future adoption of PayTo will depend on factors including customer experience, consumer confidence, merchant integration costs, interoperability, dispute and refund processes, fraud controls, commercial models and consistent availability through financial institutions and payment service providers.</w:t>
      </w:r>
    </w:p>
    <w:p w14:paraId="57271C59" w14:textId="77777777" w:rsidR="004D39F3" w:rsidRPr="004D39F3" w:rsidRDefault="00A445D7" w:rsidP="003067C4">
      <w:r>
        <w:t xml:space="preserve">As account-to-account payment products remain at an earlier stage of adoption </w:t>
      </w:r>
      <w:r w:rsidR="005B0167" w:rsidRPr="005B0167">
        <w:t>than</w:t>
      </w:r>
      <w:r>
        <w:t xml:space="preserve"> established card payments</w:t>
      </w:r>
      <w:r w:rsidR="005B0167" w:rsidRPr="005B0167">
        <w:t>,</w:t>
      </w:r>
      <w:r>
        <w:t xml:space="preserve"> regulatory settings should allow sufficient flexibility for the market and supporting</w:t>
      </w:r>
      <w:r>
        <w:t xml:space="preserve"> technology to mature. Premature or prescriptive requirements may increase implementation costs, inhibit product development and discourage merchant adoption.</w:t>
      </w:r>
    </w:p>
    <w:p w14:paraId="4C070711" w14:textId="77777777" w:rsidR="00DC13B9" w:rsidRDefault="0039170C" w:rsidP="00B166B8">
      <w:r w:rsidRPr="0039170C">
        <w:t>Fiserv recommends that the RBA:</w:t>
      </w:r>
    </w:p>
    <w:p w14:paraId="369780B2" w14:textId="77777777" w:rsidR="0039170C" w:rsidRDefault="0039170C" w:rsidP="0039170C">
      <w:pPr>
        <w:pStyle w:val="ListBullet"/>
        <w:rPr>
          <w:kern w:val="2"/>
          <w:lang w:val="en-AU" w:eastAsia="en-AU"/>
          <w14:ligatures w14:val="standardContextual"/>
        </w:rPr>
      </w:pPr>
      <w:r>
        <w:t>maintain technology-neutral and outcomes-based regulation;</w:t>
      </w:r>
    </w:p>
    <w:p w14:paraId="161ADABB" w14:textId="77777777" w:rsidR="005B6690" w:rsidRPr="00082AA0" w:rsidRDefault="00082AA0" w:rsidP="00082AA0">
      <w:pPr>
        <w:pStyle w:val="ListBullet"/>
        <w:rPr>
          <w:kern w:val="2"/>
          <w:lang w:val="en-AU" w:eastAsia="en-AU"/>
          <w14:ligatures w14:val="standardContextual"/>
        </w:rPr>
      </w:pPr>
      <w:r w:rsidRPr="00082AA0">
        <w:t>assess the risks associated with account-to-account transactions from first principles to determine whether those risks are similar to those associated with card payments and, on that basis, whether card-specific reporting or disclosure requirements are appropriate for account-to-account payments or whether different requirements should apply;</w:t>
      </w:r>
    </w:p>
    <w:p w14:paraId="09F095C7" w14:textId="505E3ED8" w:rsidR="0039170C" w:rsidRDefault="0039170C" w:rsidP="0039170C">
      <w:pPr>
        <w:pStyle w:val="ListBullet"/>
      </w:pPr>
      <w:r>
        <w:t>assess obligations by reference to the functionality, scale</w:t>
      </w:r>
      <w:r w:rsidR="0078495A">
        <w:t>, maturity</w:t>
      </w:r>
      <w:r>
        <w:t xml:space="preserve"> and risk of the service;</w:t>
      </w:r>
    </w:p>
    <w:p w14:paraId="20CF420E" w14:textId="77777777" w:rsidR="004D39F3" w:rsidRDefault="00A445D7" w:rsidP="005C517D">
      <w:pPr>
        <w:pStyle w:val="ListBullet"/>
      </w:pPr>
      <w:r>
        <w:t>support interoperability, comparability and consistent customer experiences;</w:t>
      </w:r>
    </w:p>
    <w:p w14:paraId="5DF07FE1" w14:textId="77777777" w:rsidR="0039170C" w:rsidRDefault="0039170C" w:rsidP="0039170C">
      <w:pPr>
        <w:pStyle w:val="ListBullet"/>
      </w:pPr>
      <w:r>
        <w:t>consider the combined effect of fraud, dispute, refund and consumer-protection arrangements on adoption; and</w:t>
      </w:r>
    </w:p>
    <w:p w14:paraId="6E66B912" w14:textId="77777777" w:rsidR="0039170C" w:rsidRDefault="0039170C" w:rsidP="0039170C">
      <w:pPr>
        <w:pStyle w:val="ListBullet"/>
      </w:pPr>
      <w:r>
        <w:t>engage with industry before introducing permanent reporting obligations for emerging payment methods.</w:t>
      </w:r>
    </w:p>
    <w:p w14:paraId="0102FC74" w14:textId="06203CCB" w:rsidR="00DC13B9" w:rsidRDefault="0064352B" w:rsidP="00682730">
      <w:r w:rsidRPr="0064352B">
        <w:t xml:space="preserve">Regulatory equivalence should be based on </w:t>
      </w:r>
      <w:r w:rsidR="00F4103E">
        <w:t>risk</w:t>
      </w:r>
      <w:r w:rsidRPr="0064352B">
        <w:t>, rather than requiring identical treatment of products that are at different stages of development.</w:t>
      </w:r>
    </w:p>
    <w:p w14:paraId="0983FF12" w14:textId="77777777" w:rsidR="00DC13B9" w:rsidRDefault="00104D30" w:rsidP="00104D30">
      <w:pPr>
        <w:pStyle w:val="Heading1"/>
      </w:pPr>
      <w:r w:rsidRPr="00104D30">
        <w:t>6</w:t>
      </w:r>
      <w:r>
        <w:t>. Competition in Merchant Acquiring</w:t>
      </w:r>
    </w:p>
    <w:p w14:paraId="6B5892F5" w14:textId="77777777" w:rsidR="00DC13B9" w:rsidRDefault="005A4261" w:rsidP="000B52C0">
      <w:r w:rsidRPr="005A4261">
        <w:t>Merchant acquiring is a competitive market in which providers compete across price, service quality, fraud controls, merchant onboarding, technology, integration capability, reporting and access to alternative payment methods.</w:t>
      </w:r>
    </w:p>
    <w:p w14:paraId="2CC8800C" w14:textId="77777777" w:rsidR="00DC13B9" w:rsidRDefault="00AD0E43" w:rsidP="009B3B2D">
      <w:r w:rsidRPr="00AD0E43">
        <w:t>Assessments of competition should therefore consider the overall value and cost of providing merchant services rather than focusing solely on headline merchant fee levels. Acquirers continue to make substantial investments in cybersecurity, fraud prevention, anti-money laundering and counter-terrorism financing compliance, data security, operational resilience and regulatory reporting.</w:t>
      </w:r>
    </w:p>
    <w:p w14:paraId="1B6AFA15" w14:textId="77777777" w:rsidR="00AD0E43" w:rsidRDefault="00AD0E43">
      <w:pPr>
        <w:rPr>
          <w:kern w:val="2"/>
          <w:szCs w:val="21"/>
          <w:lang w:val="en-AU" w:eastAsia="en-AU"/>
          <w14:ligatures w14:val="standardContextual"/>
        </w:rPr>
      </w:pPr>
      <w:r>
        <w:t xml:space="preserve">Fiserv considers that effective and sustainable competition is best supported by preserving merchant choice between providers and payment methods; maintaining consistent regulatory treatment of functionally equivalent services; avoiding requirements that create disproportionate barriers to entry or expansion; </w:t>
      </w:r>
      <w:proofErr w:type="spellStart"/>
      <w:r>
        <w:t>recognising</w:t>
      </w:r>
      <w:proofErr w:type="spellEnd"/>
      <w:r>
        <w:t xml:space="preserve"> the cost of security, compliance and technology investment; and assessing competition across the full merchant service offering.</w:t>
      </w:r>
    </w:p>
    <w:p w14:paraId="0E10CC65" w14:textId="77777777" w:rsidR="00DC13B9" w:rsidRDefault="00526998" w:rsidP="005228E7">
      <w:r w:rsidRPr="00526998">
        <w:t>Regulatory intervention should not inadvertently discourage investment in the systems, controls and services that support safe and reliable merchant payment acceptance.</w:t>
      </w:r>
    </w:p>
    <w:p w14:paraId="2C899117" w14:textId="77777777" w:rsidR="00DC13B9" w:rsidRDefault="00DC6A92" w:rsidP="00DC6A92">
      <w:pPr>
        <w:pStyle w:val="Heading1"/>
      </w:pPr>
      <w:r w:rsidRPr="00DC6A92">
        <w:lastRenderedPageBreak/>
        <w:t>7</w:t>
      </w:r>
      <w:r>
        <w:t xml:space="preserve">. Least-Cost Routing </w:t>
      </w:r>
      <w:r w:rsidRPr="00DC6A92">
        <w:t>and Merchant Choice</w:t>
      </w:r>
    </w:p>
    <w:p w14:paraId="2C470449" w14:textId="77777777" w:rsidR="00DC13B9" w:rsidRDefault="00BF4BA2" w:rsidP="00F401CD">
      <w:r w:rsidRPr="00BF4BA2">
        <w:t>Fiserv supports the policy objective of enabling merchants to access efficient and lower-cost routing options where those options are technically and commercially available.</w:t>
      </w:r>
    </w:p>
    <w:p w14:paraId="559B06CA" w14:textId="41B13C24" w:rsidR="00DC13B9" w:rsidRDefault="00701F7F" w:rsidP="004E4E76">
      <w:r w:rsidRPr="00701F7F">
        <w:t>The payments acceptance ecosystem is increasingly distributed</w:t>
      </w:r>
      <w:r w:rsidR="0007098C">
        <w:t xml:space="preserve"> and intermediated</w:t>
      </w:r>
      <w:r w:rsidRPr="00701F7F">
        <w:t>. Depending on the merchant arrangement, routing decisions and configuration</w:t>
      </w:r>
      <w:r w:rsidR="0007098C">
        <w:t>,</w:t>
      </w:r>
      <w:r w:rsidRPr="00701F7F">
        <w:t xml:space="preserve"> data may be controlled by acquirers, gateways, payment facilitators, independent software vendors, terminal providers, wallet providers or other technology participants.</w:t>
      </w:r>
    </w:p>
    <w:p w14:paraId="78F5B3C9" w14:textId="77777777" w:rsidR="00701F7F" w:rsidRDefault="00701F7F">
      <w:r>
        <w:t>An acquirer may not have full control over, or visibility of, the merchant’s routing configuration in every environment. Regulatory expectations and reporting responsibilities should therefore reflect the actual allocation of control and access to data throughout the ecosystem.</w:t>
      </w:r>
    </w:p>
    <w:p w14:paraId="0B8B22A1" w14:textId="77777777" w:rsidR="004D39F3" w:rsidRPr="004D39F3" w:rsidRDefault="00A445D7" w:rsidP="00B53F8B">
      <w:r w:rsidRPr="00174909">
        <w:rPr>
          <w:kern w:val="2"/>
          <w:szCs w:val="21"/>
          <w:lang w:eastAsia="en-AU"/>
          <w14:ligatures w14:val="standardContextual"/>
        </w:rPr>
        <w:t xml:space="preserve">More broadly, there is </w:t>
      </w:r>
      <w:r w:rsidR="000953D4" w:rsidRPr="000953D4">
        <w:t xml:space="preserve">a </w:t>
      </w:r>
      <w:r w:rsidRPr="00174909">
        <w:rPr>
          <w:kern w:val="2"/>
          <w:szCs w:val="21"/>
          <w:lang w:eastAsia="en-AU"/>
          <w14:ligatures w14:val="standardContextual"/>
        </w:rPr>
        <w:t xml:space="preserve">clear commercial benefit </w:t>
      </w:r>
      <w:r w:rsidR="000953D4" w:rsidRPr="000953D4">
        <w:t>for</w:t>
      </w:r>
      <w:r w:rsidRPr="00174909">
        <w:rPr>
          <w:kern w:val="2"/>
          <w:szCs w:val="21"/>
          <w:lang w:eastAsia="en-AU"/>
          <w14:ligatures w14:val="standardContextual"/>
        </w:rPr>
        <w:t xml:space="preserve"> acquirers and merchants </w:t>
      </w:r>
      <w:r w:rsidR="000953D4" w:rsidRPr="000953D4">
        <w:t xml:space="preserve">in enabling </w:t>
      </w:r>
      <w:r w:rsidRPr="00174909">
        <w:rPr>
          <w:kern w:val="2"/>
          <w:szCs w:val="21"/>
          <w:lang w:eastAsia="en-AU"/>
          <w14:ligatures w14:val="standardContextual"/>
        </w:rPr>
        <w:t>least</w:t>
      </w:r>
      <w:r w:rsidR="000953D4" w:rsidRPr="000953D4">
        <w:t>-</w:t>
      </w:r>
      <w:r w:rsidRPr="00174909">
        <w:rPr>
          <w:kern w:val="2"/>
          <w:szCs w:val="21"/>
          <w:lang w:eastAsia="en-AU"/>
          <w14:ligatures w14:val="standardContextual"/>
        </w:rPr>
        <w:t>cost routing. We believe</w:t>
      </w:r>
      <w:r w:rsidR="000953D4" w:rsidRPr="000953D4">
        <w:t xml:space="preserve"> </w:t>
      </w:r>
      <w:r w:rsidRPr="00174909">
        <w:rPr>
          <w:kern w:val="2"/>
          <w:szCs w:val="21"/>
          <w:lang w:eastAsia="en-AU"/>
          <w14:ligatures w14:val="standardContextual"/>
        </w:rPr>
        <w:t>the RBA should discontinue</w:t>
      </w:r>
      <w:r w:rsidR="000953D4" w:rsidRPr="000953D4">
        <w:t xml:space="preserve"> the associated </w:t>
      </w:r>
      <w:r w:rsidRPr="00174909">
        <w:rPr>
          <w:kern w:val="2"/>
          <w:szCs w:val="21"/>
          <w:lang w:eastAsia="en-AU"/>
          <w14:ligatures w14:val="standardContextual"/>
        </w:rPr>
        <w:t xml:space="preserve">reporting obligations and allow market participants to </w:t>
      </w:r>
      <w:r w:rsidR="000953D4" w:rsidRPr="000953D4">
        <w:t>use</w:t>
      </w:r>
      <w:r w:rsidRPr="00174909">
        <w:rPr>
          <w:kern w:val="2"/>
          <w:szCs w:val="21"/>
          <w:lang w:eastAsia="en-AU"/>
          <w14:ligatures w14:val="standardContextual"/>
        </w:rPr>
        <w:t xml:space="preserve"> least</w:t>
      </w:r>
      <w:r w:rsidR="000953D4" w:rsidRPr="000953D4">
        <w:t>-</w:t>
      </w:r>
      <w:r w:rsidRPr="00174909">
        <w:rPr>
          <w:kern w:val="2"/>
          <w:szCs w:val="21"/>
          <w:lang w:eastAsia="en-AU"/>
          <w14:ligatures w14:val="standardContextual"/>
        </w:rPr>
        <w:t xml:space="preserve">cost routing </w:t>
      </w:r>
      <w:r w:rsidR="000953D4" w:rsidRPr="000953D4">
        <w:t xml:space="preserve">as a source of </w:t>
      </w:r>
      <w:r w:rsidRPr="00174909">
        <w:rPr>
          <w:kern w:val="2"/>
          <w:szCs w:val="21"/>
          <w:lang w:eastAsia="en-AU"/>
          <w14:ligatures w14:val="standardContextual"/>
        </w:rPr>
        <w:t xml:space="preserve">competitive advantage </w:t>
      </w:r>
      <w:r w:rsidR="000953D4" w:rsidRPr="000953D4">
        <w:t>over</w:t>
      </w:r>
      <w:r w:rsidRPr="00174909">
        <w:rPr>
          <w:kern w:val="2"/>
          <w:szCs w:val="21"/>
          <w:lang w:eastAsia="en-AU"/>
          <w14:ligatures w14:val="standardContextual"/>
        </w:rPr>
        <w:t xml:space="preserve"> acquirers </w:t>
      </w:r>
      <w:r w:rsidR="000953D4" w:rsidRPr="000953D4">
        <w:t>that</w:t>
      </w:r>
      <w:r w:rsidRPr="00174909">
        <w:rPr>
          <w:kern w:val="2"/>
          <w:szCs w:val="21"/>
          <w:lang w:eastAsia="en-AU"/>
          <w14:ligatures w14:val="standardContextual"/>
        </w:rPr>
        <w:t xml:space="preserve"> elect not </w:t>
      </w:r>
      <w:r w:rsidR="000953D4" w:rsidRPr="000953D4">
        <w:t xml:space="preserve">to enable it </w:t>
      </w:r>
      <w:r w:rsidRPr="00174909">
        <w:rPr>
          <w:kern w:val="2"/>
          <w:szCs w:val="21"/>
          <w:lang w:eastAsia="en-AU"/>
          <w14:ligatures w14:val="standardContextual"/>
        </w:rPr>
        <w:t>proactively</w:t>
      </w:r>
      <w:r w:rsidR="000953D4" w:rsidRPr="000953D4">
        <w:t>.</w:t>
      </w:r>
    </w:p>
    <w:p w14:paraId="70A52425" w14:textId="77777777" w:rsidR="00DC13B9" w:rsidRDefault="00AD7BCC" w:rsidP="00923961">
      <w:r w:rsidRPr="00AD7BCC">
        <w:t>Fiserv recommends that future least-cost routing policy and reporting arrangements:</w:t>
      </w:r>
    </w:p>
    <w:p w14:paraId="4E1DF4F6" w14:textId="77777777" w:rsidR="00AD7BCC" w:rsidRDefault="00AD7BCC" w:rsidP="00AD7BCC">
      <w:pPr>
        <w:pStyle w:val="ListBullet"/>
        <w:rPr>
          <w:kern w:val="2"/>
          <w:lang w:val="en-AU" w:eastAsia="en-AU"/>
          <w14:ligatures w14:val="standardContextual"/>
        </w:rPr>
      </w:pPr>
      <w:r>
        <w:t>align accountability with the participant that controls the relevant routing decision or data;</w:t>
      </w:r>
    </w:p>
    <w:p w14:paraId="6E4B6FBC" w14:textId="77777777" w:rsidR="00AD7BCC" w:rsidRDefault="00AD7BCC" w:rsidP="00AD7BCC">
      <w:pPr>
        <w:pStyle w:val="ListBullet"/>
      </w:pPr>
      <w:proofErr w:type="spellStart"/>
      <w:r>
        <w:t>recognise</w:t>
      </w:r>
      <w:proofErr w:type="spellEnd"/>
      <w:r>
        <w:t xml:space="preserve"> technical dependencies in mobile, online and integrated payment environments;</w:t>
      </w:r>
    </w:p>
    <w:p w14:paraId="5F0A6E7D" w14:textId="77777777" w:rsidR="00AD7BCC" w:rsidRDefault="00AD7BCC" w:rsidP="00AD7BCC">
      <w:pPr>
        <w:pStyle w:val="ListBullet"/>
      </w:pPr>
      <w:r>
        <w:t>avoid requiring one participant to attest to matters outside its reasonable visibility;</w:t>
      </w:r>
    </w:p>
    <w:p w14:paraId="2E3DA088" w14:textId="77777777" w:rsidR="00AD7BCC" w:rsidRDefault="00AD7BCC" w:rsidP="00AD7BCC">
      <w:pPr>
        <w:pStyle w:val="ListBullet"/>
      </w:pPr>
      <w:r>
        <w:t>use clear and operationally achievable definitions;</w:t>
      </w:r>
    </w:p>
    <w:p w14:paraId="0D444332" w14:textId="77777777" w:rsidR="00AD7BCC" w:rsidRDefault="00AD7BCC" w:rsidP="00AD7BCC">
      <w:pPr>
        <w:pStyle w:val="ListBullet"/>
      </w:pPr>
      <w:r>
        <w:t>minimise duplicative reporting by multiple participants; and</w:t>
      </w:r>
    </w:p>
    <w:p w14:paraId="0ED29B13" w14:textId="77777777" w:rsidR="00AD7BCC" w:rsidRDefault="00AD7BCC" w:rsidP="00AD7BCC">
      <w:pPr>
        <w:pStyle w:val="ListBullet"/>
      </w:pPr>
      <w:r>
        <w:t>allow appropriate implementation periods following changes to technical or reporting requirements.</w:t>
      </w:r>
    </w:p>
    <w:p w14:paraId="35BFC8B4" w14:textId="1DC8ED79" w:rsidR="00DC13B9" w:rsidRDefault="00094C50" w:rsidP="000D6761">
      <w:r w:rsidRPr="00094C50">
        <w:t>Continued industry consultation will be important to ensur</w:t>
      </w:r>
      <w:r w:rsidR="000778DC">
        <w:t>e</w:t>
      </w:r>
      <w:r w:rsidRPr="00094C50">
        <w:t xml:space="preserve"> that regulatory expectations are capable of consistent implementation across different acceptance models.</w:t>
      </w:r>
    </w:p>
    <w:p w14:paraId="752EBD2E" w14:textId="72DDAA7B" w:rsidR="00490016" w:rsidRDefault="00490016" w:rsidP="000D6761">
      <w:r>
        <w:t xml:space="preserve">It is also noted that </w:t>
      </w:r>
      <w:r w:rsidR="00827EB5" w:rsidRPr="00827EB5">
        <w:t>Merchant choice depends not only on pricing transparency but also practical ability to switch providers. Industry efforts that improve portability, interoperability and data mobility should be supported provided implementation approaches remain proportionate and commercially practical</w:t>
      </w:r>
    </w:p>
    <w:p w14:paraId="3E05117C" w14:textId="77777777" w:rsidR="00DC13B9" w:rsidRDefault="00FE5A03" w:rsidP="00FE5A03">
      <w:pPr>
        <w:pStyle w:val="Heading1"/>
      </w:pPr>
      <w:r w:rsidRPr="00FE5A03">
        <w:t>8</w:t>
      </w:r>
      <w:r>
        <w:t>. Merchant Transparency and Disclosure</w:t>
      </w:r>
    </w:p>
    <w:p w14:paraId="0F32A246" w14:textId="77777777" w:rsidR="00DC13B9" w:rsidRDefault="00913439" w:rsidP="00F62A37">
      <w:r w:rsidRPr="00913439">
        <w:t>Fiserv supports measures that help merchants understand and compare the costs of accepting payments. Effective transparency can improve merchant decision-making and support competition.</w:t>
      </w:r>
    </w:p>
    <w:p w14:paraId="101A15F7" w14:textId="77777777" w:rsidR="00DC13B9" w:rsidRDefault="0039045E" w:rsidP="005B182C">
      <w:r w:rsidRPr="0039045E">
        <w:t>Disclosure requirements should, however, focus on information that merchants can readily understand and use. Excessively detailed or technical disclosures may create confusion, reduce comparability and impose significant implementation costs without materially improving merchant outcomes.</w:t>
      </w:r>
    </w:p>
    <w:p w14:paraId="47D86F5B" w14:textId="77777777" w:rsidR="0039045E" w:rsidRDefault="0039045E">
      <w:pPr>
        <w:rPr>
          <w:kern w:val="2"/>
          <w:szCs w:val="21"/>
          <w:lang w:val="en-AU" w:eastAsia="en-AU"/>
          <w14:ligatures w14:val="standardContextual"/>
        </w:rPr>
      </w:pPr>
      <w:r>
        <w:t>Changes to merchant statements or digital reporting can require amendments to billing platforms, data models, document templates, customer channels, testing processes and operational controls. These changes may be particularly complex where merchants use bundled services, multiple acceptance channels or bespoke commercial arrangements.</w:t>
      </w:r>
    </w:p>
    <w:p w14:paraId="3E4AF78F" w14:textId="77777777" w:rsidR="00DC13B9" w:rsidRDefault="00A846EC" w:rsidP="002D7380">
      <w:r w:rsidRPr="00A846EC">
        <w:t>Fiserv recommends that any further disclosure requirements:</w:t>
      </w:r>
    </w:p>
    <w:p w14:paraId="2AE62E1A" w14:textId="77777777" w:rsidR="00A846EC" w:rsidRDefault="00A846EC" w:rsidP="00A846EC">
      <w:pPr>
        <w:pStyle w:val="ListBullet"/>
        <w:rPr>
          <w:kern w:val="2"/>
          <w:lang w:val="en-AU" w:eastAsia="en-AU"/>
          <w14:ligatures w14:val="standardContextual"/>
        </w:rPr>
      </w:pPr>
      <w:r>
        <w:lastRenderedPageBreak/>
        <w:t>be tested against clearly identified merchant information needs;</w:t>
      </w:r>
    </w:p>
    <w:p w14:paraId="5B835F54" w14:textId="77777777" w:rsidR="00A846EC" w:rsidRDefault="00A846EC" w:rsidP="00A846EC">
      <w:pPr>
        <w:pStyle w:val="ListBullet"/>
      </w:pPr>
      <w:r>
        <w:t>use consistent and understandable terminology;</w:t>
      </w:r>
    </w:p>
    <w:p w14:paraId="59ED0915" w14:textId="77777777" w:rsidR="00A846EC" w:rsidRDefault="00A846EC" w:rsidP="00A846EC">
      <w:pPr>
        <w:pStyle w:val="ListBullet"/>
      </w:pPr>
      <w:r>
        <w:t>avoid presenting information at a level of detail that obscures rather than improves understanding;</w:t>
      </w:r>
    </w:p>
    <w:p w14:paraId="75825639" w14:textId="77777777" w:rsidR="00A846EC" w:rsidRDefault="00A846EC" w:rsidP="00A846EC">
      <w:pPr>
        <w:pStyle w:val="ListBullet"/>
      </w:pPr>
      <w:proofErr w:type="spellStart"/>
      <w:r>
        <w:t>recognise</w:t>
      </w:r>
      <w:proofErr w:type="spellEnd"/>
      <w:r>
        <w:t xml:space="preserve"> the practical limitations of bundled and multi-channel services;</w:t>
      </w:r>
    </w:p>
    <w:p w14:paraId="2432C29E" w14:textId="404AF780" w:rsidR="00A846EC" w:rsidRDefault="00A846EC" w:rsidP="00A846EC">
      <w:pPr>
        <w:pStyle w:val="ListBullet"/>
      </w:pPr>
      <w:r>
        <w:t xml:space="preserve">be developed in consultation with industry and merchant representatives; </w:t>
      </w:r>
    </w:p>
    <w:p w14:paraId="1B03384A" w14:textId="77777777" w:rsidR="004121EF" w:rsidRDefault="00A846EC" w:rsidP="00A846EC">
      <w:pPr>
        <w:pStyle w:val="ListBullet"/>
      </w:pPr>
      <w:r>
        <w:t>include sufficient lead time for technology, testing and merchant communication</w:t>
      </w:r>
      <w:r w:rsidR="004121EF">
        <w:t xml:space="preserve">; </w:t>
      </w:r>
    </w:p>
    <w:p w14:paraId="551F0F4E" w14:textId="77777777" w:rsidR="004D39F3" w:rsidRDefault="00477705" w:rsidP="00477705">
      <w:pPr>
        <w:pStyle w:val="ListBullet"/>
      </w:pPr>
      <w:r w:rsidRPr="00477705">
        <w:t>be</w:t>
      </w:r>
      <w:r>
        <w:t xml:space="preserve"> proportionate to the policy objective.</w:t>
      </w:r>
    </w:p>
    <w:p w14:paraId="363DB41C" w14:textId="77777777" w:rsidR="00DC13B9" w:rsidRDefault="006521E0" w:rsidP="006521E0">
      <w:pPr>
        <w:pStyle w:val="Heading1"/>
      </w:pPr>
      <w:r w:rsidRPr="006521E0">
        <w:t>9. Implementation and Transitional Considerations</w:t>
      </w:r>
    </w:p>
    <w:p w14:paraId="740290C1" w14:textId="77777777" w:rsidR="00DC13B9" w:rsidRDefault="00432D11" w:rsidP="009B12B6">
      <w:r w:rsidRPr="00432D11">
        <w:t>Where the RBA identifies a case for regulatory action, implementation arrangements should reflect the scale and complexity of the required change.</w:t>
      </w:r>
    </w:p>
    <w:p w14:paraId="0B3BC841" w14:textId="77777777" w:rsidR="00DC13B9" w:rsidRDefault="007A15B4" w:rsidP="009C5AB4">
      <w:r w:rsidRPr="007A15B4">
        <w:t>Implementation periods should allow participants to:</w:t>
      </w:r>
    </w:p>
    <w:p w14:paraId="7388EBDE" w14:textId="77777777" w:rsidR="007A15B4" w:rsidRPr="000B15FA" w:rsidRDefault="007A15B4" w:rsidP="007A15B4">
      <w:pPr>
        <w:pStyle w:val="ListBullet"/>
        <w:rPr>
          <w:kern w:val="2"/>
          <w:lang w:val="en-AU" w:eastAsia="en-AU"/>
          <w14:ligatures w14:val="standardContextual"/>
        </w:rPr>
      </w:pPr>
      <w:r>
        <w:t xml:space="preserve">interpret and </w:t>
      </w:r>
      <w:proofErr w:type="spellStart"/>
      <w:r>
        <w:t>operationalise</w:t>
      </w:r>
      <w:proofErr w:type="spellEnd"/>
      <w:r>
        <w:t xml:space="preserve"> final requirements;</w:t>
      </w:r>
    </w:p>
    <w:p w14:paraId="4A7C8734" w14:textId="3C170749" w:rsidR="00990F93" w:rsidRDefault="00990F93" w:rsidP="007A15B4">
      <w:pPr>
        <w:pStyle w:val="ListBullet"/>
        <w:rPr>
          <w:kern w:val="2"/>
          <w:lang w:val="en-AU" w:eastAsia="en-AU"/>
          <w14:ligatures w14:val="standardContextual"/>
        </w:rPr>
      </w:pPr>
      <w:r>
        <w:t>facilitate the development of industry standards;</w:t>
      </w:r>
    </w:p>
    <w:p w14:paraId="66CD89C6" w14:textId="77777777" w:rsidR="007A15B4" w:rsidRDefault="007A15B4" w:rsidP="007A15B4">
      <w:pPr>
        <w:pStyle w:val="ListBullet"/>
      </w:pPr>
      <w:r>
        <w:t>identify affected systems and data;</w:t>
      </w:r>
    </w:p>
    <w:p w14:paraId="762B60F2" w14:textId="77777777" w:rsidR="007A15B4" w:rsidRDefault="007A15B4" w:rsidP="007A15B4">
      <w:pPr>
        <w:pStyle w:val="ListBullet"/>
      </w:pPr>
      <w:r>
        <w:t>complete design, development and testing;</w:t>
      </w:r>
    </w:p>
    <w:p w14:paraId="793312F4" w14:textId="77777777" w:rsidR="007A15B4" w:rsidRDefault="007A15B4" w:rsidP="007A15B4">
      <w:pPr>
        <w:pStyle w:val="ListBullet"/>
      </w:pPr>
      <w:r>
        <w:t>establish governance, controls and assurance;</w:t>
      </w:r>
    </w:p>
    <w:p w14:paraId="376B2256" w14:textId="77777777" w:rsidR="007A15B4" w:rsidRDefault="007A15B4" w:rsidP="007A15B4">
      <w:pPr>
        <w:pStyle w:val="ListBullet"/>
      </w:pPr>
      <w:r>
        <w:t>update merchant communications and contractual materials where necessary; and</w:t>
      </w:r>
    </w:p>
    <w:p w14:paraId="24111549" w14:textId="77777777" w:rsidR="007A15B4" w:rsidRDefault="007A15B4" w:rsidP="007A15B4">
      <w:pPr>
        <w:pStyle w:val="ListBullet"/>
      </w:pPr>
      <w:r>
        <w:t>coordinate dependencies involving schemes, vendors and other payment participants.</w:t>
      </w:r>
    </w:p>
    <w:p w14:paraId="2AC70DBA" w14:textId="77777777" w:rsidR="00DC13B9" w:rsidRDefault="003950C2" w:rsidP="001A4492">
      <w:r w:rsidRPr="003950C2">
        <w:t>Where appropriate, the RBA should consider phased implementation, transitional relief, pilot reporting or an initial period of supervisory engagement before formal compliance obligations commence.</w:t>
      </w:r>
    </w:p>
    <w:p w14:paraId="5C186034" w14:textId="77777777" w:rsidR="00DC13B9" w:rsidRDefault="006C77B6">
      <w:pPr>
        <w:pStyle w:val="Heading1"/>
      </w:pPr>
      <w:r w:rsidRPr="006C77B6">
        <w:t>10. Conclusion</w:t>
      </w:r>
    </w:p>
    <w:p w14:paraId="731BDE49" w14:textId="77777777" w:rsidR="00DC13B9" w:rsidRDefault="00682609" w:rsidP="00F118ED">
      <w:r w:rsidRPr="00682609">
        <w:t xml:space="preserve">Fiserv supports a regulatory framework that promotes competition, efficiency, innovation and financial safety while </w:t>
      </w:r>
      <w:proofErr w:type="spellStart"/>
      <w:r w:rsidRPr="00682609">
        <w:t>recognising</w:t>
      </w:r>
      <w:proofErr w:type="spellEnd"/>
      <w:r w:rsidRPr="00682609">
        <w:t xml:space="preserve"> the operational realities of modern payment services.</w:t>
      </w:r>
    </w:p>
    <w:p w14:paraId="7AE18CCE" w14:textId="77777777" w:rsidR="00682609" w:rsidRDefault="00682609">
      <w:pPr>
        <w:rPr>
          <w:kern w:val="2"/>
          <w:szCs w:val="21"/>
          <w:lang w:val="en-AU" w:eastAsia="en-AU"/>
          <w14:ligatures w14:val="standardContextual"/>
        </w:rPr>
      </w:pPr>
      <w:r>
        <w:t xml:space="preserve">Fiserv encourages the RBA to </w:t>
      </w:r>
      <w:proofErr w:type="spellStart"/>
      <w:r>
        <w:t>prioritise</w:t>
      </w:r>
      <w:proofErr w:type="spellEnd"/>
      <w:r>
        <w:t xml:space="preserve"> issues where there is clear evidence of material harm and a strong public-interest case for intervention. Future measures should be technology-neutral, risk-based and proportionate, and should align responsibility with actual control of the relevant payment function or data.</w:t>
      </w:r>
    </w:p>
    <w:p w14:paraId="65F156C5" w14:textId="77777777" w:rsidR="00682609" w:rsidRDefault="00682609">
      <w:pPr>
        <w:rPr>
          <w:kern w:val="2"/>
          <w:szCs w:val="21"/>
          <w:lang w:val="en-AU" w:eastAsia="en-AU"/>
          <w14:ligatures w14:val="standardContextual"/>
        </w:rPr>
      </w:pPr>
      <w:r>
        <w:t xml:space="preserve">Fiserv also encourages the RBA to simplify and </w:t>
      </w:r>
      <w:proofErr w:type="spellStart"/>
      <w:r>
        <w:t>rationalise</w:t>
      </w:r>
      <w:proofErr w:type="spellEnd"/>
      <w:r>
        <w:t xml:space="preserve"> existing reporting and disclosure obligations before introducing additional permanent requirements. This would support effective regulatory oversight while limiting unnecessary cost and complexity for payment service providers and merchants.</w:t>
      </w:r>
    </w:p>
    <w:p w14:paraId="08660895" w14:textId="77777777" w:rsidR="00682609" w:rsidRDefault="00682609">
      <w:pPr>
        <w:rPr>
          <w:kern w:val="2"/>
          <w:szCs w:val="21"/>
          <w:lang w:val="en-AU" w:eastAsia="en-AU"/>
          <w14:ligatures w14:val="standardContextual"/>
        </w:rPr>
      </w:pPr>
      <w:r>
        <w:t>Fiserv would welcome the opportunity to discuss the matters raised in this submission with the RBA.</w:t>
      </w:r>
    </w:p>
    <w:p w14:paraId="425A6099" w14:textId="77777777" w:rsidR="00021569" w:rsidRDefault="00021569">
      <w:pPr>
        <w:sectPr w:rsidR="00021569">
          <w:pgSz w:w="12240" w:h="15840"/>
          <w:pgMar w:top="1008" w:right="1152" w:bottom="1008" w:left="1152" w:header="720" w:footer="720" w:gutter="0"/>
          <w:cols w:space="720"/>
          <w:docGrid w:linePitch="360"/>
        </w:sectPr>
      </w:pPr>
    </w:p>
    <w:p w14:paraId="4921B534" w14:textId="7F4F71F9" w:rsidR="00DC13B9" w:rsidRDefault="00A445D7" w:rsidP="00FC128D">
      <w:pPr>
        <w:pStyle w:val="Heading1"/>
      </w:pPr>
      <w:r>
        <w:lastRenderedPageBreak/>
        <w:t xml:space="preserve">Appendix A </w:t>
      </w:r>
      <w:r w:rsidR="00FC128D" w:rsidRPr="00FC128D">
        <w:t>–</w:t>
      </w:r>
      <w:r>
        <w:t xml:space="preserve"> </w:t>
      </w:r>
      <w:r w:rsidR="00D02B86">
        <w:t>Current RBA Reporting Schedule</w:t>
      </w:r>
      <w:r w:rsidR="004D39F3">
        <w:t xml:space="preserve"> </w:t>
      </w:r>
    </w:p>
    <w:p w14:paraId="79D892C8" w14:textId="77777777" w:rsidR="00FC128D" w:rsidRDefault="00FC128D">
      <w:pPr>
        <w:rPr>
          <w:kern w:val="2"/>
          <w:szCs w:val="21"/>
          <w:lang w:val="en-AU" w:eastAsia="en-AU"/>
          <w14:ligatures w14:val="standardContextual"/>
        </w:rPr>
      </w:pPr>
    </w:p>
    <w:p w14:paraId="54F9D9E5" w14:textId="77777777" w:rsidR="004D39F3" w:rsidRPr="004D39F3" w:rsidRDefault="00ED6DDE" w:rsidP="0069263A">
      <w:r w:rsidRPr="00ED6DDE">
        <w:t xml:space="preserve">Meeting the current reporting requirements requires considerable operational effort because data must be sourced, reconciled and validated across multiple teams and systems. </w:t>
      </w:r>
      <w:r>
        <w:rPr>
          <w:kern w:val="2"/>
          <w:szCs w:val="21"/>
          <w:lang w:val="en-AU" w:eastAsia="en-AU"/>
          <w14:ligatures w14:val="standardContextual"/>
        </w:rPr>
        <w:t xml:space="preserve">Changes to </w:t>
      </w:r>
      <w:r w:rsidRPr="00ED6DDE">
        <w:t xml:space="preserve">reporting </w:t>
      </w:r>
      <w:r>
        <w:rPr>
          <w:kern w:val="2"/>
          <w:szCs w:val="21"/>
          <w:lang w:val="en-AU" w:eastAsia="en-AU"/>
          <w14:ligatures w14:val="standardContextual"/>
        </w:rPr>
        <w:t xml:space="preserve">requirements generally require technical </w:t>
      </w:r>
      <w:r w:rsidRPr="00ED6DDE">
        <w:t xml:space="preserve">modifications across several </w:t>
      </w:r>
      <w:r>
        <w:rPr>
          <w:kern w:val="2"/>
          <w:szCs w:val="21"/>
          <w:lang w:val="en-AU" w:eastAsia="en-AU"/>
          <w14:ligatures w14:val="standardContextual"/>
        </w:rPr>
        <w:t>systems</w:t>
      </w:r>
      <w:r w:rsidRPr="00ED6DDE">
        <w:t>, together with updated procedures, controls</w:t>
      </w:r>
      <w:r>
        <w:rPr>
          <w:kern w:val="2"/>
          <w:szCs w:val="21"/>
          <w:lang w:val="en-AU" w:eastAsia="en-AU"/>
          <w14:ligatures w14:val="standardContextual"/>
        </w:rPr>
        <w:t xml:space="preserve"> and training </w:t>
      </w:r>
      <w:r w:rsidRPr="00ED6DDE">
        <w:t>for affected personnel</w:t>
      </w:r>
      <w:r>
        <w:rPr>
          <w:kern w:val="2"/>
          <w:szCs w:val="21"/>
          <w:lang w:val="en-AU" w:eastAsia="en-AU"/>
          <w14:ligatures w14:val="standardContextual"/>
        </w:rPr>
        <w:t>.</w:t>
      </w:r>
    </w:p>
    <w:tbl>
      <w:tblPr>
        <w:tblStyle w:val="GridTable4-Accent1"/>
        <w:tblW w:w="5000" w:type="pct"/>
        <w:tblInd w:w="0" w:type="dxa"/>
        <w:tblLook w:val="04A0" w:firstRow="1" w:lastRow="0" w:firstColumn="1" w:lastColumn="0" w:noHBand="0" w:noVBand="1"/>
      </w:tblPr>
      <w:tblGrid>
        <w:gridCol w:w="3164"/>
        <w:gridCol w:w="2373"/>
        <w:gridCol w:w="2240"/>
        <w:gridCol w:w="2715"/>
      </w:tblGrid>
      <w:tr w:rsidR="00ED6DDE" w14:paraId="4A23A3D4" w14:textId="77777777">
        <w:tc>
          <w:tcPr>
            <w:tcW w:w="0" w:type="auto"/>
            <w:gridSpan w:val="4"/>
            <w:tcBorders>
              <w:top w:val="single" w:sz="8" w:space="0" w:color="95B3D7"/>
              <w:left w:val="single" w:sz="8" w:space="0" w:color="95B3D7"/>
              <w:bottom w:val="single" w:sz="8" w:space="0" w:color="95B3D7"/>
              <w:right w:val="single" w:sz="8" w:space="0" w:color="95B3D7"/>
            </w:tcBorders>
            <w:shd w:val="clear" w:color="auto" w:fill="D9EAF7"/>
            <w:hideMark/>
          </w:tcPr>
          <w:p w14:paraId="28045AFF" w14:textId="77777777" w:rsidR="00ED6DDE" w:rsidRDefault="00ED6DDE">
            <w:pPr>
              <w:rPr>
                <w:szCs w:val="21"/>
                <w:lang w:val="en-AU" w:eastAsia="en-AU"/>
              </w:rPr>
            </w:pPr>
            <w:r>
              <w:rPr>
                <w:b/>
                <w:bCs/>
              </w:rPr>
              <w:t>2026 RBA reporting and certification requirements – due dates for reporting institutions</w:t>
            </w:r>
          </w:p>
        </w:tc>
      </w:tr>
      <w:tr w:rsidR="00ED6DDE" w14:paraId="40D3B35E" w14:textId="77777777">
        <w:tc>
          <w:tcPr>
            <w:tcW w:w="0" w:type="auto"/>
            <w:tcBorders>
              <w:top w:val="outset" w:sz="6" w:space="0" w:color="auto"/>
              <w:left w:val="outset" w:sz="6" w:space="0" w:color="auto"/>
              <w:bottom w:val="outset" w:sz="6" w:space="0" w:color="auto"/>
              <w:right w:val="outset" w:sz="6" w:space="0" w:color="auto"/>
            </w:tcBorders>
            <w:hideMark/>
          </w:tcPr>
          <w:p w14:paraId="5450E8E3" w14:textId="77777777" w:rsidR="00ED6DDE" w:rsidRDefault="00ED6DDE">
            <w:r>
              <w:rPr>
                <w:b/>
                <w:bCs/>
              </w:rPr>
              <w:t>Reporting requirement</w:t>
            </w:r>
          </w:p>
        </w:tc>
        <w:tc>
          <w:tcPr>
            <w:tcW w:w="0" w:type="auto"/>
            <w:tcBorders>
              <w:top w:val="outset" w:sz="6" w:space="0" w:color="auto"/>
              <w:left w:val="outset" w:sz="6" w:space="0" w:color="auto"/>
              <w:bottom w:val="outset" w:sz="6" w:space="0" w:color="auto"/>
              <w:right w:val="outset" w:sz="6" w:space="0" w:color="auto"/>
            </w:tcBorders>
            <w:hideMark/>
          </w:tcPr>
          <w:p w14:paraId="3F032362" w14:textId="77777777" w:rsidR="00ED6DDE" w:rsidRDefault="00ED6DDE">
            <w:r>
              <w:rPr>
                <w:b/>
                <w:bCs/>
              </w:rPr>
              <w:t>Reporting entity</w:t>
            </w:r>
          </w:p>
        </w:tc>
        <w:tc>
          <w:tcPr>
            <w:tcW w:w="0" w:type="auto"/>
            <w:tcBorders>
              <w:top w:val="outset" w:sz="6" w:space="0" w:color="auto"/>
              <w:left w:val="outset" w:sz="6" w:space="0" w:color="auto"/>
              <w:bottom w:val="outset" w:sz="6" w:space="0" w:color="auto"/>
              <w:right w:val="outset" w:sz="6" w:space="0" w:color="auto"/>
            </w:tcBorders>
            <w:hideMark/>
          </w:tcPr>
          <w:p w14:paraId="7671350C" w14:textId="77777777" w:rsidR="00ED6DDE" w:rsidRDefault="00ED6DDE">
            <w:r>
              <w:rPr>
                <w:b/>
                <w:bCs/>
              </w:rPr>
              <w:t>Reporting period</w:t>
            </w:r>
          </w:p>
        </w:tc>
        <w:tc>
          <w:tcPr>
            <w:tcW w:w="0" w:type="auto"/>
            <w:tcBorders>
              <w:top w:val="outset" w:sz="6" w:space="0" w:color="auto"/>
              <w:left w:val="outset" w:sz="6" w:space="0" w:color="auto"/>
              <w:bottom w:val="outset" w:sz="6" w:space="0" w:color="auto"/>
              <w:right w:val="outset" w:sz="6" w:space="0" w:color="auto"/>
            </w:tcBorders>
            <w:hideMark/>
          </w:tcPr>
          <w:p w14:paraId="700D1461" w14:textId="77777777" w:rsidR="00ED6DDE" w:rsidRDefault="00ED6DDE">
            <w:r>
              <w:rPr>
                <w:b/>
                <w:bCs/>
              </w:rPr>
              <w:t>Reporting due</w:t>
            </w:r>
          </w:p>
        </w:tc>
      </w:tr>
      <w:tr w:rsidR="00ED6DDE" w14:paraId="2F673585" w14:textId="77777777">
        <w:tc>
          <w:tcPr>
            <w:tcW w:w="0" w:type="auto"/>
            <w:gridSpan w:val="4"/>
            <w:tcBorders>
              <w:top w:val="outset" w:sz="6" w:space="0" w:color="auto"/>
              <w:left w:val="outset" w:sz="6" w:space="0" w:color="auto"/>
              <w:bottom w:val="outset" w:sz="6" w:space="0" w:color="auto"/>
              <w:right w:val="outset" w:sz="6" w:space="0" w:color="auto"/>
            </w:tcBorders>
            <w:shd w:val="clear" w:color="auto" w:fill="EAF2F8"/>
            <w:hideMark/>
          </w:tcPr>
          <w:p w14:paraId="1494E6CE" w14:textId="77777777" w:rsidR="00ED6DDE" w:rsidRDefault="00ED6DDE">
            <w:r>
              <w:rPr>
                <w:b/>
                <w:bCs/>
                <w:i/>
                <w:iCs/>
              </w:rPr>
              <w:t>Monthly</w:t>
            </w:r>
          </w:p>
        </w:tc>
      </w:tr>
      <w:tr w:rsidR="00ED6DDE" w14:paraId="4AFB9597" w14:textId="77777777">
        <w:tc>
          <w:tcPr>
            <w:tcW w:w="0" w:type="auto"/>
            <w:tcBorders>
              <w:top w:val="outset" w:sz="6" w:space="0" w:color="auto"/>
              <w:left w:val="outset" w:sz="6" w:space="0" w:color="auto"/>
              <w:bottom w:val="outset" w:sz="6" w:space="0" w:color="auto"/>
              <w:right w:val="outset" w:sz="6" w:space="0" w:color="auto"/>
            </w:tcBorders>
            <w:hideMark/>
          </w:tcPr>
          <w:p w14:paraId="257CEA23" w14:textId="77777777" w:rsidR="00ED6DDE" w:rsidRDefault="00ED6DDE">
            <w:r>
              <w:t>Retail Payments Statistics (RPS)</w:t>
            </w:r>
          </w:p>
        </w:tc>
        <w:tc>
          <w:tcPr>
            <w:tcW w:w="0" w:type="auto"/>
            <w:tcBorders>
              <w:top w:val="outset" w:sz="6" w:space="0" w:color="auto"/>
              <w:left w:val="outset" w:sz="6" w:space="0" w:color="auto"/>
              <w:bottom w:val="outset" w:sz="6" w:space="0" w:color="auto"/>
              <w:right w:val="outset" w:sz="6" w:space="0" w:color="auto"/>
            </w:tcBorders>
            <w:hideMark/>
          </w:tcPr>
          <w:p w14:paraId="442F0ABE" w14:textId="77777777" w:rsidR="00ED6DDE" w:rsidRDefault="00ED6DDE">
            <w:r>
              <w:t>Issuers and acquirers</w:t>
            </w:r>
          </w:p>
        </w:tc>
        <w:tc>
          <w:tcPr>
            <w:tcW w:w="0" w:type="auto"/>
            <w:tcBorders>
              <w:top w:val="outset" w:sz="6" w:space="0" w:color="auto"/>
              <w:left w:val="outset" w:sz="6" w:space="0" w:color="auto"/>
              <w:bottom w:val="outset" w:sz="6" w:space="0" w:color="auto"/>
              <w:right w:val="outset" w:sz="6" w:space="0" w:color="auto"/>
            </w:tcBorders>
            <w:hideMark/>
          </w:tcPr>
          <w:p w14:paraId="5BBC068B" w14:textId="77777777" w:rsidR="00ED6DDE" w:rsidRDefault="00ED6DDE">
            <w:r>
              <w:t>Monthly for all forms (except quarterly for the MSF form)</w:t>
            </w:r>
          </w:p>
        </w:tc>
        <w:tc>
          <w:tcPr>
            <w:tcW w:w="0" w:type="auto"/>
            <w:tcBorders>
              <w:top w:val="outset" w:sz="6" w:space="0" w:color="auto"/>
              <w:left w:val="outset" w:sz="6" w:space="0" w:color="auto"/>
              <w:bottom w:val="outset" w:sz="6" w:space="0" w:color="auto"/>
              <w:right w:val="outset" w:sz="6" w:space="0" w:color="auto"/>
            </w:tcBorders>
            <w:hideMark/>
          </w:tcPr>
          <w:p w14:paraId="5753F56F" w14:textId="77777777" w:rsidR="00ED6DDE" w:rsidRDefault="00ED6DDE">
            <w:r>
              <w:t>21st of the following month (for example, June 2026 data is due by 21 July 2026)</w:t>
            </w:r>
          </w:p>
        </w:tc>
      </w:tr>
      <w:tr w:rsidR="00ED6DDE" w14:paraId="02B2AD36" w14:textId="77777777">
        <w:tc>
          <w:tcPr>
            <w:tcW w:w="0" w:type="auto"/>
            <w:gridSpan w:val="4"/>
            <w:tcBorders>
              <w:top w:val="outset" w:sz="6" w:space="0" w:color="auto"/>
              <w:left w:val="outset" w:sz="6" w:space="0" w:color="auto"/>
              <w:bottom w:val="outset" w:sz="6" w:space="0" w:color="auto"/>
              <w:right w:val="outset" w:sz="6" w:space="0" w:color="auto"/>
            </w:tcBorders>
            <w:shd w:val="clear" w:color="auto" w:fill="EAF2F8"/>
            <w:hideMark/>
          </w:tcPr>
          <w:p w14:paraId="30A69BC5" w14:textId="77777777" w:rsidR="00ED6DDE" w:rsidRDefault="00ED6DDE">
            <w:r>
              <w:rPr>
                <w:b/>
                <w:bCs/>
                <w:i/>
                <w:iCs/>
              </w:rPr>
              <w:t>Quarterly</w:t>
            </w:r>
          </w:p>
        </w:tc>
      </w:tr>
      <w:tr w:rsidR="00ED6DDE" w14:paraId="3F989937" w14:textId="77777777">
        <w:tc>
          <w:tcPr>
            <w:tcW w:w="0" w:type="auto"/>
            <w:tcBorders>
              <w:top w:val="outset" w:sz="6" w:space="0" w:color="auto"/>
              <w:left w:val="outset" w:sz="6" w:space="0" w:color="auto"/>
              <w:bottom w:val="outset" w:sz="6" w:space="0" w:color="auto"/>
              <w:right w:val="outset" w:sz="6" w:space="0" w:color="auto"/>
            </w:tcBorders>
            <w:hideMark/>
          </w:tcPr>
          <w:p w14:paraId="1BAB9F86" w14:textId="77777777" w:rsidR="00ED6DDE" w:rsidRDefault="00ED6DDE">
            <w:r>
              <w:t>Retail Payments Incidents (RPI)</w:t>
            </w:r>
          </w:p>
        </w:tc>
        <w:tc>
          <w:tcPr>
            <w:tcW w:w="0" w:type="auto"/>
            <w:tcBorders>
              <w:top w:val="outset" w:sz="6" w:space="0" w:color="auto"/>
              <w:left w:val="outset" w:sz="6" w:space="0" w:color="auto"/>
              <w:bottom w:val="outset" w:sz="6" w:space="0" w:color="auto"/>
              <w:right w:val="outset" w:sz="6" w:space="0" w:color="auto"/>
            </w:tcBorders>
            <w:hideMark/>
          </w:tcPr>
          <w:p w14:paraId="2213A649" w14:textId="77777777" w:rsidR="00ED6DDE" w:rsidRDefault="00ED6DDE">
            <w:r>
              <w:t>Payment service providers</w:t>
            </w:r>
          </w:p>
        </w:tc>
        <w:tc>
          <w:tcPr>
            <w:tcW w:w="0" w:type="auto"/>
            <w:tcBorders>
              <w:top w:val="outset" w:sz="6" w:space="0" w:color="auto"/>
              <w:left w:val="outset" w:sz="6" w:space="0" w:color="auto"/>
              <w:bottom w:val="outset" w:sz="6" w:space="0" w:color="auto"/>
              <w:right w:val="outset" w:sz="6" w:space="0" w:color="auto"/>
            </w:tcBorders>
            <w:hideMark/>
          </w:tcPr>
          <w:p w14:paraId="66DEF763" w14:textId="77777777" w:rsidR="00ED6DDE" w:rsidRDefault="00ED6DDE">
            <w:r>
              <w:t>1 October – 31 December 2025</w:t>
            </w:r>
            <w:r>
              <w:br/>
              <w:t>1 January – 31 March 2026</w:t>
            </w:r>
            <w:r>
              <w:br/>
              <w:t>1 April – 30 June 2026</w:t>
            </w:r>
            <w:r>
              <w:br/>
              <w:t>1 July – 30 September 2026</w:t>
            </w:r>
          </w:p>
        </w:tc>
        <w:tc>
          <w:tcPr>
            <w:tcW w:w="0" w:type="auto"/>
            <w:tcBorders>
              <w:top w:val="outset" w:sz="6" w:space="0" w:color="auto"/>
              <w:left w:val="outset" w:sz="6" w:space="0" w:color="auto"/>
              <w:bottom w:val="outset" w:sz="6" w:space="0" w:color="auto"/>
              <w:right w:val="outset" w:sz="6" w:space="0" w:color="auto"/>
            </w:tcBorders>
            <w:hideMark/>
          </w:tcPr>
          <w:p w14:paraId="12C58C00" w14:textId="77777777" w:rsidR="00ED6DDE" w:rsidRDefault="00ED6DDE">
            <w:r>
              <w:t>15–20 January 2026</w:t>
            </w:r>
            <w:r>
              <w:br/>
              <w:t>15–20 April 2026</w:t>
            </w:r>
            <w:r>
              <w:br/>
              <w:t>15–20 July 2026</w:t>
            </w:r>
            <w:r>
              <w:br/>
              <w:t>15–20 October 2026</w:t>
            </w:r>
          </w:p>
        </w:tc>
      </w:tr>
      <w:tr w:rsidR="00ED6DDE" w14:paraId="54520B73" w14:textId="77777777">
        <w:tc>
          <w:tcPr>
            <w:tcW w:w="0" w:type="auto"/>
            <w:gridSpan w:val="4"/>
            <w:tcBorders>
              <w:top w:val="outset" w:sz="6" w:space="0" w:color="auto"/>
              <w:left w:val="outset" w:sz="6" w:space="0" w:color="auto"/>
              <w:bottom w:val="outset" w:sz="6" w:space="0" w:color="auto"/>
              <w:right w:val="outset" w:sz="6" w:space="0" w:color="auto"/>
            </w:tcBorders>
            <w:shd w:val="clear" w:color="auto" w:fill="EAF2F8"/>
            <w:hideMark/>
          </w:tcPr>
          <w:p w14:paraId="5C3ABC2E" w14:textId="77777777" w:rsidR="00ED6DDE" w:rsidRDefault="00ED6DDE">
            <w:r>
              <w:rPr>
                <w:b/>
                <w:bCs/>
                <w:i/>
                <w:iCs/>
              </w:rPr>
              <w:t>Half-yearly</w:t>
            </w:r>
          </w:p>
        </w:tc>
      </w:tr>
      <w:tr w:rsidR="00ED6DDE" w14:paraId="0AB0686C" w14:textId="77777777">
        <w:tc>
          <w:tcPr>
            <w:tcW w:w="0" w:type="auto"/>
            <w:tcBorders>
              <w:top w:val="outset" w:sz="6" w:space="0" w:color="auto"/>
              <w:left w:val="outset" w:sz="6" w:space="0" w:color="auto"/>
              <w:bottom w:val="outset" w:sz="6" w:space="0" w:color="auto"/>
              <w:right w:val="outset" w:sz="6" w:space="0" w:color="auto"/>
            </w:tcBorders>
            <w:hideMark/>
          </w:tcPr>
          <w:p w14:paraId="6A8E1357" w14:textId="77777777" w:rsidR="00ED6DDE" w:rsidRDefault="00ED6DDE">
            <w:r>
              <w:t>LCR (in-person)</w:t>
            </w:r>
          </w:p>
        </w:tc>
        <w:tc>
          <w:tcPr>
            <w:tcW w:w="0" w:type="auto"/>
            <w:tcBorders>
              <w:top w:val="outset" w:sz="6" w:space="0" w:color="auto"/>
              <w:left w:val="outset" w:sz="6" w:space="0" w:color="auto"/>
              <w:bottom w:val="outset" w:sz="6" w:space="0" w:color="auto"/>
              <w:right w:val="outset" w:sz="6" w:space="0" w:color="auto"/>
            </w:tcBorders>
            <w:hideMark/>
          </w:tcPr>
          <w:p w14:paraId="6788E544" w14:textId="77777777" w:rsidR="00ED6DDE" w:rsidRDefault="00ED6DDE">
            <w:r>
              <w:t>Acquirers</w:t>
            </w:r>
          </w:p>
        </w:tc>
        <w:tc>
          <w:tcPr>
            <w:tcW w:w="0" w:type="auto"/>
            <w:tcBorders>
              <w:top w:val="outset" w:sz="6" w:space="0" w:color="auto"/>
              <w:left w:val="outset" w:sz="6" w:space="0" w:color="auto"/>
              <w:bottom w:val="outset" w:sz="6" w:space="0" w:color="auto"/>
              <w:right w:val="outset" w:sz="6" w:space="0" w:color="auto"/>
            </w:tcBorders>
            <w:hideMark/>
          </w:tcPr>
          <w:p w14:paraId="09D05ACA" w14:textId="77777777" w:rsidR="00ED6DDE" w:rsidRDefault="00ED6DDE">
            <w:r>
              <w:t>1 July – 31 December 2025</w:t>
            </w:r>
            <w:r>
              <w:br/>
              <w:t>1 January – 30 June 2026</w:t>
            </w:r>
          </w:p>
        </w:tc>
        <w:tc>
          <w:tcPr>
            <w:tcW w:w="0" w:type="auto"/>
            <w:tcBorders>
              <w:top w:val="outset" w:sz="6" w:space="0" w:color="auto"/>
              <w:left w:val="outset" w:sz="6" w:space="0" w:color="auto"/>
              <w:bottom w:val="outset" w:sz="6" w:space="0" w:color="auto"/>
              <w:right w:val="outset" w:sz="6" w:space="0" w:color="auto"/>
            </w:tcBorders>
            <w:hideMark/>
          </w:tcPr>
          <w:p w14:paraId="1937BF3E" w14:textId="77777777" w:rsidR="00ED6DDE" w:rsidRDefault="00ED6DDE">
            <w:r>
              <w:t>30 January 2026</w:t>
            </w:r>
            <w:r>
              <w:br/>
              <w:t>31 July 2026</w:t>
            </w:r>
          </w:p>
        </w:tc>
      </w:tr>
      <w:tr w:rsidR="00ED6DDE" w14:paraId="3770819D" w14:textId="77777777">
        <w:tc>
          <w:tcPr>
            <w:tcW w:w="0" w:type="auto"/>
            <w:tcBorders>
              <w:top w:val="outset" w:sz="6" w:space="0" w:color="auto"/>
              <w:left w:val="outset" w:sz="6" w:space="0" w:color="auto"/>
              <w:bottom w:val="outset" w:sz="6" w:space="0" w:color="auto"/>
              <w:right w:val="outset" w:sz="6" w:space="0" w:color="auto"/>
            </w:tcBorders>
            <w:hideMark/>
          </w:tcPr>
          <w:p w14:paraId="2CA2A1DF" w14:textId="77777777" w:rsidR="00ED6DDE" w:rsidRDefault="00ED6DDE">
            <w:r>
              <w:t>LCR (online)</w:t>
            </w:r>
          </w:p>
        </w:tc>
        <w:tc>
          <w:tcPr>
            <w:tcW w:w="0" w:type="auto"/>
            <w:tcBorders>
              <w:top w:val="outset" w:sz="6" w:space="0" w:color="auto"/>
              <w:left w:val="outset" w:sz="6" w:space="0" w:color="auto"/>
              <w:bottom w:val="outset" w:sz="6" w:space="0" w:color="auto"/>
              <w:right w:val="outset" w:sz="6" w:space="0" w:color="auto"/>
            </w:tcBorders>
            <w:hideMark/>
          </w:tcPr>
          <w:p w14:paraId="7628A90C" w14:textId="77777777" w:rsidR="00ED6DDE" w:rsidRDefault="00ED6DDE">
            <w:r>
              <w:t>Acquirers, payment facilitators and gateways</w:t>
            </w:r>
          </w:p>
        </w:tc>
        <w:tc>
          <w:tcPr>
            <w:tcW w:w="0" w:type="auto"/>
            <w:tcBorders>
              <w:top w:val="outset" w:sz="6" w:space="0" w:color="auto"/>
              <w:left w:val="outset" w:sz="6" w:space="0" w:color="auto"/>
              <w:bottom w:val="outset" w:sz="6" w:space="0" w:color="auto"/>
              <w:right w:val="outset" w:sz="6" w:space="0" w:color="auto"/>
            </w:tcBorders>
            <w:hideMark/>
          </w:tcPr>
          <w:p w14:paraId="10EA24AD" w14:textId="77777777" w:rsidR="00ED6DDE" w:rsidRDefault="00ED6DDE">
            <w:r>
              <w:t>1 July – 31 December 2025</w:t>
            </w:r>
            <w:r>
              <w:br/>
              <w:t>1 January – 30 June 2026</w:t>
            </w:r>
          </w:p>
        </w:tc>
        <w:tc>
          <w:tcPr>
            <w:tcW w:w="0" w:type="auto"/>
            <w:tcBorders>
              <w:top w:val="outset" w:sz="6" w:space="0" w:color="auto"/>
              <w:left w:val="outset" w:sz="6" w:space="0" w:color="auto"/>
              <w:bottom w:val="outset" w:sz="6" w:space="0" w:color="auto"/>
              <w:right w:val="outset" w:sz="6" w:space="0" w:color="auto"/>
            </w:tcBorders>
            <w:hideMark/>
          </w:tcPr>
          <w:p w14:paraId="018DC94F" w14:textId="77777777" w:rsidR="00ED6DDE" w:rsidRDefault="00ED6DDE">
            <w:r>
              <w:t>30 January 2026</w:t>
            </w:r>
            <w:r>
              <w:br/>
              <w:t>31 July 2026</w:t>
            </w:r>
          </w:p>
        </w:tc>
      </w:tr>
      <w:tr w:rsidR="00ED6DDE" w14:paraId="32B35D76" w14:textId="77777777">
        <w:tc>
          <w:tcPr>
            <w:tcW w:w="0" w:type="auto"/>
            <w:gridSpan w:val="4"/>
            <w:tcBorders>
              <w:top w:val="outset" w:sz="6" w:space="0" w:color="auto"/>
              <w:left w:val="outset" w:sz="6" w:space="0" w:color="auto"/>
              <w:bottom w:val="outset" w:sz="6" w:space="0" w:color="auto"/>
              <w:right w:val="outset" w:sz="6" w:space="0" w:color="auto"/>
            </w:tcBorders>
            <w:shd w:val="clear" w:color="auto" w:fill="EAF2F8"/>
            <w:hideMark/>
          </w:tcPr>
          <w:p w14:paraId="72293A6D" w14:textId="77777777" w:rsidR="00ED6DDE" w:rsidRDefault="00ED6DDE">
            <w:r>
              <w:rPr>
                <w:b/>
                <w:bCs/>
                <w:i/>
                <w:iCs/>
              </w:rPr>
              <w:t>Annual</w:t>
            </w:r>
          </w:p>
        </w:tc>
      </w:tr>
      <w:tr w:rsidR="00ED6DDE" w14:paraId="27846012" w14:textId="77777777">
        <w:tc>
          <w:tcPr>
            <w:tcW w:w="0" w:type="auto"/>
            <w:tcBorders>
              <w:top w:val="outset" w:sz="6" w:space="0" w:color="auto"/>
              <w:left w:val="outset" w:sz="6" w:space="0" w:color="auto"/>
              <w:bottom w:val="outset" w:sz="6" w:space="0" w:color="auto"/>
              <w:right w:val="outset" w:sz="6" w:space="0" w:color="auto"/>
            </w:tcBorders>
            <w:hideMark/>
          </w:tcPr>
          <w:p w14:paraId="26154711" w14:textId="77777777" w:rsidR="00ED6DDE" w:rsidRDefault="00ED6DDE">
            <w:r>
              <w:t>Non-multilateral interchange fees (s 6.2)</w:t>
            </w:r>
          </w:p>
        </w:tc>
        <w:tc>
          <w:tcPr>
            <w:tcW w:w="0" w:type="auto"/>
            <w:tcBorders>
              <w:top w:val="outset" w:sz="6" w:space="0" w:color="auto"/>
              <w:left w:val="outset" w:sz="6" w:space="0" w:color="auto"/>
              <w:bottom w:val="outset" w:sz="6" w:space="0" w:color="auto"/>
              <w:right w:val="outset" w:sz="6" w:space="0" w:color="auto"/>
            </w:tcBorders>
            <w:hideMark/>
          </w:tcPr>
          <w:p w14:paraId="195430CB" w14:textId="77777777" w:rsidR="00ED6DDE" w:rsidRDefault="00ED6DDE">
            <w:r>
              <w:t>Acquirers and Direct Issuer Participants (where applicable)</w:t>
            </w:r>
          </w:p>
        </w:tc>
        <w:tc>
          <w:tcPr>
            <w:tcW w:w="0" w:type="auto"/>
            <w:tcBorders>
              <w:top w:val="outset" w:sz="6" w:space="0" w:color="auto"/>
              <w:left w:val="outset" w:sz="6" w:space="0" w:color="auto"/>
              <w:bottom w:val="outset" w:sz="6" w:space="0" w:color="auto"/>
              <w:right w:val="outset" w:sz="6" w:space="0" w:color="auto"/>
            </w:tcBorders>
            <w:hideMark/>
          </w:tcPr>
          <w:p w14:paraId="4DE09883" w14:textId="77777777" w:rsidR="00ED6DDE" w:rsidRDefault="00ED6DDE">
            <w:r>
              <w:t>1 July 2025 – 30 June 2026</w:t>
            </w:r>
          </w:p>
        </w:tc>
        <w:tc>
          <w:tcPr>
            <w:tcW w:w="0" w:type="auto"/>
            <w:tcBorders>
              <w:top w:val="outset" w:sz="6" w:space="0" w:color="auto"/>
              <w:left w:val="outset" w:sz="6" w:space="0" w:color="auto"/>
              <w:bottom w:val="outset" w:sz="6" w:space="0" w:color="auto"/>
              <w:right w:val="outset" w:sz="6" w:space="0" w:color="auto"/>
            </w:tcBorders>
            <w:hideMark/>
          </w:tcPr>
          <w:p w14:paraId="3C47BF58" w14:textId="77777777" w:rsidR="00ED6DDE" w:rsidRDefault="00ED6DDE">
            <w:r>
              <w:t>31 July 2026</w:t>
            </w:r>
          </w:p>
        </w:tc>
      </w:tr>
      <w:tr w:rsidR="00ED6DDE" w14:paraId="22A6468C" w14:textId="77777777">
        <w:tc>
          <w:tcPr>
            <w:tcW w:w="0" w:type="auto"/>
            <w:tcBorders>
              <w:top w:val="outset" w:sz="6" w:space="0" w:color="auto"/>
              <w:left w:val="outset" w:sz="6" w:space="0" w:color="auto"/>
              <w:bottom w:val="outset" w:sz="6" w:space="0" w:color="auto"/>
              <w:right w:val="outset" w:sz="6" w:space="0" w:color="auto"/>
            </w:tcBorders>
            <w:hideMark/>
          </w:tcPr>
          <w:p w14:paraId="1C6668DC" w14:textId="77777777" w:rsidR="00ED6DDE" w:rsidRDefault="00ED6DDE">
            <w:r>
              <w:t>Merchant-level cost of acceptance data, including surcharging data and interchange data*</w:t>
            </w:r>
          </w:p>
        </w:tc>
        <w:tc>
          <w:tcPr>
            <w:tcW w:w="0" w:type="auto"/>
            <w:tcBorders>
              <w:top w:val="outset" w:sz="6" w:space="0" w:color="auto"/>
              <w:left w:val="outset" w:sz="6" w:space="0" w:color="auto"/>
              <w:bottom w:val="outset" w:sz="6" w:space="0" w:color="auto"/>
              <w:right w:val="outset" w:sz="6" w:space="0" w:color="auto"/>
            </w:tcBorders>
            <w:hideMark/>
          </w:tcPr>
          <w:p w14:paraId="1FD17CFE" w14:textId="77777777" w:rsidR="00ED6DDE" w:rsidRDefault="00ED6DDE">
            <w:r>
              <w:t>Acquirers</w:t>
            </w:r>
          </w:p>
        </w:tc>
        <w:tc>
          <w:tcPr>
            <w:tcW w:w="0" w:type="auto"/>
            <w:tcBorders>
              <w:top w:val="outset" w:sz="6" w:space="0" w:color="auto"/>
              <w:left w:val="outset" w:sz="6" w:space="0" w:color="auto"/>
              <w:bottom w:val="outset" w:sz="6" w:space="0" w:color="auto"/>
              <w:right w:val="outset" w:sz="6" w:space="0" w:color="auto"/>
            </w:tcBorders>
            <w:hideMark/>
          </w:tcPr>
          <w:p w14:paraId="42B4D12C" w14:textId="77777777" w:rsidR="00ED6DDE" w:rsidRDefault="00ED6DDE">
            <w:r>
              <w:t>1 July 2025 – 30 June 2026</w:t>
            </w:r>
          </w:p>
        </w:tc>
        <w:tc>
          <w:tcPr>
            <w:tcW w:w="0" w:type="auto"/>
            <w:tcBorders>
              <w:top w:val="outset" w:sz="6" w:space="0" w:color="auto"/>
              <w:left w:val="outset" w:sz="6" w:space="0" w:color="auto"/>
              <w:bottom w:val="outset" w:sz="6" w:space="0" w:color="auto"/>
              <w:right w:val="outset" w:sz="6" w:space="0" w:color="auto"/>
            </w:tcBorders>
            <w:hideMark/>
          </w:tcPr>
          <w:p w14:paraId="2DC967F7" w14:textId="77777777" w:rsidR="00ED6DDE" w:rsidRDefault="00ED6DDE">
            <w:r>
              <w:t>31 August 2026</w:t>
            </w:r>
          </w:p>
        </w:tc>
      </w:tr>
      <w:tr w:rsidR="00ED6DDE" w14:paraId="510B4DB2" w14:textId="77777777">
        <w:tc>
          <w:tcPr>
            <w:tcW w:w="0" w:type="auto"/>
            <w:tcBorders>
              <w:top w:val="outset" w:sz="6" w:space="0" w:color="auto"/>
              <w:left w:val="outset" w:sz="6" w:space="0" w:color="auto"/>
              <w:bottom w:val="outset" w:sz="6" w:space="0" w:color="auto"/>
              <w:right w:val="outset" w:sz="6" w:space="0" w:color="auto"/>
            </w:tcBorders>
            <w:hideMark/>
          </w:tcPr>
          <w:p w14:paraId="5FED3E33" w14:textId="77777777" w:rsidR="00ED6DDE" w:rsidRDefault="00ED6DDE">
            <w:r>
              <w:t>Scheme fees</w:t>
            </w:r>
          </w:p>
        </w:tc>
        <w:tc>
          <w:tcPr>
            <w:tcW w:w="0" w:type="auto"/>
            <w:tcBorders>
              <w:top w:val="outset" w:sz="6" w:space="0" w:color="auto"/>
              <w:left w:val="outset" w:sz="6" w:space="0" w:color="auto"/>
              <w:bottom w:val="outset" w:sz="6" w:space="0" w:color="auto"/>
              <w:right w:val="outset" w:sz="6" w:space="0" w:color="auto"/>
            </w:tcBorders>
            <w:hideMark/>
          </w:tcPr>
          <w:p w14:paraId="2B782676" w14:textId="77777777" w:rsidR="00ED6DDE" w:rsidRDefault="00ED6DDE">
            <w:r>
              <w:t>Issuers and acquirers</w:t>
            </w:r>
          </w:p>
        </w:tc>
        <w:tc>
          <w:tcPr>
            <w:tcW w:w="0" w:type="auto"/>
            <w:tcBorders>
              <w:top w:val="outset" w:sz="6" w:space="0" w:color="auto"/>
              <w:left w:val="outset" w:sz="6" w:space="0" w:color="auto"/>
              <w:bottom w:val="outset" w:sz="6" w:space="0" w:color="auto"/>
              <w:right w:val="outset" w:sz="6" w:space="0" w:color="auto"/>
            </w:tcBorders>
            <w:hideMark/>
          </w:tcPr>
          <w:p w14:paraId="3B6840FA" w14:textId="77777777" w:rsidR="00ED6DDE" w:rsidRDefault="00ED6DDE">
            <w:r>
              <w:t>1 July 2025 – 30 June 2026</w:t>
            </w:r>
          </w:p>
        </w:tc>
        <w:tc>
          <w:tcPr>
            <w:tcW w:w="0" w:type="auto"/>
            <w:tcBorders>
              <w:top w:val="outset" w:sz="6" w:space="0" w:color="auto"/>
              <w:left w:val="outset" w:sz="6" w:space="0" w:color="auto"/>
              <w:bottom w:val="outset" w:sz="6" w:space="0" w:color="auto"/>
              <w:right w:val="outset" w:sz="6" w:space="0" w:color="auto"/>
            </w:tcBorders>
            <w:hideMark/>
          </w:tcPr>
          <w:p w14:paraId="299194EF" w14:textId="77777777" w:rsidR="00ED6DDE" w:rsidRDefault="00ED6DDE">
            <w:r>
              <w:t>2 October 2026</w:t>
            </w:r>
          </w:p>
        </w:tc>
      </w:tr>
    </w:tbl>
    <w:p w14:paraId="3133B2F4" w14:textId="77777777" w:rsidR="004D39F3" w:rsidRDefault="004D39F3">
      <w:pPr>
        <w:rPr>
          <w:kern w:val="2"/>
          <w:szCs w:val="21"/>
          <w:lang w:val="en-AU" w:eastAsia="en-AU"/>
          <w14:ligatures w14:val="standardContextual"/>
        </w:rPr>
      </w:pPr>
    </w:p>
    <w:p w14:paraId="682F0E20" w14:textId="77777777" w:rsidR="004D39F3" w:rsidRDefault="004D39F3">
      <w:pPr>
        <w:rPr>
          <w:kern w:val="2"/>
          <w:szCs w:val="21"/>
          <w:lang w:val="en-AU" w:eastAsia="en-AU"/>
          <w14:ligatures w14:val="standardContextual"/>
        </w:rPr>
      </w:pPr>
    </w:p>
    <w:p w14:paraId="0F3E8883" w14:textId="77777777" w:rsidR="004D39F3" w:rsidRDefault="004D39F3">
      <w:pPr>
        <w:rPr>
          <w:kern w:val="2"/>
          <w:szCs w:val="21"/>
          <w:lang w:val="en-AU" w:eastAsia="en-AU"/>
          <w14:ligatures w14:val="standardContextual"/>
        </w:rPr>
      </w:pPr>
    </w:p>
    <w:p w14:paraId="5E90B3F7" w14:textId="77777777" w:rsidR="004D39F3" w:rsidRDefault="004D39F3">
      <w:pPr>
        <w:rPr>
          <w:kern w:val="2"/>
          <w:szCs w:val="21"/>
          <w:lang w:val="en-AU" w:eastAsia="en-AU"/>
          <w14:ligatures w14:val="standardContextual"/>
        </w:rPr>
      </w:pPr>
    </w:p>
    <w:p w14:paraId="0591F28A" w14:textId="77777777" w:rsidR="004D39F3" w:rsidRDefault="004D39F3">
      <w:pPr>
        <w:rPr>
          <w:kern w:val="2"/>
          <w:szCs w:val="21"/>
          <w:lang w:val="en-AU" w:eastAsia="en-AU"/>
          <w14:ligatures w14:val="standardContextual"/>
        </w:rPr>
      </w:pPr>
    </w:p>
    <w:p w14:paraId="194461D4" w14:textId="77777777" w:rsidR="004D39F3" w:rsidRDefault="004D39F3">
      <w:pPr>
        <w:rPr>
          <w:kern w:val="2"/>
          <w:szCs w:val="21"/>
          <w:lang w:val="en-AU" w:eastAsia="en-AU"/>
          <w14:ligatures w14:val="standardContextual"/>
        </w:rPr>
      </w:pPr>
    </w:p>
    <w:p w14:paraId="31A04078" w14:textId="05E470FC" w:rsidR="008F37C7" w:rsidRDefault="00D02B86" w:rsidP="00D02B86">
      <w:pPr>
        <w:pStyle w:val="Heading1"/>
      </w:pPr>
      <w:r w:rsidRPr="00D02B86">
        <w:lastRenderedPageBreak/>
        <w:t>Appendix B -</w:t>
      </w:r>
      <w:r w:rsidR="004D39F3" w:rsidRPr="004D39F3">
        <w:t xml:space="preserve"> </w:t>
      </w:r>
      <w:r w:rsidR="004D39F3">
        <w:t xml:space="preserve">Consultation </w:t>
      </w:r>
      <w:r w:rsidR="004D39F3" w:rsidRPr="00FC128D">
        <w:t>Question Cross-Reference</w:t>
      </w:r>
    </w:p>
    <w:p w14:paraId="3D832B21" w14:textId="77777777" w:rsidR="004D39F3" w:rsidRDefault="004D39F3" w:rsidP="004D39F3"/>
    <w:tbl>
      <w:tblPr>
        <w:tblStyle w:val="GridTable4-Accent1"/>
        <w:tblW w:w="0" w:type="auto"/>
        <w:tblInd w:w="0" w:type="dxa"/>
        <w:tblLook w:val="04A0" w:firstRow="1" w:lastRow="0" w:firstColumn="1" w:lastColumn="0" w:noHBand="0" w:noVBand="1"/>
      </w:tblPr>
      <w:tblGrid>
        <w:gridCol w:w="6671"/>
        <w:gridCol w:w="3069"/>
      </w:tblGrid>
      <w:tr w:rsidR="004D39F3" w14:paraId="63553A7A" w14:textId="77777777" w:rsidTr="004147AF">
        <w:tc>
          <w:tcPr>
            <w:tcW w:w="0" w:type="auto"/>
            <w:vAlign w:val="center"/>
            <w:hideMark/>
          </w:tcPr>
          <w:p w14:paraId="510CD7C9" w14:textId="77777777" w:rsidR="004D39F3" w:rsidRDefault="004D39F3" w:rsidP="004147AF">
            <w:pPr>
              <w:rPr>
                <w:szCs w:val="21"/>
                <w:lang w:val="en-AU" w:eastAsia="en-AU"/>
              </w:rPr>
            </w:pPr>
            <w:r>
              <w:rPr>
                <w:b/>
                <w:bCs/>
              </w:rPr>
              <w:t>Consultation topic</w:t>
            </w:r>
          </w:p>
        </w:tc>
        <w:tc>
          <w:tcPr>
            <w:tcW w:w="0" w:type="auto"/>
            <w:vAlign w:val="center"/>
            <w:hideMark/>
          </w:tcPr>
          <w:p w14:paraId="74BF20AB" w14:textId="77777777" w:rsidR="004D39F3" w:rsidRDefault="004D39F3" w:rsidP="004147AF">
            <w:r>
              <w:rPr>
                <w:b/>
                <w:bCs/>
              </w:rPr>
              <w:t>Relevant submission sections</w:t>
            </w:r>
          </w:p>
        </w:tc>
      </w:tr>
      <w:tr w:rsidR="004D39F3" w14:paraId="36874F4C" w14:textId="77777777" w:rsidTr="004147AF">
        <w:tc>
          <w:tcPr>
            <w:tcW w:w="0" w:type="auto"/>
            <w:vAlign w:val="center"/>
            <w:hideMark/>
          </w:tcPr>
          <w:p w14:paraId="57B14BFC" w14:textId="77777777" w:rsidR="004D39F3" w:rsidRDefault="004D39F3" w:rsidP="004147AF">
            <w:r>
              <w:t>Merchant choice and competition across debit networks</w:t>
            </w:r>
          </w:p>
        </w:tc>
        <w:tc>
          <w:tcPr>
            <w:tcW w:w="0" w:type="auto"/>
            <w:vAlign w:val="center"/>
            <w:hideMark/>
          </w:tcPr>
          <w:p w14:paraId="47BCF171" w14:textId="77777777" w:rsidR="004D39F3" w:rsidRDefault="004D39F3" w:rsidP="004147AF">
            <w:r>
              <w:t>Sections 3, 6 and 7</w:t>
            </w:r>
          </w:p>
        </w:tc>
      </w:tr>
      <w:tr w:rsidR="004D39F3" w14:paraId="7A9C7748" w14:textId="77777777" w:rsidTr="004147AF">
        <w:tc>
          <w:tcPr>
            <w:tcW w:w="0" w:type="auto"/>
            <w:vAlign w:val="center"/>
            <w:hideMark/>
          </w:tcPr>
          <w:p w14:paraId="7FF9E8E1" w14:textId="77777777" w:rsidR="004D39F3" w:rsidRDefault="004D39F3" w:rsidP="004147AF">
            <w:r>
              <w:t>Integrated platforms and bundling</w:t>
            </w:r>
          </w:p>
        </w:tc>
        <w:tc>
          <w:tcPr>
            <w:tcW w:w="0" w:type="auto"/>
            <w:vAlign w:val="center"/>
            <w:hideMark/>
          </w:tcPr>
          <w:p w14:paraId="3167EA83" w14:textId="77777777" w:rsidR="004D39F3" w:rsidRDefault="004D39F3" w:rsidP="004147AF">
            <w:r>
              <w:t>Sections 3, 6 and 8</w:t>
            </w:r>
          </w:p>
        </w:tc>
      </w:tr>
      <w:tr w:rsidR="004D39F3" w14:paraId="7871EE1E" w14:textId="77777777" w:rsidTr="004147AF">
        <w:tc>
          <w:tcPr>
            <w:tcW w:w="0" w:type="auto"/>
            <w:vAlign w:val="center"/>
            <w:hideMark/>
          </w:tcPr>
          <w:p w14:paraId="5F99013C" w14:textId="77777777" w:rsidR="004D39F3" w:rsidRDefault="004D39F3" w:rsidP="004147AF">
            <w:proofErr w:type="spellStart"/>
            <w:r>
              <w:t>Tokenisation</w:t>
            </w:r>
            <w:proofErr w:type="spellEnd"/>
            <w:r>
              <w:t xml:space="preserve"> and emerging payment technologies</w:t>
            </w:r>
          </w:p>
        </w:tc>
        <w:tc>
          <w:tcPr>
            <w:tcW w:w="0" w:type="auto"/>
            <w:vAlign w:val="center"/>
            <w:hideMark/>
          </w:tcPr>
          <w:p w14:paraId="0BD15336" w14:textId="77777777" w:rsidR="004D39F3" w:rsidRDefault="004D39F3" w:rsidP="004147AF">
            <w:r>
              <w:t>Sections 3 and 5</w:t>
            </w:r>
          </w:p>
        </w:tc>
      </w:tr>
      <w:tr w:rsidR="004D39F3" w14:paraId="3087FB32" w14:textId="77777777" w:rsidTr="004147AF">
        <w:tc>
          <w:tcPr>
            <w:tcW w:w="0" w:type="auto"/>
            <w:vAlign w:val="center"/>
            <w:hideMark/>
          </w:tcPr>
          <w:p w14:paraId="45C8FB3F" w14:textId="77777777" w:rsidR="004D39F3" w:rsidRDefault="004D39F3" w:rsidP="004147AF">
            <w:r>
              <w:t>AI-enabled payment initiation and e-commerce</w:t>
            </w:r>
          </w:p>
        </w:tc>
        <w:tc>
          <w:tcPr>
            <w:tcW w:w="0" w:type="auto"/>
            <w:vAlign w:val="center"/>
            <w:hideMark/>
          </w:tcPr>
          <w:p w14:paraId="4A5B6D96" w14:textId="77777777" w:rsidR="004D39F3" w:rsidRDefault="004D39F3" w:rsidP="004147AF">
            <w:r>
              <w:t>Sections 3 and 6</w:t>
            </w:r>
          </w:p>
        </w:tc>
      </w:tr>
      <w:tr w:rsidR="004D39F3" w14:paraId="75743BEB" w14:textId="77777777" w:rsidTr="004147AF">
        <w:tc>
          <w:tcPr>
            <w:tcW w:w="0" w:type="auto"/>
            <w:vAlign w:val="center"/>
            <w:hideMark/>
          </w:tcPr>
          <w:p w14:paraId="6BBC6FA0" w14:textId="77777777" w:rsidR="004D39F3" w:rsidRDefault="004D39F3" w:rsidP="004147AF">
            <w:r>
              <w:t>Mobile payments, non-designated card networks and buy now, pay later</w:t>
            </w:r>
          </w:p>
        </w:tc>
        <w:tc>
          <w:tcPr>
            <w:tcW w:w="0" w:type="auto"/>
            <w:vAlign w:val="center"/>
            <w:hideMark/>
          </w:tcPr>
          <w:p w14:paraId="37132B63" w14:textId="77777777" w:rsidR="004D39F3" w:rsidRDefault="004D39F3" w:rsidP="004147AF">
            <w:r>
              <w:t>Sections 3 and 6</w:t>
            </w:r>
          </w:p>
        </w:tc>
      </w:tr>
      <w:tr w:rsidR="004D39F3" w14:paraId="5BB48244" w14:textId="77777777" w:rsidTr="004147AF">
        <w:tc>
          <w:tcPr>
            <w:tcW w:w="0" w:type="auto"/>
            <w:vAlign w:val="center"/>
            <w:hideMark/>
          </w:tcPr>
          <w:p w14:paraId="072BA71A" w14:textId="77777777" w:rsidR="004D39F3" w:rsidRDefault="004D39F3" w:rsidP="004147AF">
            <w:r>
              <w:t>Account-to-account payments and PayTo</w:t>
            </w:r>
          </w:p>
        </w:tc>
        <w:tc>
          <w:tcPr>
            <w:tcW w:w="0" w:type="auto"/>
            <w:vAlign w:val="center"/>
            <w:hideMark/>
          </w:tcPr>
          <w:p w14:paraId="30B64652" w14:textId="77777777" w:rsidR="004D39F3" w:rsidRDefault="004D39F3" w:rsidP="004147AF">
            <w:r>
              <w:t>Section 5</w:t>
            </w:r>
          </w:p>
        </w:tc>
      </w:tr>
      <w:tr w:rsidR="004D39F3" w14:paraId="2210A22E" w14:textId="77777777" w:rsidTr="004147AF">
        <w:tc>
          <w:tcPr>
            <w:tcW w:w="0" w:type="auto"/>
            <w:vAlign w:val="center"/>
            <w:hideMark/>
          </w:tcPr>
          <w:p w14:paraId="36F659AC" w14:textId="77777777" w:rsidR="004D39F3" w:rsidRDefault="004D39F3" w:rsidP="004147AF">
            <w:r>
              <w:t>Competition between cards and account-to-account payments</w:t>
            </w:r>
          </w:p>
        </w:tc>
        <w:tc>
          <w:tcPr>
            <w:tcW w:w="0" w:type="auto"/>
            <w:vAlign w:val="center"/>
            <w:hideMark/>
          </w:tcPr>
          <w:p w14:paraId="23DAF5B3" w14:textId="77777777" w:rsidR="004D39F3" w:rsidRDefault="004D39F3" w:rsidP="004147AF">
            <w:r>
              <w:t>Sections 5 and 6</w:t>
            </w:r>
          </w:p>
        </w:tc>
      </w:tr>
      <w:tr w:rsidR="004D39F3" w14:paraId="3BCF3161" w14:textId="77777777" w:rsidTr="004147AF">
        <w:tc>
          <w:tcPr>
            <w:tcW w:w="0" w:type="auto"/>
            <w:vAlign w:val="center"/>
            <w:hideMark/>
          </w:tcPr>
          <w:p w14:paraId="732A837E" w14:textId="77777777" w:rsidR="004D39F3" w:rsidRDefault="004D39F3" w:rsidP="004147AF">
            <w:r>
              <w:t>Cryptography, resilience and fraud prevention</w:t>
            </w:r>
          </w:p>
        </w:tc>
        <w:tc>
          <w:tcPr>
            <w:tcW w:w="0" w:type="auto"/>
            <w:vAlign w:val="center"/>
            <w:hideMark/>
          </w:tcPr>
          <w:p w14:paraId="41036F3C" w14:textId="77777777" w:rsidR="004D39F3" w:rsidRDefault="004D39F3" w:rsidP="004147AF">
            <w:r>
              <w:t>Sections 3, 5 and 6</w:t>
            </w:r>
          </w:p>
        </w:tc>
      </w:tr>
      <w:tr w:rsidR="004D39F3" w14:paraId="4BB59B08" w14:textId="77777777" w:rsidTr="004147AF">
        <w:tc>
          <w:tcPr>
            <w:tcW w:w="0" w:type="auto"/>
            <w:vAlign w:val="center"/>
            <w:hideMark/>
          </w:tcPr>
          <w:p w14:paraId="16A63540" w14:textId="77777777" w:rsidR="004D39F3" w:rsidRDefault="004D39F3" w:rsidP="004147AF">
            <w:r>
              <w:t>Other regulatory design and implementation matters</w:t>
            </w:r>
          </w:p>
        </w:tc>
        <w:tc>
          <w:tcPr>
            <w:tcW w:w="0" w:type="auto"/>
            <w:vAlign w:val="center"/>
            <w:hideMark/>
          </w:tcPr>
          <w:p w14:paraId="01559805" w14:textId="77777777" w:rsidR="004D39F3" w:rsidRDefault="004D39F3" w:rsidP="004147AF">
            <w:r>
              <w:t>Sections 4, 8 and 9</w:t>
            </w:r>
          </w:p>
        </w:tc>
      </w:tr>
    </w:tbl>
    <w:p w14:paraId="49C977FC" w14:textId="77777777" w:rsidR="004D39F3" w:rsidRPr="004D39F3" w:rsidRDefault="004D39F3" w:rsidP="004D39F3"/>
    <w:sectPr w:rsidR="004D39F3" w:rsidRPr="004D39F3" w:rsidSect="00A1263A">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933A67"/>
    <w:multiLevelType w:val="multilevel"/>
    <w:tmpl w:val="62D2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FE46D0"/>
    <w:multiLevelType w:val="multilevel"/>
    <w:tmpl w:val="CFD4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3E6BEE"/>
    <w:multiLevelType w:val="multilevel"/>
    <w:tmpl w:val="C6AE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8F6004"/>
    <w:multiLevelType w:val="multilevel"/>
    <w:tmpl w:val="8C4E2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D227A8"/>
    <w:multiLevelType w:val="hybridMultilevel"/>
    <w:tmpl w:val="12103632"/>
    <w:lvl w:ilvl="0" w:tplc="0C090001">
      <w:start w:val="1"/>
      <w:numFmt w:val="bullet"/>
      <w:lvlText w:val=""/>
      <w:lvlJc w:val="left"/>
      <w:pPr>
        <w:ind w:left="801" w:hanging="360"/>
      </w:pPr>
      <w:rPr>
        <w:rFonts w:ascii="Symbol" w:hAnsi="Symbol" w:hint="default"/>
      </w:rPr>
    </w:lvl>
    <w:lvl w:ilvl="1" w:tplc="0C090003" w:tentative="1">
      <w:start w:val="1"/>
      <w:numFmt w:val="bullet"/>
      <w:lvlText w:val="o"/>
      <w:lvlJc w:val="left"/>
      <w:pPr>
        <w:ind w:left="1521" w:hanging="360"/>
      </w:pPr>
      <w:rPr>
        <w:rFonts w:ascii="Courier New" w:hAnsi="Courier New" w:cs="Courier New" w:hint="default"/>
      </w:rPr>
    </w:lvl>
    <w:lvl w:ilvl="2" w:tplc="0C090005" w:tentative="1">
      <w:start w:val="1"/>
      <w:numFmt w:val="bullet"/>
      <w:lvlText w:val=""/>
      <w:lvlJc w:val="left"/>
      <w:pPr>
        <w:ind w:left="2241" w:hanging="360"/>
      </w:pPr>
      <w:rPr>
        <w:rFonts w:ascii="Wingdings" w:hAnsi="Wingdings" w:hint="default"/>
      </w:rPr>
    </w:lvl>
    <w:lvl w:ilvl="3" w:tplc="0C090001" w:tentative="1">
      <w:start w:val="1"/>
      <w:numFmt w:val="bullet"/>
      <w:lvlText w:val=""/>
      <w:lvlJc w:val="left"/>
      <w:pPr>
        <w:ind w:left="2961" w:hanging="360"/>
      </w:pPr>
      <w:rPr>
        <w:rFonts w:ascii="Symbol" w:hAnsi="Symbol" w:hint="default"/>
      </w:rPr>
    </w:lvl>
    <w:lvl w:ilvl="4" w:tplc="0C090003" w:tentative="1">
      <w:start w:val="1"/>
      <w:numFmt w:val="bullet"/>
      <w:lvlText w:val="o"/>
      <w:lvlJc w:val="left"/>
      <w:pPr>
        <w:ind w:left="3681" w:hanging="360"/>
      </w:pPr>
      <w:rPr>
        <w:rFonts w:ascii="Courier New" w:hAnsi="Courier New" w:cs="Courier New" w:hint="default"/>
      </w:rPr>
    </w:lvl>
    <w:lvl w:ilvl="5" w:tplc="0C090005" w:tentative="1">
      <w:start w:val="1"/>
      <w:numFmt w:val="bullet"/>
      <w:lvlText w:val=""/>
      <w:lvlJc w:val="left"/>
      <w:pPr>
        <w:ind w:left="4401" w:hanging="360"/>
      </w:pPr>
      <w:rPr>
        <w:rFonts w:ascii="Wingdings" w:hAnsi="Wingdings" w:hint="default"/>
      </w:rPr>
    </w:lvl>
    <w:lvl w:ilvl="6" w:tplc="0C090001" w:tentative="1">
      <w:start w:val="1"/>
      <w:numFmt w:val="bullet"/>
      <w:lvlText w:val=""/>
      <w:lvlJc w:val="left"/>
      <w:pPr>
        <w:ind w:left="5121" w:hanging="360"/>
      </w:pPr>
      <w:rPr>
        <w:rFonts w:ascii="Symbol" w:hAnsi="Symbol" w:hint="default"/>
      </w:rPr>
    </w:lvl>
    <w:lvl w:ilvl="7" w:tplc="0C090003" w:tentative="1">
      <w:start w:val="1"/>
      <w:numFmt w:val="bullet"/>
      <w:lvlText w:val="o"/>
      <w:lvlJc w:val="left"/>
      <w:pPr>
        <w:ind w:left="5841" w:hanging="360"/>
      </w:pPr>
      <w:rPr>
        <w:rFonts w:ascii="Courier New" w:hAnsi="Courier New" w:cs="Courier New" w:hint="default"/>
      </w:rPr>
    </w:lvl>
    <w:lvl w:ilvl="8" w:tplc="0C090005" w:tentative="1">
      <w:start w:val="1"/>
      <w:numFmt w:val="bullet"/>
      <w:lvlText w:val=""/>
      <w:lvlJc w:val="left"/>
      <w:pPr>
        <w:ind w:left="6561" w:hanging="360"/>
      </w:pPr>
      <w:rPr>
        <w:rFonts w:ascii="Wingdings" w:hAnsi="Wingdings" w:hint="default"/>
      </w:rPr>
    </w:lvl>
  </w:abstractNum>
  <w:abstractNum w:abstractNumId="14" w15:restartNumberingAfterBreak="0">
    <w:nsid w:val="4930055D"/>
    <w:multiLevelType w:val="multilevel"/>
    <w:tmpl w:val="0792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12371D"/>
    <w:multiLevelType w:val="multilevel"/>
    <w:tmpl w:val="27987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791FF5"/>
    <w:multiLevelType w:val="multilevel"/>
    <w:tmpl w:val="5166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1B6778"/>
    <w:multiLevelType w:val="multilevel"/>
    <w:tmpl w:val="54A6E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5D3EC0"/>
    <w:multiLevelType w:val="multilevel"/>
    <w:tmpl w:val="199C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C3580B"/>
    <w:multiLevelType w:val="multilevel"/>
    <w:tmpl w:val="E892D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2E5351"/>
    <w:multiLevelType w:val="multilevel"/>
    <w:tmpl w:val="3114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1795582">
    <w:abstractNumId w:val="8"/>
  </w:num>
  <w:num w:numId="2" w16cid:durableId="249432575">
    <w:abstractNumId w:val="6"/>
  </w:num>
  <w:num w:numId="3" w16cid:durableId="1031414572">
    <w:abstractNumId w:val="5"/>
  </w:num>
  <w:num w:numId="4" w16cid:durableId="1371418611">
    <w:abstractNumId w:val="4"/>
  </w:num>
  <w:num w:numId="5" w16cid:durableId="1216896797">
    <w:abstractNumId w:val="7"/>
  </w:num>
  <w:num w:numId="6" w16cid:durableId="1800226004">
    <w:abstractNumId w:val="3"/>
  </w:num>
  <w:num w:numId="7" w16cid:durableId="1002463739">
    <w:abstractNumId w:val="2"/>
  </w:num>
  <w:num w:numId="8" w16cid:durableId="1158031649">
    <w:abstractNumId w:val="1"/>
  </w:num>
  <w:num w:numId="9" w16cid:durableId="720253889">
    <w:abstractNumId w:val="0"/>
  </w:num>
  <w:num w:numId="10" w16cid:durableId="1965382072">
    <w:abstractNumId w:val="20"/>
  </w:num>
  <w:num w:numId="11" w16cid:durableId="1941330045">
    <w:abstractNumId w:val="16"/>
  </w:num>
  <w:num w:numId="12" w16cid:durableId="135685383">
    <w:abstractNumId w:val="19"/>
  </w:num>
  <w:num w:numId="13" w16cid:durableId="1924877888">
    <w:abstractNumId w:val="9"/>
  </w:num>
  <w:num w:numId="14" w16cid:durableId="1774015766">
    <w:abstractNumId w:val="10"/>
  </w:num>
  <w:num w:numId="15" w16cid:durableId="738284695">
    <w:abstractNumId w:val="12"/>
  </w:num>
  <w:num w:numId="16" w16cid:durableId="2069766958">
    <w:abstractNumId w:val="13"/>
  </w:num>
  <w:num w:numId="17" w16cid:durableId="715666964">
    <w:abstractNumId w:val="18"/>
  </w:num>
  <w:num w:numId="18" w16cid:durableId="1309238726">
    <w:abstractNumId w:val="14"/>
  </w:num>
  <w:num w:numId="19" w16cid:durableId="1886604075">
    <w:abstractNumId w:val="11"/>
  </w:num>
  <w:num w:numId="20" w16cid:durableId="492335490">
    <w:abstractNumId w:val="17"/>
  </w:num>
  <w:num w:numId="21" w16cid:durableId="565870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6B0"/>
    <w:rsid w:val="00021569"/>
    <w:rsid w:val="00034616"/>
    <w:rsid w:val="000509E2"/>
    <w:rsid w:val="0006063C"/>
    <w:rsid w:val="0007098C"/>
    <w:rsid w:val="000778DC"/>
    <w:rsid w:val="00082AA0"/>
    <w:rsid w:val="00084651"/>
    <w:rsid w:val="00094C50"/>
    <w:rsid w:val="000953D4"/>
    <w:rsid w:val="000B1351"/>
    <w:rsid w:val="000B15FA"/>
    <w:rsid w:val="000E4326"/>
    <w:rsid w:val="00104D30"/>
    <w:rsid w:val="001319A8"/>
    <w:rsid w:val="0015074B"/>
    <w:rsid w:val="00170470"/>
    <w:rsid w:val="00174909"/>
    <w:rsid w:val="00175001"/>
    <w:rsid w:val="00177489"/>
    <w:rsid w:val="00180DC6"/>
    <w:rsid w:val="001C4405"/>
    <w:rsid w:val="001C6F4C"/>
    <w:rsid w:val="001E6CF7"/>
    <w:rsid w:val="002060C9"/>
    <w:rsid w:val="0021480C"/>
    <w:rsid w:val="00227B54"/>
    <w:rsid w:val="002307A3"/>
    <w:rsid w:val="002440E9"/>
    <w:rsid w:val="00263D7E"/>
    <w:rsid w:val="0029639D"/>
    <w:rsid w:val="002C177D"/>
    <w:rsid w:val="002E1695"/>
    <w:rsid w:val="00326F90"/>
    <w:rsid w:val="00330D4E"/>
    <w:rsid w:val="00345540"/>
    <w:rsid w:val="0039045E"/>
    <w:rsid w:val="0039170C"/>
    <w:rsid w:val="003950C2"/>
    <w:rsid w:val="003A0F6B"/>
    <w:rsid w:val="003C0117"/>
    <w:rsid w:val="003C1C16"/>
    <w:rsid w:val="003D1FC5"/>
    <w:rsid w:val="003F7F7F"/>
    <w:rsid w:val="00404095"/>
    <w:rsid w:val="004121EF"/>
    <w:rsid w:val="0042498A"/>
    <w:rsid w:val="00430DC4"/>
    <w:rsid w:val="00432D11"/>
    <w:rsid w:val="00437792"/>
    <w:rsid w:val="00442271"/>
    <w:rsid w:val="0044547E"/>
    <w:rsid w:val="00477705"/>
    <w:rsid w:val="00490016"/>
    <w:rsid w:val="004914C1"/>
    <w:rsid w:val="004A7895"/>
    <w:rsid w:val="004D39F3"/>
    <w:rsid w:val="004D5269"/>
    <w:rsid w:val="004E1270"/>
    <w:rsid w:val="004F64B7"/>
    <w:rsid w:val="00504617"/>
    <w:rsid w:val="00516DB7"/>
    <w:rsid w:val="00526998"/>
    <w:rsid w:val="00575BFE"/>
    <w:rsid w:val="005A4261"/>
    <w:rsid w:val="005B0167"/>
    <w:rsid w:val="005B6690"/>
    <w:rsid w:val="005C517D"/>
    <w:rsid w:val="005E0C1A"/>
    <w:rsid w:val="005E213D"/>
    <w:rsid w:val="005E21FC"/>
    <w:rsid w:val="005E46D4"/>
    <w:rsid w:val="005F0077"/>
    <w:rsid w:val="00620112"/>
    <w:rsid w:val="0064352B"/>
    <w:rsid w:val="006521E0"/>
    <w:rsid w:val="00671F1E"/>
    <w:rsid w:val="00682609"/>
    <w:rsid w:val="006C77B6"/>
    <w:rsid w:val="006D0885"/>
    <w:rsid w:val="00701F7F"/>
    <w:rsid w:val="00705DBC"/>
    <w:rsid w:val="00717677"/>
    <w:rsid w:val="0078495A"/>
    <w:rsid w:val="007867D0"/>
    <w:rsid w:val="007A15B4"/>
    <w:rsid w:val="007E1118"/>
    <w:rsid w:val="00815DB8"/>
    <w:rsid w:val="00827EB5"/>
    <w:rsid w:val="00886912"/>
    <w:rsid w:val="0089446B"/>
    <w:rsid w:val="008A593E"/>
    <w:rsid w:val="008B44D6"/>
    <w:rsid w:val="008F37C7"/>
    <w:rsid w:val="00913439"/>
    <w:rsid w:val="00913B2F"/>
    <w:rsid w:val="0092117E"/>
    <w:rsid w:val="00990F93"/>
    <w:rsid w:val="009A5B91"/>
    <w:rsid w:val="009B24D0"/>
    <w:rsid w:val="009D1475"/>
    <w:rsid w:val="009D7675"/>
    <w:rsid w:val="00A1263A"/>
    <w:rsid w:val="00A17976"/>
    <w:rsid w:val="00A20AB6"/>
    <w:rsid w:val="00A33A89"/>
    <w:rsid w:val="00A465E5"/>
    <w:rsid w:val="00A50E1E"/>
    <w:rsid w:val="00A61D5E"/>
    <w:rsid w:val="00A846EC"/>
    <w:rsid w:val="00AA1D8D"/>
    <w:rsid w:val="00AB05CB"/>
    <w:rsid w:val="00AD0E43"/>
    <w:rsid w:val="00AD7BCC"/>
    <w:rsid w:val="00AE5E96"/>
    <w:rsid w:val="00B10101"/>
    <w:rsid w:val="00B1057F"/>
    <w:rsid w:val="00B279A3"/>
    <w:rsid w:val="00B41D4C"/>
    <w:rsid w:val="00B47730"/>
    <w:rsid w:val="00B53A48"/>
    <w:rsid w:val="00B76216"/>
    <w:rsid w:val="00BB41EC"/>
    <w:rsid w:val="00BB4ED7"/>
    <w:rsid w:val="00BC7F6F"/>
    <w:rsid w:val="00BF4BA2"/>
    <w:rsid w:val="00C06C31"/>
    <w:rsid w:val="00C140B7"/>
    <w:rsid w:val="00C837F0"/>
    <w:rsid w:val="00CB0664"/>
    <w:rsid w:val="00D02B86"/>
    <w:rsid w:val="00D2777F"/>
    <w:rsid w:val="00D55D2A"/>
    <w:rsid w:val="00D76353"/>
    <w:rsid w:val="00DC13B9"/>
    <w:rsid w:val="00DC6A92"/>
    <w:rsid w:val="00DD2B65"/>
    <w:rsid w:val="00E856E1"/>
    <w:rsid w:val="00EB50FE"/>
    <w:rsid w:val="00EB5E90"/>
    <w:rsid w:val="00ED6DDE"/>
    <w:rsid w:val="00EE4BA2"/>
    <w:rsid w:val="00EF3A8C"/>
    <w:rsid w:val="00EF637B"/>
    <w:rsid w:val="00F4068D"/>
    <w:rsid w:val="00F4103E"/>
    <w:rsid w:val="00FA4BC4"/>
    <w:rsid w:val="00FC128D"/>
    <w:rsid w:val="00FC693F"/>
    <w:rsid w:val="00FD2C5E"/>
    <w:rsid w:val="00FD4274"/>
    <w:rsid w:val="00FE5A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FC7D1E"/>
  <w14:defaultImageDpi w14:val="300"/>
  <w15:docId w15:val="{533E7A9E-E3C8-4034-9831-13F4C15B0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F4E79"/>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5E46D4"/>
    <w:rPr>
      <w:sz w:val="16"/>
      <w:szCs w:val="16"/>
    </w:rPr>
  </w:style>
  <w:style w:type="paragraph" w:styleId="CommentText">
    <w:name w:val="annotation text"/>
    <w:basedOn w:val="Normal"/>
    <w:link w:val="CommentTextChar"/>
    <w:uiPriority w:val="99"/>
    <w:unhideWhenUsed/>
    <w:rsid w:val="005E46D4"/>
    <w:pPr>
      <w:spacing w:line="240" w:lineRule="auto"/>
    </w:pPr>
    <w:rPr>
      <w:sz w:val="20"/>
      <w:szCs w:val="20"/>
    </w:rPr>
  </w:style>
  <w:style w:type="character" w:customStyle="1" w:styleId="CommentTextChar">
    <w:name w:val="Comment Text Char"/>
    <w:basedOn w:val="DefaultParagraphFont"/>
    <w:link w:val="CommentText"/>
    <w:uiPriority w:val="99"/>
    <w:rsid w:val="005E46D4"/>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5E46D4"/>
    <w:rPr>
      <w:b/>
      <w:bCs/>
    </w:rPr>
  </w:style>
  <w:style w:type="character" w:customStyle="1" w:styleId="CommentSubjectChar">
    <w:name w:val="Comment Subject Char"/>
    <w:basedOn w:val="CommentTextChar"/>
    <w:link w:val="CommentSubject"/>
    <w:uiPriority w:val="99"/>
    <w:semiHidden/>
    <w:rsid w:val="005E46D4"/>
    <w:rPr>
      <w:rFonts w:ascii="Aptos" w:hAnsi="Aptos"/>
      <w:b/>
      <w:bCs/>
      <w:sz w:val="20"/>
      <w:szCs w:val="20"/>
    </w:rPr>
  </w:style>
  <w:style w:type="paragraph" w:styleId="Revision">
    <w:name w:val="Revision"/>
    <w:hidden/>
    <w:uiPriority w:val="99"/>
    <w:semiHidden/>
    <w:rsid w:val="00717677"/>
    <w:pPr>
      <w:spacing w:after="0" w:line="240" w:lineRule="auto"/>
    </w:pPr>
    <w:rPr>
      <w:rFonts w:ascii="Aptos" w:hAnsi="Aptos"/>
      <w:sz w:val="21"/>
    </w:rPr>
  </w:style>
  <w:style w:type="table" w:styleId="GridTable4-Accent1">
    <w:name w:val="Grid Table 4 Accent 1"/>
    <w:basedOn w:val="TableNormal"/>
    <w:uiPriority w:val="49"/>
    <w:rsid w:val="00FC128D"/>
    <w:pPr>
      <w:spacing w:after="0" w:line="240" w:lineRule="auto"/>
    </w:pPr>
    <w:rPr>
      <w:kern w:val="2"/>
      <w:sz w:val="24"/>
      <w:szCs w:val="24"/>
      <w14:ligatures w14:val="standardContextual"/>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openxmlformats.org/officeDocument/2006/relationships/customXml" Target="../customXml/item5.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6474D5961133C4EAB4E06A228DFEE58" ma:contentTypeVersion="3" ma:contentTypeDescription="Create a new document." ma:contentTypeScope="" ma:versionID="9fcd54684af4bc2e3e12fba3d2ee663e">
  <xsd:schema xmlns:xsd="http://www.w3.org/2001/XMLSchema" xmlns:xs="http://www.w3.org/2001/XMLSchema" xmlns:p="http://schemas.microsoft.com/office/2006/metadata/properties" xmlns:ns2="83822f4d-e4c0-48bf-b768-841e5f404804" xmlns:ns3="a2aa19ac-7254-4672-b5f3-36bb7be1aecc" targetNamespace="http://schemas.microsoft.com/office/2006/metadata/properties" ma:root="true" ma:fieldsID="406ff5dc5739e50793881089d6d6d05a" ns2:_="" ns3:_="">
    <xsd:import namespace="83822f4d-e4c0-48bf-b768-841e5f404804"/>
    <xsd:import namespace="a2aa19ac-7254-4672-b5f3-36bb7be1ae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22f4d-e4c0-48bf-b768-841e5f404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a19ac-7254-4672-b5f3-36bb7be1aec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a2aa19ac-7254-4672-b5f3-36bb7be1aecc">W5QWCE3MWNWV-1111276950-146</_dlc_DocId>
    <_dlc_DocIdUrl xmlns="a2aa19ac-7254-4672-b5f3-36bb7be1aecc">
      <Url>https://rbaau.sharepoint.com/sites/py-rrpr/_layouts/15/DocIdRedir.aspx?ID=W5QWCE3MWNWV-1111276950-146</Url>
      <Description>W5QWCE3MWNWV-1111276950-146</Description>
    </_dlc_DocIdUrl>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889D14DC-54FF-47EF-A8AB-08545A2C5ED4}"/>
</file>

<file path=customXml/itemProps3.xml><?xml version="1.0" encoding="utf-8"?>
<ds:datastoreItem xmlns:ds="http://schemas.openxmlformats.org/officeDocument/2006/customXml" ds:itemID="{AD550AFB-5673-49EC-9FD3-60652A645BBD}"/>
</file>

<file path=customXml/itemProps4.xml><?xml version="1.0" encoding="utf-8"?>
<ds:datastoreItem xmlns:ds="http://schemas.openxmlformats.org/officeDocument/2006/customXml" ds:itemID="{8596879B-803A-47CB-BAA9-E936A7144FC5}"/>
</file>

<file path=customXml/itemProps5.xml><?xml version="1.0" encoding="utf-8"?>
<ds:datastoreItem xmlns:ds="http://schemas.openxmlformats.org/officeDocument/2006/customXml" ds:itemID="{96F8A457-8459-4AAF-8F32-EA4D002B6E00}"/>
</file>

<file path=docProps/app.xml><?xml version="1.0" encoding="utf-8"?>
<Properties xmlns="http://schemas.openxmlformats.org/officeDocument/2006/extended-properties" xmlns:vt="http://schemas.openxmlformats.org/officeDocument/2006/docPropsVTypes">
  <Template>Normal</Template>
  <TotalTime>66</TotalTime>
  <Pages>7</Pages>
  <Words>2127</Words>
  <Characters>14232</Characters>
  <Application>Microsoft Office Word</Application>
  <DocSecurity>0</DocSecurity>
  <Lines>284</Lines>
  <Paragraphs>177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16182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Dunne, Patrick (Melbourne)</dc:creator>
  <cp:keywords/>
  <dc:description>generated by python-docx</dc:description>
  <cp:lastModifiedBy>Dunne, Patrick (Melbourne)</cp:lastModifiedBy>
  <cp:revision>59</cp:revision>
  <dcterms:created xsi:type="dcterms:W3CDTF">2026-08-07T00:58:00Z</dcterms:created>
  <dcterms:modified xsi:type="dcterms:W3CDTF">2026-08-07T06:54:00Z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9be37d-e286-4a28-a0e7-b08f27c83763_Enabled">
    <vt:lpwstr>true</vt:lpwstr>
  </property>
  <property fmtid="{D5CDD505-2E9C-101B-9397-08002B2CF9AE}" pid="3" name="MSIP_Label_299be37d-e286-4a28-a0e7-b08f27c83763_SetDate">
    <vt:lpwstr>2026-07-21T11:21:13Z</vt:lpwstr>
  </property>
  <property fmtid="{D5CDD505-2E9C-101B-9397-08002B2CF9AE}" pid="4" name="MSIP_Label_299be37d-e286-4a28-a0e7-b08f27c83763_Method">
    <vt:lpwstr>Standard</vt:lpwstr>
  </property>
  <property fmtid="{D5CDD505-2E9C-101B-9397-08002B2CF9AE}" pid="5" name="MSIP_Label_299be37d-e286-4a28-a0e7-b08f27c83763_Name">
    <vt:lpwstr>Fiserv Confidential</vt:lpwstr>
  </property>
  <property fmtid="{D5CDD505-2E9C-101B-9397-08002B2CF9AE}" pid="6" name="MSIP_Label_299be37d-e286-4a28-a0e7-b08f27c83763_SiteId">
    <vt:lpwstr>11873a1f-4c8d-450d-8dfb-e37a2e2557f8</vt:lpwstr>
  </property>
  <property fmtid="{D5CDD505-2E9C-101B-9397-08002B2CF9AE}" pid="7" name="MSIP_Label_299be37d-e286-4a28-a0e7-b08f27c83763_ActionId">
    <vt:lpwstr>792dcd56-0fee-4d0c-a9bd-21e4bd205229</vt:lpwstr>
  </property>
  <property fmtid="{D5CDD505-2E9C-101B-9397-08002B2CF9AE}" pid="8" name="MSIP_Label_299be37d-e286-4a28-a0e7-b08f27c83763_ContentBits">
    <vt:lpwstr>0</vt:lpwstr>
  </property>
  <property fmtid="{D5CDD505-2E9C-101B-9397-08002B2CF9AE}" pid="9" name="ContentTypeId">
    <vt:lpwstr>0x010100C6474D5961133C4EAB4E06A228DFEE58</vt:lpwstr>
  </property>
  <property fmtid="{D5CDD505-2E9C-101B-9397-08002B2CF9AE}" pid="10" name="_dlc_DocIdItemGuid">
    <vt:lpwstr>435dd5d1-178f-4c26-bb70-ac7fa0e5f8af</vt:lpwstr>
  </property>
</Properties>
</file>