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60" w:lineRule="auto"/>
        <w:rPr/>
      </w:pPr>
      <w:r w:rsidDel="00000000" w:rsidR="00000000" w:rsidRPr="00000000">
        <w:rPr>
          <w:b w:val="1"/>
          <w:bCs w:val="1"/>
          <w:color w:val="b0873a"/>
          <w:sz w:val="19"/>
          <w:szCs w:val="19"/>
          <w:rtl w:val="0"/>
        </w:rPr>
        <w:t xml:space="preserve">DIGITAL ECONOMY COUNCIL OF AUSTRALIA</w:t>
      </w:r>
      <w:r w:rsidDel="00000000" w:rsidR="00000000" w:rsidRPr="00000000">
        <w:rPr>
          <w:rtl w:val="0"/>
        </w:rPr>
      </w:r>
    </w:p>
    <w:p w:rsidR="00000000" w:rsidDel="00000000" w:rsidP="00000000" w:rsidRDefault="00000000" w:rsidRPr="00000000" w14:paraId="00000002">
      <w:pPr>
        <w:pBdr>
          <w:bottom w:color="b0873a" w:space="6" w:sz="10" w:val="single"/>
        </w:pBdr>
        <w:spacing w:after="220" w:before="40" w:lineRule="auto"/>
        <w:rPr/>
      </w:pPr>
      <w:r w:rsidDel="00000000" w:rsidR="00000000" w:rsidRPr="00000000">
        <w:rPr>
          <w:color w:val="56616e"/>
          <w:sz w:val="21"/>
          <w:szCs w:val="21"/>
          <w:rtl w:val="0"/>
        </w:rPr>
        <w:t xml:space="preserve">Submission to the Reserve Bank of Australia</w:t>
      </w:r>
      <w:r w:rsidDel="00000000" w:rsidR="00000000" w:rsidRPr="00000000">
        <w:rPr>
          <w:rtl w:val="0"/>
        </w:rPr>
      </w:r>
    </w:p>
    <w:p w:rsidR="00000000" w:rsidDel="00000000" w:rsidP="00000000" w:rsidRDefault="00000000" w:rsidRPr="00000000" w14:paraId="00000003">
      <w:pPr>
        <w:spacing w:after="70" w:before="120" w:lineRule="auto"/>
        <w:rPr/>
      </w:pPr>
      <w:r w:rsidDel="00000000" w:rsidR="00000000" w:rsidRPr="00000000">
        <w:rPr>
          <w:b w:val="1"/>
          <w:bCs w:val="1"/>
          <w:color w:val="0f2a47"/>
          <w:sz w:val="42"/>
          <w:szCs w:val="42"/>
          <w:rtl w:val="0"/>
        </w:rPr>
        <w:t xml:space="preserve">Review of Payments System Regulation</w:t>
      </w: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color w:val="56616e"/>
          <w:sz w:val="25"/>
          <w:szCs w:val="25"/>
          <w:rtl w:val="0"/>
        </w:rPr>
        <w:t xml:space="preserve">Response to the Issues Paper of 25 June 2026</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7"/>
        <w:gridCol w:w="6499"/>
        <w:tblGridChange w:id="0">
          <w:tblGrid>
            <w:gridCol w:w="2527"/>
            <w:gridCol w:w="6499"/>
          </w:tblGrid>
        </w:tblGridChange>
      </w:tblGrid>
      <w:tr>
        <w:trPr>
          <w:cantSplit w:val="0"/>
          <w:tblHeader w:val="0"/>
        </w:trPr>
        <w:tc>
          <w:tcPr>
            <w:tcBorders>
              <w:top w:color="d5dce4" w:space="0" w:sz="4" w:val="single"/>
              <w:left w:color="d5dce4" w:space="0" w:sz="4" w:val="single"/>
              <w:bottom w:color="d5dce4" w:space="0" w:sz="4" w:val="single"/>
              <w:right w:color="d5dce4" w:space="0" w:sz="4" w:val="single"/>
            </w:tcBorders>
            <w:shd w:fill="f2f5f8" w:val="clear"/>
            <w:tcMar>
              <w:top w:w="90.0" w:type="dxa"/>
              <w:left w:w="140.0" w:type="dxa"/>
              <w:bottom w:w="90.0" w:type="dxa"/>
              <w:right w:w="140.0" w:type="dxa"/>
            </w:tcMar>
          </w:tcPr>
          <w:p w:rsidR="00000000" w:rsidDel="00000000" w:rsidP="00000000" w:rsidRDefault="00000000" w:rsidRPr="00000000" w14:paraId="00000005">
            <w:pPr>
              <w:spacing w:after="0" w:lineRule="auto"/>
              <w:rPr/>
            </w:pPr>
            <w:r w:rsidDel="00000000" w:rsidR="00000000" w:rsidRPr="00000000">
              <w:rPr>
                <w:b w:val="1"/>
                <w:bCs w:val="1"/>
                <w:color w:val="0f2a47"/>
                <w:sz w:val="19"/>
                <w:szCs w:val="19"/>
                <w:rtl w:val="0"/>
              </w:rPr>
              <w:t xml:space="preserve">To</w:t>
            </w:r>
            <w:r w:rsidDel="00000000" w:rsidR="00000000" w:rsidRPr="00000000">
              <w:rPr>
                <w:rtl w:val="0"/>
              </w:rPr>
            </w:r>
          </w:p>
        </w:tc>
        <w:tc>
          <w:tcPr>
            <w:tcBorders>
              <w:top w:color="d5dce4" w:space="0" w:sz="4" w:val="single"/>
              <w:left w:color="d5dce4" w:space="0" w:sz="4" w:val="single"/>
              <w:bottom w:color="d5dce4" w:space="0" w:sz="4" w:val="single"/>
              <w:right w:color="d5dce4" w:space="0" w:sz="4" w:val="single"/>
            </w:tcBorders>
            <w:tcMar>
              <w:top w:w="90.0" w:type="dxa"/>
              <w:left w:w="140.0" w:type="dxa"/>
              <w:bottom w:w="90.0" w:type="dxa"/>
              <w:right w:w="140.0" w:type="dxa"/>
            </w:tcMar>
          </w:tcPr>
          <w:p w:rsidR="00000000" w:rsidDel="00000000" w:rsidP="00000000" w:rsidRDefault="00000000" w:rsidRPr="00000000" w14:paraId="00000006">
            <w:pPr>
              <w:spacing w:after="0" w:lineRule="auto"/>
              <w:rPr/>
            </w:pPr>
            <w:r w:rsidDel="00000000" w:rsidR="00000000" w:rsidRPr="00000000">
              <w:rPr>
                <w:color w:val="1f2933"/>
                <w:sz w:val="19"/>
                <w:szCs w:val="19"/>
                <w:rtl w:val="0"/>
              </w:rPr>
              <w:t xml:space="preserve">Payments Policy Department, Reserve Bank of Australia</w:t>
            </w:r>
            <w:r w:rsidDel="00000000" w:rsidR="00000000" w:rsidRPr="00000000">
              <w:rPr>
                <w:rtl w:val="0"/>
              </w:rPr>
            </w:r>
          </w:p>
        </w:tc>
      </w:tr>
      <w:tr>
        <w:trPr>
          <w:cantSplit w:val="0"/>
          <w:tblHeader w:val="0"/>
        </w:trPr>
        <w:tc>
          <w:tcPr>
            <w:tcBorders>
              <w:top w:color="d5dce4" w:space="0" w:sz="4" w:val="single"/>
              <w:left w:color="d5dce4" w:space="0" w:sz="4" w:val="single"/>
              <w:bottom w:color="d5dce4" w:space="0" w:sz="4" w:val="single"/>
              <w:right w:color="d5dce4" w:space="0" w:sz="4" w:val="single"/>
            </w:tcBorders>
            <w:shd w:fill="f2f5f8" w:val="clear"/>
            <w:tcMar>
              <w:top w:w="90.0" w:type="dxa"/>
              <w:left w:w="140.0" w:type="dxa"/>
              <w:bottom w:w="90.0" w:type="dxa"/>
              <w:right w:w="140.0" w:type="dxa"/>
            </w:tcMar>
          </w:tcPr>
          <w:p w:rsidR="00000000" w:rsidDel="00000000" w:rsidP="00000000" w:rsidRDefault="00000000" w:rsidRPr="00000000" w14:paraId="00000007">
            <w:pPr>
              <w:spacing w:after="0" w:lineRule="auto"/>
              <w:rPr/>
            </w:pPr>
            <w:r w:rsidDel="00000000" w:rsidR="00000000" w:rsidRPr="00000000">
              <w:rPr>
                <w:b w:val="1"/>
                <w:bCs w:val="1"/>
                <w:color w:val="0f2a47"/>
                <w:sz w:val="19"/>
                <w:szCs w:val="19"/>
                <w:rtl w:val="0"/>
              </w:rPr>
              <w:t xml:space="preserve">Date</w:t>
            </w:r>
            <w:r w:rsidDel="00000000" w:rsidR="00000000" w:rsidRPr="00000000">
              <w:rPr>
                <w:rtl w:val="0"/>
              </w:rPr>
            </w:r>
          </w:p>
        </w:tc>
        <w:tc>
          <w:tcPr>
            <w:tcBorders>
              <w:top w:color="d5dce4" w:space="0" w:sz="4" w:val="single"/>
              <w:left w:color="d5dce4" w:space="0" w:sz="4" w:val="single"/>
              <w:bottom w:color="d5dce4" w:space="0" w:sz="4" w:val="single"/>
              <w:right w:color="d5dce4" w:space="0" w:sz="4" w:val="single"/>
            </w:tcBorders>
            <w:tcMar>
              <w:top w:w="90.0" w:type="dxa"/>
              <w:left w:w="140.0" w:type="dxa"/>
              <w:bottom w:w="90.0" w:type="dxa"/>
              <w:right w:w="140.0" w:type="dxa"/>
            </w:tcMar>
          </w:tcPr>
          <w:p w:rsidR="00000000" w:rsidDel="00000000" w:rsidP="00000000" w:rsidRDefault="00000000" w:rsidRPr="00000000" w14:paraId="00000008">
            <w:pPr>
              <w:spacing w:after="0" w:lineRule="auto"/>
              <w:rPr/>
            </w:pPr>
            <w:r w:rsidDel="00000000" w:rsidR="00000000" w:rsidRPr="00000000">
              <w:rPr>
                <w:sz w:val="19"/>
                <w:szCs w:val="19"/>
                <w:rtl w:val="0"/>
              </w:rPr>
              <w:t xml:space="preserve">19</w:t>
            </w:r>
            <w:r w:rsidDel="00000000" w:rsidR="00000000" w:rsidRPr="00000000">
              <w:rPr>
                <w:color w:val="1f2933"/>
                <w:sz w:val="19"/>
                <w:szCs w:val="19"/>
                <w:rtl w:val="0"/>
              </w:rPr>
              <w:t xml:space="preserve"> August 2026</w:t>
            </w:r>
            <w:r w:rsidDel="00000000" w:rsidR="00000000" w:rsidRPr="00000000">
              <w:rPr>
                <w:rtl w:val="0"/>
              </w:rPr>
            </w:r>
          </w:p>
        </w:tc>
      </w:tr>
      <w:tr>
        <w:trPr>
          <w:cantSplit w:val="0"/>
          <w:tblHeader w:val="0"/>
        </w:trPr>
        <w:tc>
          <w:tcPr>
            <w:tcBorders>
              <w:top w:color="d5dce4" w:space="0" w:sz="4" w:val="single"/>
              <w:left w:color="d5dce4" w:space="0" w:sz="4" w:val="single"/>
              <w:bottom w:color="d5dce4" w:space="0" w:sz="4" w:val="single"/>
              <w:right w:color="d5dce4" w:space="0" w:sz="4" w:val="single"/>
            </w:tcBorders>
            <w:shd w:fill="f2f5f8" w:val="clear"/>
            <w:tcMar>
              <w:top w:w="90.0" w:type="dxa"/>
              <w:left w:w="140.0" w:type="dxa"/>
              <w:bottom w:w="90.0" w:type="dxa"/>
              <w:right w:w="140.0" w:type="dxa"/>
            </w:tcMar>
          </w:tcPr>
          <w:p w:rsidR="00000000" w:rsidDel="00000000" w:rsidP="00000000" w:rsidRDefault="00000000" w:rsidRPr="00000000" w14:paraId="00000009">
            <w:pPr>
              <w:spacing w:after="0" w:lineRule="auto"/>
              <w:rPr/>
            </w:pPr>
            <w:r w:rsidDel="00000000" w:rsidR="00000000" w:rsidRPr="00000000">
              <w:rPr>
                <w:b w:val="1"/>
                <w:bCs w:val="1"/>
                <w:color w:val="0f2a47"/>
                <w:sz w:val="19"/>
                <w:szCs w:val="19"/>
                <w:rtl w:val="0"/>
              </w:rPr>
              <w:t xml:space="preserve">Submitted by</w:t>
            </w:r>
            <w:r w:rsidDel="00000000" w:rsidR="00000000" w:rsidRPr="00000000">
              <w:rPr>
                <w:rtl w:val="0"/>
              </w:rPr>
            </w:r>
          </w:p>
        </w:tc>
        <w:tc>
          <w:tcPr>
            <w:tcBorders>
              <w:top w:color="d5dce4" w:space="0" w:sz="4" w:val="single"/>
              <w:left w:color="d5dce4" w:space="0" w:sz="4" w:val="single"/>
              <w:bottom w:color="d5dce4" w:space="0" w:sz="4" w:val="single"/>
              <w:right w:color="d5dce4" w:space="0" w:sz="4" w:val="single"/>
            </w:tcBorders>
            <w:tcMar>
              <w:top w:w="90.0" w:type="dxa"/>
              <w:left w:w="140.0" w:type="dxa"/>
              <w:bottom w:w="90.0" w:type="dxa"/>
              <w:right w:w="140.0" w:type="dxa"/>
            </w:tcMar>
          </w:tcPr>
          <w:p w:rsidR="00000000" w:rsidDel="00000000" w:rsidP="00000000" w:rsidRDefault="00000000" w:rsidRPr="00000000" w14:paraId="0000000A">
            <w:pPr>
              <w:spacing w:after="0" w:lineRule="auto"/>
              <w:rPr/>
            </w:pPr>
            <w:r w:rsidDel="00000000" w:rsidR="00000000" w:rsidRPr="00000000">
              <w:rPr>
                <w:color w:val="1f2933"/>
                <w:sz w:val="19"/>
                <w:szCs w:val="19"/>
                <w:rtl w:val="0"/>
              </w:rPr>
              <w:t xml:space="preserve">Digital Economy Council of Australia (DECA)</w:t>
            </w:r>
            <w:r w:rsidDel="00000000" w:rsidR="00000000" w:rsidRPr="00000000">
              <w:rPr>
                <w:rtl w:val="0"/>
              </w:rPr>
            </w:r>
          </w:p>
        </w:tc>
      </w:tr>
      <w:tr>
        <w:trPr>
          <w:cantSplit w:val="0"/>
          <w:tblHeader w:val="0"/>
        </w:trPr>
        <w:tc>
          <w:tcPr>
            <w:tcBorders>
              <w:top w:color="d5dce4" w:space="0" w:sz="4" w:val="single"/>
              <w:left w:color="d5dce4" w:space="0" w:sz="4" w:val="single"/>
              <w:bottom w:color="d5dce4" w:space="0" w:sz="4" w:val="single"/>
              <w:right w:color="d5dce4" w:space="0" w:sz="4" w:val="single"/>
            </w:tcBorders>
            <w:shd w:fill="f2f5f8" w:val="clear"/>
            <w:tcMar>
              <w:top w:w="90.0" w:type="dxa"/>
              <w:left w:w="140.0" w:type="dxa"/>
              <w:bottom w:w="90.0" w:type="dxa"/>
              <w:right w:w="140.0" w:type="dxa"/>
            </w:tcMar>
          </w:tcPr>
          <w:p w:rsidR="00000000" w:rsidDel="00000000" w:rsidP="00000000" w:rsidRDefault="00000000" w:rsidRPr="00000000" w14:paraId="0000000B">
            <w:pPr>
              <w:spacing w:after="0" w:lineRule="auto"/>
              <w:rPr/>
            </w:pPr>
            <w:r w:rsidDel="00000000" w:rsidR="00000000" w:rsidRPr="00000000">
              <w:rPr>
                <w:b w:val="1"/>
                <w:bCs w:val="1"/>
                <w:color w:val="0f2a47"/>
                <w:sz w:val="19"/>
                <w:szCs w:val="19"/>
                <w:rtl w:val="0"/>
              </w:rPr>
              <w:t xml:space="preserve">Contact</w:t>
            </w:r>
            <w:r w:rsidDel="00000000" w:rsidR="00000000" w:rsidRPr="00000000">
              <w:rPr>
                <w:rtl w:val="0"/>
              </w:rPr>
            </w:r>
          </w:p>
        </w:tc>
        <w:tc>
          <w:tcPr>
            <w:tcBorders>
              <w:top w:color="d5dce4" w:space="0" w:sz="4" w:val="single"/>
              <w:left w:color="d5dce4" w:space="0" w:sz="4" w:val="single"/>
              <w:bottom w:color="d5dce4" w:space="0" w:sz="4" w:val="single"/>
              <w:right w:color="d5dce4" w:space="0" w:sz="4" w:val="single"/>
            </w:tcBorders>
            <w:tcMar>
              <w:top w:w="90.0" w:type="dxa"/>
              <w:left w:w="140.0" w:type="dxa"/>
              <w:bottom w:w="90.0" w:type="dxa"/>
              <w:right w:w="140.0" w:type="dxa"/>
            </w:tcMar>
          </w:tcPr>
          <w:p w:rsidR="00000000" w:rsidDel="00000000" w:rsidP="00000000" w:rsidRDefault="00000000" w:rsidRPr="00000000" w14:paraId="0000000C">
            <w:pPr>
              <w:spacing w:after="0" w:lineRule="auto"/>
              <w:rPr>
                <w:sz w:val="19"/>
                <w:szCs w:val="19"/>
              </w:rPr>
            </w:pPr>
            <w:r w:rsidDel="00000000" w:rsidR="00000000" w:rsidRPr="00000000">
              <w:rPr>
                <w:sz w:val="19"/>
                <w:szCs w:val="19"/>
                <w:rtl w:val="0"/>
              </w:rPr>
              <w:t xml:space="preserve">Amy-Rose Goodey, CEO</w:t>
            </w:r>
          </w:p>
          <w:p w:rsidR="00000000" w:rsidDel="00000000" w:rsidP="00000000" w:rsidRDefault="00000000" w:rsidRPr="00000000" w14:paraId="0000000D">
            <w:pPr>
              <w:spacing w:after="0" w:lineRule="auto"/>
              <w:rPr/>
            </w:pPr>
            <w:r w:rsidDel="00000000" w:rsidR="00000000" w:rsidRPr="00000000">
              <w:rPr>
                <w:color w:val="1f2933"/>
                <w:sz w:val="19"/>
                <w:szCs w:val="19"/>
                <w:rtl w:val="0"/>
              </w:rPr>
              <w:t xml:space="preserve">Alec O'Sullivan, Head of Operations, alec@deca.org.au</w:t>
            </w:r>
            <w:r w:rsidDel="00000000" w:rsidR="00000000" w:rsidRPr="00000000">
              <w:rPr>
                <w:rtl w:val="0"/>
              </w:rPr>
            </w:r>
          </w:p>
        </w:tc>
      </w:tr>
      <w:tr>
        <w:trPr>
          <w:cantSplit w:val="0"/>
          <w:tblHeader w:val="0"/>
        </w:trPr>
        <w:tc>
          <w:tcPr>
            <w:tcBorders>
              <w:top w:color="d5dce4" w:space="0" w:sz="4" w:val="single"/>
              <w:left w:color="d5dce4" w:space="0" w:sz="4" w:val="single"/>
              <w:bottom w:color="d5dce4" w:space="0" w:sz="4" w:val="single"/>
              <w:right w:color="d5dce4" w:space="0" w:sz="4" w:val="single"/>
            </w:tcBorders>
            <w:shd w:fill="f2f5f8" w:val="clear"/>
            <w:tcMar>
              <w:top w:w="90.0" w:type="dxa"/>
              <w:left w:w="140.0" w:type="dxa"/>
              <w:bottom w:w="90.0" w:type="dxa"/>
              <w:right w:w="140.0" w:type="dxa"/>
            </w:tcMar>
          </w:tcPr>
          <w:p w:rsidR="00000000" w:rsidDel="00000000" w:rsidP="00000000" w:rsidRDefault="00000000" w:rsidRPr="00000000" w14:paraId="0000000E">
            <w:pPr>
              <w:spacing w:after="0" w:lineRule="auto"/>
              <w:rPr/>
            </w:pPr>
            <w:r w:rsidDel="00000000" w:rsidR="00000000" w:rsidRPr="00000000">
              <w:rPr>
                <w:b w:val="1"/>
                <w:bCs w:val="1"/>
                <w:color w:val="0f2a47"/>
                <w:sz w:val="19"/>
                <w:szCs w:val="19"/>
                <w:rtl w:val="0"/>
              </w:rPr>
              <w:t xml:space="preserve">Prepared by</w:t>
            </w:r>
            <w:r w:rsidDel="00000000" w:rsidR="00000000" w:rsidRPr="00000000">
              <w:rPr>
                <w:rtl w:val="0"/>
              </w:rPr>
            </w:r>
          </w:p>
        </w:tc>
        <w:tc>
          <w:tcPr>
            <w:tcBorders>
              <w:top w:color="d5dce4" w:space="0" w:sz="4" w:val="single"/>
              <w:left w:color="d5dce4" w:space="0" w:sz="4" w:val="single"/>
              <w:bottom w:color="d5dce4" w:space="0" w:sz="4" w:val="single"/>
              <w:right w:color="d5dce4" w:space="0" w:sz="4" w:val="single"/>
            </w:tcBorders>
            <w:tcMar>
              <w:top w:w="90.0" w:type="dxa"/>
              <w:left w:w="140.0" w:type="dxa"/>
              <w:bottom w:w="90.0" w:type="dxa"/>
              <w:right w:w="140.0" w:type="dxa"/>
            </w:tcMar>
          </w:tcPr>
          <w:p w:rsidR="00000000" w:rsidDel="00000000" w:rsidP="00000000" w:rsidRDefault="00000000" w:rsidRPr="00000000" w14:paraId="0000000F">
            <w:pPr>
              <w:spacing w:after="0" w:lineRule="auto"/>
              <w:rPr/>
            </w:pPr>
            <w:r w:rsidDel="00000000" w:rsidR="00000000" w:rsidRPr="00000000">
              <w:rPr>
                <w:color w:val="1f2933"/>
                <w:sz w:val="19"/>
                <w:szCs w:val="19"/>
                <w:rtl w:val="0"/>
              </w:rPr>
              <w:t xml:space="preserve">DECA Banking and Payments Working Group, with input from the Digital Assets Working Group and the AI Working Group</w:t>
            </w:r>
            <w:r w:rsidDel="00000000" w:rsidR="00000000" w:rsidRPr="00000000">
              <w:rPr>
                <w:rtl w:val="0"/>
              </w:rPr>
            </w:r>
          </w:p>
        </w:tc>
      </w:tr>
      <w:tr>
        <w:trPr>
          <w:cantSplit w:val="0"/>
          <w:tblHeader w:val="0"/>
        </w:trPr>
        <w:tc>
          <w:tcPr>
            <w:tcBorders>
              <w:top w:color="d5dce4" w:space="0" w:sz="4" w:val="single"/>
              <w:left w:color="d5dce4" w:space="0" w:sz="4" w:val="single"/>
              <w:bottom w:color="d5dce4" w:space="0" w:sz="4" w:val="single"/>
              <w:right w:color="d5dce4" w:space="0" w:sz="4" w:val="single"/>
            </w:tcBorders>
            <w:shd w:fill="f2f5f8" w:val="clear"/>
            <w:tcMar>
              <w:top w:w="90.0" w:type="dxa"/>
              <w:left w:w="140.0" w:type="dxa"/>
              <w:bottom w:w="90.0" w:type="dxa"/>
              <w:right w:w="140.0" w:type="dxa"/>
            </w:tcMar>
          </w:tcPr>
          <w:p w:rsidR="00000000" w:rsidDel="00000000" w:rsidP="00000000" w:rsidRDefault="00000000" w:rsidRPr="00000000" w14:paraId="00000010">
            <w:pPr>
              <w:spacing w:after="0" w:lineRule="auto"/>
              <w:rPr/>
            </w:pPr>
            <w:r w:rsidDel="00000000" w:rsidR="00000000" w:rsidRPr="00000000">
              <w:rPr>
                <w:b w:val="1"/>
                <w:bCs w:val="1"/>
                <w:color w:val="0f2a47"/>
                <w:sz w:val="19"/>
                <w:szCs w:val="19"/>
                <w:rtl w:val="0"/>
              </w:rPr>
              <w:t xml:space="preserve">Publication</w:t>
            </w:r>
            <w:r w:rsidDel="00000000" w:rsidR="00000000" w:rsidRPr="00000000">
              <w:rPr>
                <w:rtl w:val="0"/>
              </w:rPr>
            </w:r>
          </w:p>
        </w:tc>
        <w:tc>
          <w:tcPr>
            <w:tcBorders>
              <w:top w:color="d5dce4" w:space="0" w:sz="4" w:val="single"/>
              <w:left w:color="d5dce4" w:space="0" w:sz="4" w:val="single"/>
              <w:bottom w:color="d5dce4" w:space="0" w:sz="4" w:val="single"/>
              <w:right w:color="d5dce4" w:space="0" w:sz="4" w:val="single"/>
            </w:tcBorders>
            <w:tcMar>
              <w:top w:w="90.0" w:type="dxa"/>
              <w:left w:w="140.0" w:type="dxa"/>
              <w:bottom w:w="90.0" w:type="dxa"/>
              <w:right w:w="140.0" w:type="dxa"/>
            </w:tcMar>
          </w:tcPr>
          <w:p w:rsidR="00000000" w:rsidDel="00000000" w:rsidP="00000000" w:rsidRDefault="00000000" w:rsidRPr="00000000" w14:paraId="00000011">
            <w:pPr>
              <w:spacing w:after="0" w:lineRule="auto"/>
              <w:rPr/>
            </w:pPr>
            <w:r w:rsidDel="00000000" w:rsidR="00000000" w:rsidRPr="00000000">
              <w:rPr>
                <w:color w:val="1f2933"/>
                <w:sz w:val="19"/>
                <w:szCs w:val="19"/>
                <w:rtl w:val="0"/>
              </w:rPr>
              <w:t xml:space="preserve">Provided on a non-confidential basis and may be published</w:t>
            </w:r>
            <w:r w:rsidDel="00000000" w:rsidR="00000000" w:rsidRPr="00000000">
              <w:rPr>
                <w:rtl w:val="0"/>
              </w:rPr>
            </w:r>
          </w:p>
        </w:tc>
      </w:tr>
    </w:tbl>
    <w:p w:rsidR="00000000" w:rsidDel="00000000" w:rsidP="00000000" w:rsidRDefault="00000000" w:rsidRPr="00000000" w14:paraId="00000012">
      <w:pPr>
        <w:spacing w:after="240" w:lineRule="auto"/>
        <w:rPr/>
      </w:pPr>
      <w:r w:rsidDel="00000000" w:rsidR="00000000" w:rsidRPr="00000000">
        <w:rPr>
          <w:rtl w:val="0"/>
        </w:rPr>
      </w:r>
    </w:p>
    <w:p w:rsidR="00000000" w:rsidDel="00000000" w:rsidP="00000000" w:rsidRDefault="00000000" w:rsidRPr="00000000" w14:paraId="00000013">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About DECA</w:t>
      </w:r>
      <w:r w:rsidDel="00000000" w:rsidR="00000000" w:rsidRPr="00000000">
        <w:rPr>
          <w:rtl w:val="0"/>
        </w:rPr>
      </w:r>
    </w:p>
    <w:p w:rsidR="00000000" w:rsidDel="00000000" w:rsidP="00000000" w:rsidRDefault="00000000" w:rsidRPr="00000000" w14:paraId="00000014">
      <w:pPr>
        <w:spacing w:after="140" w:line="276" w:lineRule="auto"/>
        <w:rPr/>
      </w:pPr>
      <w:r w:rsidDel="00000000" w:rsidR="00000000" w:rsidRPr="00000000">
        <w:rPr>
          <w:color w:val="1f2933"/>
          <w:sz w:val="21"/>
          <w:szCs w:val="21"/>
          <w:rtl w:val="0"/>
        </w:rPr>
        <w:t xml:space="preserve">The Digital Economy Council of Australia is the nation's peak industry body for the digital economy, representing businesses across blockchain, digital assets, artificial intelligence, payments and related technologies. Our members include digital asset exchanges and platforms, stablecoin and tokenised money issuers, custody providers, payment service providers, card network participants, banks, infrastructure and technology firms, and the legal and professional advisers who serve them.</w:t>
      </w:r>
      <w:r w:rsidDel="00000000" w:rsidR="00000000" w:rsidRPr="00000000">
        <w:rPr>
          <w:rtl w:val="0"/>
        </w:rPr>
      </w:r>
    </w:p>
    <w:p w:rsidR="00000000" w:rsidDel="00000000" w:rsidP="00000000" w:rsidRDefault="00000000" w:rsidRPr="00000000" w14:paraId="00000015">
      <w:pPr>
        <w:spacing w:after="140" w:line="276" w:lineRule="auto"/>
        <w:rPr/>
      </w:pPr>
      <w:r w:rsidDel="00000000" w:rsidR="00000000" w:rsidRPr="00000000">
        <w:rPr>
          <w:color w:val="1f2933"/>
          <w:sz w:val="21"/>
          <w:szCs w:val="21"/>
          <w:rtl w:val="0"/>
        </w:rPr>
        <w:t xml:space="preserve">This submission was prepared through DECA's Banking and Payments Working Group, which brings together payments providers, digital money issuers and card network participants under a formal mandate and competition law protocol, with contributions from our Digital Assets Working Group and AI Working Group. It reflects member input gathered through a structured consultation conducted across July 2026. Where members asked that specific commercial detail remain confidential, we have generalised the evidence rather than omit it. A number of our members are lodging their own submissions, and we encourage the Reserve Bank to read those alongside this one.</w:t>
      </w:r>
      <w:r w:rsidDel="00000000" w:rsidR="00000000" w:rsidRPr="00000000">
        <w:rPr>
          <w:rtl w:val="0"/>
        </w:rPr>
      </w:r>
    </w:p>
    <w:p w:rsidR="00000000" w:rsidDel="00000000" w:rsidP="00000000" w:rsidRDefault="00000000" w:rsidRPr="00000000" w14:paraId="00000016">
      <w:pPr>
        <w:spacing w:after="140" w:line="276" w:lineRule="auto"/>
        <w:rPr/>
      </w:pPr>
      <w:r w:rsidDel="00000000" w:rsidR="00000000" w:rsidRPr="00000000">
        <w:rPr>
          <w:color w:val="1f2933"/>
          <w:sz w:val="21"/>
          <w:szCs w:val="21"/>
          <w:rtl w:val="0"/>
        </w:rPr>
        <w:t xml:space="preserve">DECA welcomes the Review. The amendments to the Payment Systems (Regulation) Act 1998 have brought a materially wider set of participants within the Reserve Bank's perimeter, including many of our members. We approach this consultation constructively and with a single organising view: that the most significant unrealised gains in Australian payments lie in competition at the access and settlement layers, and that the Reserve Bank's prioritisation should reflect that.</w:t>
      </w:r>
      <w:r w:rsidDel="00000000" w:rsidR="00000000" w:rsidRPr="00000000">
        <w:rPr>
          <w:rtl w:val="0"/>
        </w:rPr>
      </w:r>
    </w:p>
    <w:p w:rsidR="00000000" w:rsidDel="00000000" w:rsidP="00000000" w:rsidRDefault="00000000" w:rsidRPr="00000000" w14:paraId="00000017">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Executive summary</w:t>
      </w:r>
      <w:r w:rsidDel="00000000" w:rsidR="00000000" w:rsidRPr="00000000">
        <w:rPr>
          <w:rtl w:val="0"/>
        </w:rPr>
      </w:r>
    </w:p>
    <w:p w:rsidR="00000000" w:rsidDel="00000000" w:rsidP="00000000" w:rsidRDefault="00000000" w:rsidRPr="00000000" w14:paraId="00000018">
      <w:pPr>
        <w:spacing w:after="140" w:line="276" w:lineRule="auto"/>
        <w:rPr/>
      </w:pPr>
      <w:r w:rsidDel="00000000" w:rsidR="00000000" w:rsidRPr="00000000">
        <w:rPr>
          <w:color w:val="1f2933"/>
          <w:sz w:val="21"/>
          <w:szCs w:val="21"/>
          <w:rtl w:val="0"/>
        </w:rPr>
        <w:t xml:space="preserve">This is a prioritisation exercise, and DECA has answered it as one. We have not attempted to respond to all 19 questions. We have concentrated on those where our members hold evidence the Reserve Bank will not readily obtain elsewhere, and we have been explicit about what we do not think should be prioritised.</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19">
      <w:pPr>
        <w:spacing w:after="140" w:line="276" w:lineRule="auto"/>
        <w:rPr/>
      </w:pPr>
      <w:r w:rsidDel="00000000" w:rsidR="00000000" w:rsidRPr="00000000">
        <w:rPr>
          <w:color w:val="1f2933"/>
          <w:sz w:val="21"/>
          <w:szCs w:val="21"/>
          <w:rtl w:val="0"/>
        </w:rPr>
        <w:t xml:space="preserve">DECA's central proposition is that Australia has spent a decade improving the economics of card acceptance and comparatively little effort on who is permitted to reach the rails in the first place. Merchant choice, least-cost routing and surcharging are all downstream of a prior question: which institutions can hold settlement balances, participate directly in account-to-account systems, and obtain and retain banking relationships at all. For a substantial part of the digital economy the answer to that prior question remains no, or not on commercially viable terms. Competition remedies applied above that layer will continue to deliver less than they promise.</w:t>
      </w:r>
      <w:r w:rsidDel="00000000" w:rsidR="00000000" w:rsidRPr="00000000">
        <w:rPr>
          <w:rtl w:val="0"/>
        </w:rPr>
      </w:r>
    </w:p>
    <w:p w:rsidR="00000000" w:rsidDel="00000000" w:rsidP="00000000" w:rsidRDefault="00000000" w:rsidRPr="00000000" w14:paraId="0000001A">
      <w:pPr>
        <w:spacing w:after="140" w:line="276" w:lineRule="auto"/>
        <w:rPr/>
      </w:pPr>
      <w:r w:rsidDel="00000000" w:rsidR="00000000" w:rsidRPr="00000000">
        <w:rPr>
          <w:color w:val="1f2933"/>
          <w:sz w:val="21"/>
          <w:szCs w:val="21"/>
          <w:rtl w:val="0"/>
        </w:rPr>
        <w:t xml:space="preserve">Three themes run through this submission.</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Access is the binding constraint.</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Eligibility criteria for direct participation in account-to-account systems favour authorised deposit-taking institutions. Indirect access is slow, costly, and typically supplied by a competitor. For digital asset businesses this compounds with de-banking, which the Council of Financial Regulators identified as a sector-specific problem in 2022 and which the Government committed to address in 2023. Access and de-banking are one issue, not two, and both belong in the Reserve Bank's priority list.</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Coherence now matters as much as any single reform.</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The expanded PSRA perimeter overlaps Treasury's payments licensing tranches, APRA's prudential regime for stored value facilities, ASIC's digital asset platform licensing framework and AUSTRAC's reformed AML/CTF regime. All four are moving at once. Prioritisation without a published mapping of which regulator owns which issue will produce duplication rather than clarity.</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Set principles early on agentic payments, and rules late.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Agent-initiated commerce is being defined now by a small number of offshore technology firms and card networks. Australia does not need to regulate agents in 2026. It does need to state, in 2026, that the routing, disclosure and least-cost principles applying to human-initiated payments apply equally to agent-initiated ones, before the defaults harden.</w:t>
      </w:r>
    </w:p>
    <w:p w:rsidR="00000000" w:rsidDel="00000000" w:rsidP="00000000" w:rsidRDefault="00000000" w:rsidRPr="00000000" w14:paraId="0000001E">
      <w:pPr>
        <w:spacing w:after="140" w:lineRule="auto"/>
        <w:rPr/>
      </w:pP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b0873a" w:space="0" w:sz="18" w:val="single"/>
              <w:bottom w:color="000000" w:space="0" w:sz="0" w:val="nil"/>
              <w:right w:color="000000" w:space="0" w:sz="0" w:val="nil"/>
            </w:tcBorders>
            <w:shd w:fill="f2f5f8" w:val="clear"/>
            <w:tcMar>
              <w:top w:w="170.0" w:type="dxa"/>
              <w:left w:w="220.0" w:type="dxa"/>
              <w:bottom w:w="170.0" w:type="dxa"/>
              <w:right w:w="220.0" w:type="dxa"/>
            </w:tcMar>
            <w:vAlign w:val="top"/>
          </w:tcPr>
          <w:p w:rsidR="00000000" w:rsidDel="00000000" w:rsidP="00000000" w:rsidRDefault="00000000" w:rsidRPr="00000000" w14:paraId="0000001F">
            <w:pPr>
              <w:spacing w:after="0" w:line="276" w:lineRule="auto"/>
              <w:rPr/>
            </w:pPr>
            <w:r w:rsidDel="00000000" w:rsidR="00000000" w:rsidRPr="00000000">
              <w:rPr>
                <w:b w:val="1"/>
                <w:bCs w:val="1"/>
                <w:color w:val="1f2933"/>
                <w:sz w:val="20"/>
                <w:szCs w:val="20"/>
                <w:rtl w:val="0"/>
              </w:rPr>
              <w:t xml:space="preserve">In short.</w:t>
            </w:r>
            <w:r w:rsidDel="00000000" w:rsidR="00000000" w:rsidRPr="00000000">
              <w:rPr>
                <w:color w:val="1f2933"/>
                <w:sz w:val="20"/>
                <w:szCs w:val="20"/>
                <w:rtl w:val="0"/>
              </w:rPr>
              <w:t xml:space="preserve"> The Reserve Bank should prioritise access to payment systems and settlement, publish a regulatory coherence map alongside its end-2026 priority list, and establish principles for agent-initiated payments now rather than after the standards contest resolves offshore. DECA offers its members' cryptographic and settlement expertise to support the Review's technical work.</w:t>
            </w:r>
            <w:r w:rsidDel="00000000" w:rsidR="00000000" w:rsidRPr="00000000">
              <w:rPr>
                <w:rtl w:val="0"/>
              </w:rPr>
            </w:r>
          </w:p>
        </w:tc>
      </w:tr>
    </w:tbl>
    <w:p w:rsidR="00000000" w:rsidDel="00000000" w:rsidP="00000000" w:rsidRDefault="00000000" w:rsidRPr="00000000" w14:paraId="00000020">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1. DECA's prioritisation</w:t>
      </w:r>
      <w:r w:rsidDel="00000000" w:rsidR="00000000" w:rsidRPr="00000000">
        <w:rPr>
          <w:rtl w:val="0"/>
        </w:rPr>
      </w:r>
    </w:p>
    <w:p w:rsidR="00000000" w:rsidDel="00000000" w:rsidP="00000000" w:rsidRDefault="00000000" w:rsidRPr="00000000" w14:paraId="00000021">
      <w:pPr>
        <w:spacing w:after="140" w:line="276" w:lineRule="auto"/>
        <w:rPr/>
      </w:pPr>
      <w:r w:rsidDel="00000000" w:rsidR="00000000" w:rsidRPr="00000000">
        <w:rPr>
          <w:color w:val="1f2933"/>
          <w:sz w:val="21"/>
          <w:szCs w:val="21"/>
          <w:rtl w:val="0"/>
        </w:rPr>
        <w:t xml:space="preserve">The Reserve Bank has asked stakeholders to rank the issues that matter most. DECA's top three are set out below, in order. Sections 2 to 12 provide the supporting evidence, mapped to the Reserve Bank's numbered questions.</w:t>
      </w:r>
      <w:r w:rsidDel="00000000" w:rsidR="00000000" w:rsidRPr="00000000">
        <w:rPr>
          <w:rtl w:val="0"/>
        </w:rPr>
      </w:r>
    </w:p>
    <w:p w:rsidR="00000000" w:rsidDel="00000000" w:rsidP="00000000" w:rsidRDefault="00000000" w:rsidRPr="00000000" w14:paraId="00000022">
      <w:pPr>
        <w:pStyle w:val="Heading2"/>
        <w:keepNext w:val="1"/>
        <w:spacing w:after="100" w:before="240" w:lineRule="auto"/>
        <w:rPr/>
      </w:pPr>
      <w:r w:rsidDel="00000000" w:rsidR="00000000" w:rsidRPr="00000000">
        <w:rPr>
          <w:b w:val="1"/>
          <w:bCs w:val="1"/>
          <w:color w:val="0f2a47"/>
          <w:sz w:val="23"/>
          <w:szCs w:val="23"/>
          <w:rtl w:val="0"/>
        </w:rPr>
        <w:t xml:space="preserve">Priority 1: Access to payment systems and to settlement (Q11, Q12, Q19)</w:t>
      </w:r>
      <w:r w:rsidDel="00000000" w:rsidR="00000000" w:rsidRPr="00000000">
        <w:rPr>
          <w:rtl w:val="0"/>
        </w:rPr>
      </w:r>
    </w:p>
    <w:p w:rsidR="00000000" w:rsidDel="00000000" w:rsidP="00000000" w:rsidRDefault="00000000" w:rsidRPr="00000000" w14:paraId="00000023">
      <w:pPr>
        <w:spacing w:after="140" w:line="276" w:lineRule="auto"/>
        <w:rPr/>
      </w:pPr>
      <w:r w:rsidDel="00000000" w:rsidR="00000000" w:rsidRPr="00000000">
        <w:rPr>
          <w:color w:val="1f2933"/>
          <w:sz w:val="21"/>
          <w:szCs w:val="21"/>
          <w:rtl w:val="0"/>
        </w:rPr>
        <w:t xml:space="preserve">Direct participation in account-to-account systems remains effectively confined to authorised deposit-taking institutions, and no non-ADI pathway to central bank settlement exists. Every other competition remedy in the Issues Paper operates on top of that constraint. The Reserve Bank should prioritise a tiered direct-access framework for non-ADI payment service providers, bring forward its review of Exchange Settlement Account eligibility rather than waiting on full passage of the payments licensing reforms, and treat de-banking as an access issue within its own mandate rather than as a matter for others.</w:t>
      </w:r>
      <w:r w:rsidDel="00000000" w:rsidR="00000000" w:rsidRPr="00000000">
        <w:rPr>
          <w:rtl w:val="0"/>
        </w:rPr>
      </w:r>
    </w:p>
    <w:p w:rsidR="00000000" w:rsidDel="00000000" w:rsidP="00000000" w:rsidRDefault="00000000" w:rsidRPr="00000000" w14:paraId="00000024">
      <w:pPr>
        <w:pStyle w:val="Heading2"/>
        <w:keepNext w:val="1"/>
        <w:spacing w:after="100" w:before="240" w:lineRule="auto"/>
        <w:rPr/>
      </w:pPr>
      <w:r w:rsidDel="00000000" w:rsidR="00000000" w:rsidRPr="00000000">
        <w:rPr>
          <w:b w:val="1"/>
          <w:bCs w:val="1"/>
          <w:color w:val="0f2a47"/>
          <w:sz w:val="23"/>
          <w:szCs w:val="23"/>
          <w:rtl w:val="0"/>
        </w:rPr>
        <w:t xml:space="preserve">Priority 2: Regulatory coherence across the expanded perimeter (Q19)</w:t>
      </w:r>
      <w:r w:rsidDel="00000000" w:rsidR="00000000" w:rsidRPr="00000000">
        <w:rPr>
          <w:rtl w:val="0"/>
        </w:rPr>
      </w:r>
    </w:p>
    <w:p w:rsidR="00000000" w:rsidDel="00000000" w:rsidP="00000000" w:rsidRDefault="00000000" w:rsidRPr="00000000" w14:paraId="00000025">
      <w:pPr>
        <w:spacing w:after="140" w:line="276" w:lineRule="auto"/>
        <w:rPr/>
      </w:pPr>
      <w:r w:rsidDel="00000000" w:rsidR="00000000" w:rsidRPr="00000000">
        <w:rPr>
          <w:color w:val="1f2933"/>
          <w:sz w:val="21"/>
          <w:szCs w:val="21"/>
          <w:rtl w:val="0"/>
        </w:rPr>
        <w:t xml:space="preserve">Four regimes now reach the same businesses simultaneously. The most valuable single output the Reserve Bank could publish by the end of 2026, alongside its priority list, is a mapping of which issues it intends to address using PSRA powers and which it considers better addressed by Treasury, APRA, ASIC, AUSTRAC or industry self-regulation. That mapping costs little and prevents years of duplicated compliance investment.</w:t>
      </w:r>
      <w:r w:rsidDel="00000000" w:rsidR="00000000" w:rsidRPr="00000000">
        <w:rPr>
          <w:rtl w:val="0"/>
        </w:rPr>
      </w:r>
    </w:p>
    <w:p w:rsidR="00000000" w:rsidDel="00000000" w:rsidP="00000000" w:rsidRDefault="00000000" w:rsidRPr="00000000" w14:paraId="00000026">
      <w:pPr>
        <w:pStyle w:val="Heading2"/>
        <w:keepNext w:val="1"/>
        <w:spacing w:after="100" w:before="240" w:lineRule="auto"/>
        <w:rPr/>
      </w:pPr>
      <w:r w:rsidDel="00000000" w:rsidR="00000000" w:rsidRPr="00000000">
        <w:rPr>
          <w:b w:val="1"/>
          <w:bCs w:val="1"/>
          <w:color w:val="0f2a47"/>
          <w:sz w:val="23"/>
          <w:szCs w:val="23"/>
          <w:rtl w:val="0"/>
        </w:rPr>
        <w:t xml:space="preserve">Priority 3: Agent-initiated payments (Q6)</w:t>
      </w:r>
      <w:r w:rsidDel="00000000" w:rsidR="00000000" w:rsidRPr="00000000">
        <w:rPr>
          <w:rtl w:val="0"/>
        </w:rPr>
      </w:r>
    </w:p>
    <w:p w:rsidR="00000000" w:rsidDel="00000000" w:rsidP="00000000" w:rsidRDefault="00000000" w:rsidRPr="00000000" w14:paraId="00000027">
      <w:pPr>
        <w:spacing w:after="140" w:line="276" w:lineRule="auto"/>
        <w:rPr/>
      </w:pPr>
      <w:r w:rsidDel="00000000" w:rsidR="00000000" w:rsidRPr="00000000">
        <w:rPr>
          <w:color w:val="1f2933"/>
          <w:sz w:val="21"/>
          <w:szCs w:val="21"/>
          <w:rtl w:val="0"/>
        </w:rPr>
        <w:t xml:space="preserve">The Issues Paper correctly identifies that agentic protocols are being led by international technology companies and card networks, and that agents may route on incentives rather than cost. Those defaults are being set now. A principles statement in 2026, coupled with a data and standards mapping exercise, is proportionate and timely. A rule in 2026 would not be.</w:t>
      </w:r>
      <w:r w:rsidDel="00000000" w:rsidR="00000000" w:rsidRPr="00000000">
        <w:rPr>
          <w:rtl w:val="0"/>
        </w:rPr>
      </w:r>
    </w:p>
    <w:p w:rsidR="00000000" w:rsidDel="00000000" w:rsidP="00000000" w:rsidRDefault="00000000" w:rsidRPr="00000000" w14:paraId="00000028">
      <w:pPr>
        <w:spacing w:after="100" w:lineRule="auto"/>
        <w:rPr/>
      </w:pPr>
      <w:r w:rsidDel="00000000" w:rsidR="00000000" w:rsidRPr="00000000">
        <w:rPr>
          <w:rtl w:val="0"/>
        </w:rPr>
      </w:r>
    </w:p>
    <w:p w:rsidR="00000000" w:rsidDel="00000000" w:rsidP="00000000" w:rsidRDefault="00000000" w:rsidRPr="00000000" w14:paraId="00000029">
      <w:pPr>
        <w:spacing w:after="140" w:line="276" w:lineRule="auto"/>
        <w:rPr/>
      </w:pPr>
      <w:r w:rsidDel="00000000" w:rsidR="00000000" w:rsidRPr="00000000">
        <w:rPr>
          <w:color w:val="1f2933"/>
          <w:sz w:val="21"/>
          <w:szCs w:val="21"/>
          <w:rtl w:val="0"/>
        </w:rPr>
        <w:t xml:space="preserve">DECA also urges the Reserve Bank to prioritise cryptographic and quantum readiness (Q15 to Q17), where our members hold operational expertise disproportionate to their size, and token portability (Q5), which is a concrete and solvable barrier to merchant switching.</w:t>
      </w:r>
      <w:r w:rsidDel="00000000" w:rsidR="00000000" w:rsidRPr="00000000">
        <w:rPr>
          <w:rtl w:val="0"/>
        </w:rPr>
      </w:r>
    </w:p>
    <w:p w:rsidR="00000000" w:rsidDel="00000000" w:rsidP="00000000" w:rsidRDefault="00000000" w:rsidRPr="00000000" w14:paraId="0000002A">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2. Merchant choice: least-cost routing in mobile and online environments (Q1, Q2)</w:t>
      </w:r>
      <w:r w:rsidDel="00000000" w:rsidR="00000000" w:rsidRPr="00000000">
        <w:rPr>
          <w:rtl w:val="0"/>
        </w:rPr>
      </w:r>
    </w:p>
    <w:p w:rsidR="00000000" w:rsidDel="00000000" w:rsidP="00000000" w:rsidRDefault="00000000" w:rsidRPr="00000000" w14:paraId="0000002B">
      <w:pPr>
        <w:spacing w:after="140" w:line="276" w:lineRule="auto"/>
        <w:rPr/>
      </w:pPr>
      <w:r w:rsidDel="00000000" w:rsidR="00000000" w:rsidRPr="00000000">
        <w:rPr>
          <w:color w:val="1f2933"/>
          <w:sz w:val="21"/>
          <w:szCs w:val="21"/>
          <w:rtl w:val="0"/>
        </w:rPr>
        <w:t xml:space="preserve">DECA supports extending least-cost routing expectations to mobile wallet and online transactions, including Click-to-Pay. The evidence in the Issues Paper is persuasive on its own terms: routing is available in-person and enabled for the large majority of merchants, while only a minority of large providers have enabled it for most merchants online, and mobile wallet and Click-to-Pay transactions do not support it at all.</w:t>
      </w:r>
      <w:r w:rsidDel="00000000" w:rsidR="00000000" w:rsidRPr="00000000">
        <w:rPr>
          <w:rtl w:val="0"/>
        </w:rPr>
      </w:r>
    </w:p>
    <w:p w:rsidR="00000000" w:rsidDel="00000000" w:rsidP="00000000" w:rsidRDefault="00000000" w:rsidRPr="00000000" w14:paraId="0000002C">
      <w:pPr>
        <w:spacing w:after="140" w:line="276" w:lineRule="auto"/>
        <w:rPr/>
      </w:pPr>
      <w:r w:rsidDel="00000000" w:rsidR="00000000" w:rsidRPr="00000000">
        <w:rPr>
          <w:color w:val="1f2933"/>
          <w:sz w:val="21"/>
          <w:szCs w:val="21"/>
          <w:rtl w:val="0"/>
        </w:rPr>
        <w:t xml:space="preserve">Our members add one point we do not expect other submitters to make. The Reserve Bank observes that emerging use cases such as agentic commerce rely on online payment technology. That observation deserves more weight than it is given. Routing behaviour established in the online environment will be inherited by agent-initiated payments, and inherited at machine scale. A default that is merely suboptimal at human transaction volumes becomes structurally expensive once the transaction count rises by orders of magnitude and no human is present to notice. Fixing online routing in 2027 is a cost saving. Fixing it before agentic volumes arrive is a competition intervention.</w:t>
      </w:r>
      <w:r w:rsidDel="00000000" w:rsidR="00000000" w:rsidRPr="00000000">
        <w:rPr>
          <w:rtl w:val="0"/>
        </w:rPr>
      </w:r>
    </w:p>
    <w:p w:rsidR="00000000" w:rsidDel="00000000" w:rsidP="00000000" w:rsidRDefault="00000000" w:rsidRPr="00000000" w14:paraId="0000002D">
      <w:pPr>
        <w:spacing w:after="140" w:line="276" w:lineRule="auto"/>
        <w:rPr/>
      </w:pPr>
      <w:r w:rsidDel="00000000" w:rsidR="00000000" w:rsidRPr="00000000">
        <w:rPr>
          <w:color w:val="1f2933"/>
          <w:sz w:val="21"/>
          <w:szCs w:val="21"/>
          <w:rtl w:val="0"/>
        </w:rPr>
        <w:t xml:space="preserve">DECA therefore recommends that any extension of least-cost routing expectations be drafted in channel-neutral and credential-neutral terms, so that it applies to any presentation of a dual-network credential regardless of whether the transaction is initiated in person, online, through a wallet, or by a software agent acting under a delegated mandate. Drafting the expectation around today's channels guarantees a further round of catch-up in three years.</w:t>
      </w:r>
      <w:r w:rsidDel="00000000" w:rsidR="00000000" w:rsidRPr="00000000">
        <w:rPr>
          <w:rtl w:val="0"/>
        </w:rPr>
      </w:r>
    </w:p>
    <w:p w:rsidR="00000000" w:rsidDel="00000000" w:rsidP="00000000" w:rsidRDefault="00000000" w:rsidRPr="00000000" w14:paraId="0000002E">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3. Integrated platforms and bundling of payment services (Q3, Q4)</w:t>
      </w:r>
      <w:r w:rsidDel="00000000" w:rsidR="00000000" w:rsidRPr="00000000">
        <w:rPr>
          <w:rtl w:val="0"/>
        </w:rPr>
      </w:r>
    </w:p>
    <w:p w:rsidR="00000000" w:rsidDel="00000000" w:rsidP="00000000" w:rsidRDefault="00000000" w:rsidRPr="00000000" w14:paraId="0000002F">
      <w:pPr>
        <w:spacing w:after="140" w:line="276" w:lineRule="auto"/>
        <w:rPr/>
      </w:pPr>
      <w:r w:rsidDel="00000000" w:rsidR="00000000" w:rsidRPr="00000000">
        <w:rPr>
          <w:color w:val="1f2933"/>
          <w:sz w:val="21"/>
          <w:szCs w:val="21"/>
          <w:rtl w:val="0"/>
        </w:rPr>
        <w:t xml:space="preserve">DECA members sit on both sides of this question, as platform operators and as third-party payment service providers seeking access to platform merchants. Our position is accordingly process-oriented rather than structural.</w:t>
      </w:r>
      <w:r w:rsidDel="00000000" w:rsidR="00000000" w:rsidRPr="00000000">
        <w:rPr>
          <w:rtl w:val="0"/>
        </w:rPr>
      </w:r>
    </w:p>
    <w:p w:rsidR="00000000" w:rsidDel="00000000" w:rsidP="00000000" w:rsidRDefault="00000000" w:rsidRPr="00000000" w14:paraId="00000030">
      <w:pPr>
        <w:spacing w:after="140" w:line="276" w:lineRule="auto"/>
        <w:rPr/>
      </w:pPr>
      <w:r w:rsidDel="00000000" w:rsidR="00000000" w:rsidRPr="00000000">
        <w:rPr>
          <w:color w:val="1f2933"/>
          <w:sz w:val="21"/>
          <w:szCs w:val="21"/>
          <w:rtl w:val="0"/>
        </w:rPr>
        <w:t xml:space="preserve">Bundling payments with commerce infrastructure is not objectionable in itself and often lowers costs for small merchants. The competition problem arises from three specific practices: pre-contractual opacity about the cost and difficulty of switching; fees imposed for using a third-party provider that are not referable to any cost incurred by the platform; and technical and data barriers that make switching expensive after the fact. Each is addressable through transparency and portability obligations without structural intervention.</w:t>
      </w:r>
      <w:r w:rsidDel="00000000" w:rsidR="00000000" w:rsidRPr="00000000">
        <w:rPr>
          <w:rtl w:val="0"/>
        </w:rPr>
      </w:r>
    </w:p>
    <w:p w:rsidR="00000000" w:rsidDel="00000000" w:rsidP="00000000" w:rsidRDefault="00000000" w:rsidRPr="00000000" w14:paraId="00000031">
      <w:pPr>
        <w:spacing w:after="140" w:line="276" w:lineRule="auto"/>
        <w:rPr/>
      </w:pPr>
      <w:r w:rsidDel="00000000" w:rsidR="00000000" w:rsidRPr="00000000">
        <w:rPr>
          <w:color w:val="1f2933"/>
          <w:sz w:val="21"/>
          <w:szCs w:val="21"/>
          <w:rtl w:val="0"/>
        </w:rPr>
        <w:t xml:space="preserve">DECA recommends the Reserve Bank prioritise a disclosure remedy first: clear pre-contractual disclosure of switching costs, contract terms and any differential pricing for third-party providers, coupled with the data and credential portability measures discussed at section 4. The European approach under the Digital Markets Act, which prohibits a gatekeeper from requiring users of a core platform service to use the gatekeeper's own payment service, illustrates the direction of travel, though it applies to a far narrower set of designated firms than an Australian measure would need to reach.</w:t>
      </w:r>
      <w:r w:rsidDel="00000000" w:rsidR="00000000" w:rsidRPr="00000000">
        <w:rPr>
          <w:vertAlign w:val="superscript"/>
        </w:rPr>
        <w:footnoteReference w:customMarkFollows="0" w:id="1"/>
      </w:r>
      <w:r w:rsidDel="00000000" w:rsidR="00000000" w:rsidRPr="00000000">
        <w:rPr>
          <w:color w:val="1f2933"/>
          <w:sz w:val="21"/>
          <w:szCs w:val="21"/>
          <w:rtl w:val="0"/>
        </w:rPr>
        <w:t xml:space="preserve"> A proportionate Australian response starts with information and reserves structural remedies for evidence that disclosure has failed.</w:t>
      </w:r>
      <w:r w:rsidDel="00000000" w:rsidR="00000000" w:rsidRPr="00000000">
        <w:rPr>
          <w:rtl w:val="0"/>
        </w:rPr>
      </w:r>
    </w:p>
    <w:p w:rsidR="00000000" w:rsidDel="00000000" w:rsidP="00000000" w:rsidRDefault="00000000" w:rsidRPr="00000000" w14:paraId="00000032">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4. Tokenisation and token portability (Q5)</w:t>
      </w:r>
      <w:r w:rsidDel="00000000" w:rsidR="00000000" w:rsidRPr="00000000">
        <w:rPr>
          <w:rtl w:val="0"/>
        </w:rPr>
      </w:r>
    </w:p>
    <w:p w:rsidR="00000000" w:rsidDel="00000000" w:rsidP="00000000" w:rsidRDefault="00000000" w:rsidRPr="00000000" w14:paraId="00000033">
      <w:pPr>
        <w:spacing w:after="140" w:line="276" w:lineRule="auto"/>
        <w:rPr/>
      </w:pPr>
      <w:r w:rsidDel="00000000" w:rsidR="00000000" w:rsidRPr="00000000">
        <w:rPr>
          <w:color w:val="1f2933"/>
          <w:sz w:val="21"/>
          <w:szCs w:val="21"/>
          <w:rtl w:val="0"/>
        </w:rPr>
        <w:t xml:space="preserve">The Reserve Bank's 2024 tokenisation expectations have improved security practice without solving the portability problem, because tokens are typically specific to a merchant, provider or gateway and network migration practices differ. The AusPayNet porting Standard addresses merchant payment data but not the tokens themselves.</w:t>
      </w:r>
      <w:r w:rsidDel="00000000" w:rsidR="00000000" w:rsidRPr="00000000">
        <w:rPr>
          <w:vertAlign w:val="superscript"/>
        </w:rPr>
        <w:footnoteReference w:customMarkFollows="0" w:id="2"/>
      </w:r>
      <w:r w:rsidDel="00000000" w:rsidR="00000000" w:rsidRPr="00000000">
        <w:rPr>
          <w:color w:val="1f2933"/>
          <w:sz w:val="21"/>
          <w:szCs w:val="21"/>
          <w:rtl w:val="0"/>
        </w:rPr>
        <w:t xml:space="preserve"> The practical consequence is that a merchant can be told its data is portable while the credential that actually authorises the payment is not.</w:t>
      </w:r>
      <w:r w:rsidDel="00000000" w:rsidR="00000000" w:rsidRPr="00000000">
        <w:rPr>
          <w:rtl w:val="0"/>
        </w:rPr>
      </w:r>
    </w:p>
    <w:p w:rsidR="00000000" w:rsidDel="00000000" w:rsidP="00000000" w:rsidRDefault="00000000" w:rsidRPr="00000000" w14:paraId="00000034">
      <w:pPr>
        <w:spacing w:after="140" w:line="276" w:lineRule="auto"/>
        <w:rPr/>
      </w:pPr>
      <w:r w:rsidDel="00000000" w:rsidR="00000000" w:rsidRPr="00000000">
        <w:rPr>
          <w:color w:val="1f2933"/>
          <w:sz w:val="21"/>
          <w:szCs w:val="21"/>
          <w:rtl w:val="0"/>
        </w:rPr>
        <w:t xml:space="preserve">DECA supports making network token portability an express expectation and extending the porting Standard to cover tokens. We also support continued pressure on primary account number retention. Retained account numbers are the largest remaining reason the security benefit of tokenisation is unrealised, and they are the clearest example of harvest-now-decrypt-later exposure in the Australian payments system, which connects this question directly to section 9.</w:t>
      </w:r>
      <w:r w:rsidDel="00000000" w:rsidR="00000000" w:rsidRPr="00000000">
        <w:rPr>
          <w:rtl w:val="0"/>
        </w:rPr>
      </w:r>
    </w:p>
    <w:p w:rsidR="00000000" w:rsidDel="00000000" w:rsidP="00000000" w:rsidRDefault="00000000" w:rsidRPr="00000000" w14:paraId="00000035">
      <w:pPr>
        <w:pStyle w:val="Heading3"/>
        <w:keepNext w:val="1"/>
        <w:spacing w:after="80" w:before="180" w:lineRule="auto"/>
        <w:rPr/>
      </w:pPr>
      <w:r w:rsidDel="00000000" w:rsidR="00000000" w:rsidRPr="00000000">
        <w:rPr>
          <w:b w:val="1"/>
          <w:bCs w:val="1"/>
          <w:i w:val="1"/>
          <w:iCs w:val="1"/>
          <w:color w:val="56616e"/>
          <w:sz w:val="21"/>
          <w:szCs w:val="21"/>
          <w:rtl w:val="0"/>
        </w:rPr>
        <w:t xml:space="preserve">A definitional caution</w:t>
      </w:r>
      <w:r w:rsidDel="00000000" w:rsidR="00000000" w:rsidRPr="00000000">
        <w:rPr>
          <w:rtl w:val="0"/>
        </w:rPr>
      </w:r>
    </w:p>
    <w:p w:rsidR="00000000" w:rsidDel="00000000" w:rsidP="00000000" w:rsidRDefault="00000000" w:rsidRPr="00000000" w14:paraId="00000036">
      <w:pPr>
        <w:spacing w:after="140" w:line="276" w:lineRule="auto"/>
        <w:rPr/>
      </w:pPr>
      <w:r w:rsidDel="00000000" w:rsidR="00000000" w:rsidRPr="00000000">
        <w:rPr>
          <w:color w:val="1f2933"/>
          <w:sz w:val="21"/>
          <w:szCs w:val="21"/>
          <w:rtl w:val="0"/>
        </w:rPr>
        <w:t xml:space="preserve">Australia is standing up two things called tokenisation at the same time. In the card context, a token is a surrogate for an account number held by a trusted party. In the digital asset context, a token is a bearer instrument recorded on a ledger, and Treasury's exposure draft now uses tokenised stored value facility as a defined term for stablecoin-like products. These are different objects with different portability, custody and legal characteristics, and they are already being conflated in industry discussion. DECA recommends the Reserve Bank distinguish the two expressly in any material it publishes, and consider whether the portability principle it articulates for card tokens should be stated at a level of generality that also covers credential portability in wallets and in agent-initiated flows.</w:t>
      </w:r>
      <w:r w:rsidDel="00000000" w:rsidR="00000000" w:rsidRPr="00000000">
        <w:rPr>
          <w:rtl w:val="0"/>
        </w:rPr>
      </w:r>
    </w:p>
    <w:p w:rsidR="00000000" w:rsidDel="00000000" w:rsidP="00000000" w:rsidRDefault="00000000" w:rsidRPr="00000000" w14:paraId="00000037">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5. AI agents in e-commerce (Q6)</w:t>
      </w:r>
      <w:r w:rsidDel="00000000" w:rsidR="00000000" w:rsidRPr="00000000">
        <w:rPr>
          <w:rtl w:val="0"/>
        </w:rPr>
      </w:r>
    </w:p>
    <w:p w:rsidR="00000000" w:rsidDel="00000000" w:rsidP="00000000" w:rsidRDefault="00000000" w:rsidRPr="00000000" w14:paraId="00000038">
      <w:pPr>
        <w:spacing w:after="140" w:line="276" w:lineRule="auto"/>
        <w:rPr/>
      </w:pPr>
      <w:r w:rsidDel="00000000" w:rsidR="00000000" w:rsidRPr="00000000">
        <w:rPr>
          <w:color w:val="1f2933"/>
          <w:sz w:val="21"/>
          <w:szCs w:val="21"/>
          <w:rtl w:val="0"/>
        </w:rPr>
        <w:t xml:space="preserve">This is the question on which DECA members can offer the Reserve Bank the most that it will not obtain elsewhere, and the question where the cost of waiting is highest.</w:t>
      </w:r>
      <w:r w:rsidDel="00000000" w:rsidR="00000000" w:rsidRPr="00000000">
        <w:rPr>
          <w:rtl w:val="0"/>
        </w:rPr>
      </w:r>
    </w:p>
    <w:p w:rsidR="00000000" w:rsidDel="00000000" w:rsidP="00000000" w:rsidRDefault="00000000" w:rsidRPr="00000000" w14:paraId="00000039">
      <w:pPr>
        <w:pStyle w:val="Heading2"/>
        <w:keepNext w:val="1"/>
        <w:spacing w:after="100" w:before="240" w:lineRule="auto"/>
        <w:rPr/>
      </w:pPr>
      <w:r w:rsidDel="00000000" w:rsidR="00000000" w:rsidRPr="00000000">
        <w:rPr>
          <w:b w:val="1"/>
          <w:bCs w:val="1"/>
          <w:color w:val="0f2a47"/>
          <w:sz w:val="23"/>
          <w:szCs w:val="23"/>
          <w:rtl w:val="0"/>
        </w:rPr>
        <w:t xml:space="preserve">5.1 What is actually happening</w:t>
      </w:r>
      <w:r w:rsidDel="00000000" w:rsidR="00000000" w:rsidRPr="00000000">
        <w:rPr>
          <w:rtl w:val="0"/>
        </w:rPr>
      </w:r>
    </w:p>
    <w:p w:rsidR="00000000" w:rsidDel="00000000" w:rsidP="00000000" w:rsidRDefault="00000000" w:rsidRPr="00000000" w14:paraId="0000003A">
      <w:pPr>
        <w:spacing w:after="140" w:line="276" w:lineRule="auto"/>
        <w:rPr/>
      </w:pPr>
      <w:r w:rsidDel="00000000" w:rsidR="00000000" w:rsidRPr="00000000">
        <w:rPr>
          <w:color w:val="1f2933"/>
          <w:sz w:val="21"/>
          <w:szCs w:val="21"/>
          <w:rtl w:val="0"/>
        </w:rPr>
        <w:t xml:space="preserve">Between April 2025 and mid-2026 the industry produced a competing stack of agentic payment standards: card network overlays extending existing tokenisation to agent-initiated flows, checkout orchestration protocols promoted by large technology firms and their payment partners, and open protocols for machine-to-machine settlement. None has won. Most large participants have hedged by joining several at once.</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3B">
      <w:pPr>
        <w:spacing w:after="140" w:line="276" w:lineRule="auto"/>
        <w:rPr/>
      </w:pPr>
      <w:r w:rsidDel="00000000" w:rsidR="00000000" w:rsidRPr="00000000">
        <w:rPr>
          <w:color w:val="1f2933"/>
          <w:sz w:val="21"/>
          <w:szCs w:val="21"/>
          <w:rtl w:val="0"/>
        </w:rPr>
        <w:t xml:space="preserve">The volume data matters more than the branding. One machine-to-machine stablecoin payment protocol had processed more than 165 million transactions by April 2026, from roughly 69,000 active agents, with cumulative value of around US$50 million. That is an average transaction size near 30 US cents. This is the signature of agent-to-agent micropayments for data, compute and application access, and it is a category card economics cannot serve, because interchange and per-transaction fees consume the entire value of a five-cent call. The International Monetary Fund has reached similar conclusions about the direction of agent-mediated payment flows.</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03C">
      <w:pPr>
        <w:spacing w:after="140" w:line="276" w:lineRule="auto"/>
        <w:rPr/>
      </w:pPr>
      <w:r w:rsidDel="00000000" w:rsidR="00000000" w:rsidRPr="00000000">
        <w:rPr>
          <w:color w:val="1f2933"/>
          <w:sz w:val="21"/>
          <w:szCs w:val="21"/>
          <w:rtl w:val="0"/>
        </w:rPr>
        <w:t xml:space="preserve">Two consequences follow. First, a meaningful share of agent-initiated payment volume by count will not travel on card rails at all, and will therefore sit outside the data the Reserve Bank currently collects. Second, the routing layer for agent commerce is being defined offshore, by firms with no Australian regulatory nexus, and the incentives embedded in that layer will be inherited by Australian merchants and consumers by default.</w:t>
      </w:r>
      <w:r w:rsidDel="00000000" w:rsidR="00000000" w:rsidRPr="00000000">
        <w:rPr>
          <w:rtl w:val="0"/>
        </w:rPr>
      </w:r>
    </w:p>
    <w:p w:rsidR="00000000" w:rsidDel="00000000" w:rsidP="00000000" w:rsidRDefault="00000000" w:rsidRPr="00000000" w14:paraId="0000003D">
      <w:pPr>
        <w:pStyle w:val="Heading2"/>
        <w:keepNext w:val="1"/>
        <w:spacing w:after="100" w:before="240" w:lineRule="auto"/>
        <w:rPr/>
      </w:pPr>
      <w:r w:rsidDel="00000000" w:rsidR="00000000" w:rsidRPr="00000000">
        <w:rPr>
          <w:b w:val="1"/>
          <w:bCs w:val="1"/>
          <w:color w:val="0f2a47"/>
          <w:sz w:val="23"/>
          <w:szCs w:val="23"/>
          <w:rtl w:val="0"/>
        </w:rPr>
        <w:t xml:space="preserve">5.2 What DECA asks the Reserve Bank to do</w:t>
      </w:r>
      <w:r w:rsidDel="00000000" w:rsidR="00000000" w:rsidRPr="00000000">
        <w:rPr>
          <w:rtl w:val="0"/>
        </w:rPr>
      </w:r>
    </w:p>
    <w:p w:rsidR="00000000" w:rsidDel="00000000" w:rsidP="00000000" w:rsidRDefault="00000000" w:rsidRPr="00000000" w14:paraId="0000003E">
      <w:pPr>
        <w:spacing w:after="140" w:line="276" w:lineRule="auto"/>
        <w:rPr/>
      </w:pPr>
      <w:r w:rsidDel="00000000" w:rsidR="00000000" w:rsidRPr="00000000">
        <w:rPr>
          <w:color w:val="1f2933"/>
          <w:sz w:val="21"/>
          <w:szCs w:val="21"/>
          <w:rtl w:val="0"/>
        </w:rPr>
        <w:t xml:space="preserve">DECA does not ask the Reserve Bank to regulate AI agents, mandate a protocol, or designate an agentic payment arrangement under the PSRA. We ask for four things, in ascending order of effort.</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30" w:before="0" w:line="276" w:lineRule="auto"/>
        <w:ind w:left="520" w:right="0" w:hanging="34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State the principle now.</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The Reserve Bank should say, in its end-2026 priorities, that its expectations on routing transparency and merchant choice are technology-neutral and apply to agent-initiated payments. Routing decisions made by an agent should be disclosable to the merchant and the payer, and should not be determined solely by undisclosed commercial incentives paid to the agent operator. This is the least-cost routing principle applied one layer up, and it costs nothing to say.</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30" w:before="0" w:line="276" w:lineRule="auto"/>
        <w:ind w:left="520" w:right="0" w:hanging="34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Start the data collection.</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Agent-initiated transactions should be identified as a distinct category in payments and fraud statistics from the earliest practicable date. If collection begins in 2027, the Reserve Bank will hold a usable baseline when it reaches conclusions in 2028. If it begins in 2028, it will not.</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30" w:before="0" w:line="276" w:lineRule="auto"/>
        <w:ind w:left="520" w:right="0" w:hanging="34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Treat prompt injection as a new fraud typology.</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Manipulating an agent through adversarial content embedded in a merchant listing or web page has no analogue in the card-not-present framework, which assumes a human who can be deceived but not reprogrammed. Existing authentication controls do not address it. The Reserve Bank should map this typology explicitly rather than allow it to be absorbed into general card-not-present fraud reporting.</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30" w:before="0" w:line="276" w:lineRule="auto"/>
        <w:ind w:left="520" w:right="0" w:hanging="34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Support convergence, do not mandate it.</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The most useful contribution Australia can make is to encourage interoperability between the mandate and intent structures emerging across the competing protocols, so that a cryptographically signed record of what a human authorised travels with the transaction irrespective of which protocol carried it. This is the same verifiable credential infrastructure being developed in the Department of Finance's work on digital credentials, and Australia should avoid building it twice.</w:t>
      </w:r>
    </w:p>
    <w:p w:rsidR="00000000" w:rsidDel="00000000" w:rsidP="00000000" w:rsidRDefault="00000000" w:rsidRPr="00000000" w14:paraId="00000043">
      <w:pPr>
        <w:pStyle w:val="Heading2"/>
        <w:keepNext w:val="1"/>
        <w:spacing w:after="100" w:before="240" w:lineRule="auto"/>
        <w:rPr/>
      </w:pPr>
      <w:r w:rsidDel="00000000" w:rsidR="00000000" w:rsidRPr="00000000">
        <w:rPr>
          <w:b w:val="1"/>
          <w:bCs w:val="1"/>
          <w:color w:val="0f2a47"/>
          <w:sz w:val="23"/>
          <w:szCs w:val="23"/>
          <w:rtl w:val="0"/>
        </w:rPr>
        <w:t xml:space="preserve">5.3 On liability</w:t>
      </w:r>
      <w:r w:rsidDel="00000000" w:rsidR="00000000" w:rsidRPr="00000000">
        <w:rPr>
          <w:rtl w:val="0"/>
        </w:rPr>
      </w:r>
    </w:p>
    <w:p w:rsidR="00000000" w:rsidDel="00000000" w:rsidP="00000000" w:rsidRDefault="00000000" w:rsidRPr="00000000" w14:paraId="00000044">
      <w:pPr>
        <w:spacing w:after="140" w:line="276" w:lineRule="auto"/>
        <w:rPr/>
      </w:pPr>
      <w:r w:rsidDel="00000000" w:rsidR="00000000" w:rsidRPr="00000000">
        <w:rPr>
          <w:color w:val="1f2933"/>
          <w:sz w:val="21"/>
          <w:szCs w:val="21"/>
          <w:rtl w:val="0"/>
        </w:rPr>
        <w:t xml:space="preserve">Liability allocation for agent-initiated payments is unresolved in every comparable jurisdiction. In the United Kingdom the question is being worked through by the competition, conduct and treasury authorities in parallel, without resolution as at mid-2026. The European framework will need to accommodate delegated authority within its strong customer authentication requirements. DECA's view is that Australia should not attempt to resolve liability ahead of that international work, but should ensure the evidentiary substrate exists. If a signed mandate records what the payer authorised, liability rules can be written later. If it does not, no liability rule will be administrable.</w:t>
      </w:r>
      <w:r w:rsidDel="00000000" w:rsidR="00000000" w:rsidRPr="00000000">
        <w:rPr>
          <w:rtl w:val="0"/>
        </w:rPr>
      </w:r>
    </w:p>
    <w:p w:rsidR="00000000" w:rsidDel="00000000" w:rsidP="00000000" w:rsidRDefault="00000000" w:rsidRPr="00000000" w14:paraId="00000045">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6. Mobile payments and access to device payment hardware (Q7)</w:t>
      </w:r>
      <w:r w:rsidDel="00000000" w:rsidR="00000000" w:rsidRPr="00000000">
        <w:rPr>
          <w:rtl w:val="0"/>
        </w:rPr>
      </w:r>
    </w:p>
    <w:p w:rsidR="00000000" w:rsidDel="00000000" w:rsidP="00000000" w:rsidRDefault="00000000" w:rsidRPr="00000000" w14:paraId="00000046">
      <w:pPr>
        <w:spacing w:after="140" w:line="276" w:lineRule="auto"/>
        <w:rPr/>
      </w:pPr>
      <w:r w:rsidDel="00000000" w:rsidR="00000000" w:rsidRPr="00000000">
        <w:rPr>
          <w:color w:val="1f2933"/>
          <w:sz w:val="21"/>
          <w:szCs w:val="21"/>
          <w:rtl w:val="0"/>
        </w:rPr>
        <w:t xml:space="preserve">Mobile wallet transactions now account for a substantial and growing share of card payments, and the terms on which third-party applications reach the contactless interface on a device are set by two firms. This is the clearest example in the Issues Paper of a competition constraint Australia has, until recently, lacked the power to address.</w:t>
      </w:r>
      <w:r w:rsidDel="00000000" w:rsidR="00000000" w:rsidRPr="00000000">
        <w:rPr>
          <w:rtl w:val="0"/>
        </w:rPr>
      </w:r>
    </w:p>
    <w:p w:rsidR="00000000" w:rsidDel="00000000" w:rsidP="00000000" w:rsidRDefault="00000000" w:rsidRPr="00000000" w14:paraId="00000047">
      <w:pPr>
        <w:spacing w:after="140" w:line="276" w:lineRule="auto"/>
        <w:rPr/>
      </w:pPr>
      <w:r w:rsidDel="00000000" w:rsidR="00000000" w:rsidRPr="00000000">
        <w:rPr>
          <w:color w:val="1f2933"/>
          <w:sz w:val="21"/>
          <w:szCs w:val="21"/>
          <w:rtl w:val="0"/>
        </w:rPr>
        <w:t xml:space="preserve">The European Union has resolved the same question. The Digital Markets Act imposes a directly enforceable interoperability entitlement, and in July 2024 the European Commission accepted binding commitments requiring free access to the contactless interface in host card emulation mode for third-party wallet developers across the European Economic Area, together with default wallet selection and access criteria that are fair, reasonable and non-discriminatory, for a period of ten years. The United Kingdom is arriving at a comparable position through its strategic market status regime.</w:t>
      </w:r>
      <w:r w:rsidDel="00000000" w:rsidR="00000000" w:rsidRPr="00000000">
        <w:rPr>
          <w:vertAlign w:val="superscript"/>
        </w:rPr>
        <w:footnoteReference w:customMarkFollows="0" w:id="5"/>
      </w:r>
      <w:r w:rsidDel="00000000" w:rsidR="00000000" w:rsidRPr="00000000">
        <w:rPr>
          <w:color w:val="1f2933"/>
          <w:sz w:val="21"/>
          <w:szCs w:val="21"/>
          <w:rtl w:val="0"/>
        </w:rPr>
        <w:t xml:space="preserve"> Australian consumers and merchants receive none of these benefits, because Australia has had no equivalent instrument.</w:t>
      </w:r>
      <w:r w:rsidDel="00000000" w:rsidR="00000000" w:rsidRPr="00000000">
        <w:rPr>
          <w:rtl w:val="0"/>
        </w:rPr>
      </w:r>
    </w:p>
    <w:p w:rsidR="00000000" w:rsidDel="00000000" w:rsidP="00000000" w:rsidRDefault="00000000" w:rsidRPr="00000000" w14:paraId="00000048">
      <w:pPr>
        <w:spacing w:after="140" w:line="276" w:lineRule="auto"/>
        <w:rPr/>
      </w:pPr>
      <w:r w:rsidDel="00000000" w:rsidR="00000000" w:rsidRPr="00000000">
        <w:rPr>
          <w:color w:val="1f2933"/>
          <w:sz w:val="21"/>
          <w:szCs w:val="21"/>
          <w:rtl w:val="0"/>
        </w:rPr>
        <w:t xml:space="preserve">The 2025 PSRA amendments changed that by bringing digital wallet pass-through services within the perimeter. DECA recommends the Reserve Bank prioritise establishing an access expectation for the contactless interface and host card emulation equivalents on non-discriminatory terms, and prohibiting contract terms that prevent issuers from disclosing wallet fees or that restrict the development of competing payment methods.</w:t>
      </w:r>
      <w:r w:rsidDel="00000000" w:rsidR="00000000" w:rsidRPr="00000000">
        <w:rPr>
          <w:rtl w:val="0"/>
        </w:rPr>
      </w:r>
    </w:p>
    <w:p w:rsidR="00000000" w:rsidDel="00000000" w:rsidP="00000000" w:rsidRDefault="00000000" w:rsidRPr="00000000" w14:paraId="00000049">
      <w:pPr>
        <w:pStyle w:val="Heading3"/>
        <w:keepNext w:val="1"/>
        <w:spacing w:after="80" w:before="180" w:lineRule="auto"/>
        <w:rPr/>
      </w:pPr>
      <w:r w:rsidDel="00000000" w:rsidR="00000000" w:rsidRPr="00000000">
        <w:rPr>
          <w:b w:val="1"/>
          <w:bCs w:val="1"/>
          <w:i w:val="1"/>
          <w:iCs w:val="1"/>
          <w:color w:val="56616e"/>
          <w:sz w:val="21"/>
          <w:szCs w:val="21"/>
          <w:rtl w:val="0"/>
        </w:rPr>
        <w:t xml:space="preserve">Why this matters beyond banks</w:t>
      </w:r>
      <w:r w:rsidDel="00000000" w:rsidR="00000000" w:rsidRPr="00000000">
        <w:rPr>
          <w:rtl w:val="0"/>
        </w:rPr>
      </w:r>
    </w:p>
    <w:p w:rsidR="00000000" w:rsidDel="00000000" w:rsidP="00000000" w:rsidRDefault="00000000" w:rsidRPr="00000000" w14:paraId="0000004A">
      <w:pPr>
        <w:spacing w:after="140" w:line="276" w:lineRule="auto"/>
        <w:rPr/>
      </w:pPr>
      <w:r w:rsidDel="00000000" w:rsidR="00000000" w:rsidRPr="00000000">
        <w:rPr>
          <w:color w:val="1f2933"/>
          <w:sz w:val="21"/>
          <w:szCs w:val="21"/>
          <w:rtl w:val="0"/>
        </w:rPr>
        <w:t xml:space="preserve">Our members sit further down the queue than the issuers usually heard on this question. A stablecoin or tokenised money wallet, or an account-to-account wallet operated by a non-ADI payment service provider, faces the same hardware exclusion as a bank wallet and has less commercial leverage to negotiate around it. If in-person account-to-account payments and tokenised money at the point of sale are to become a genuine competitive alternative to cards, as the Issues Paper contemplates at Q13, hardware access is a precondition rather than a related issue. The European sequencing makes the point: Wero is able to target point-of-sale use cases in part because the wallet access question was settled first.</w:t>
      </w:r>
      <w:r w:rsidDel="00000000" w:rsidR="00000000" w:rsidRPr="00000000">
        <w:rPr>
          <w:rtl w:val="0"/>
        </w:rPr>
      </w:r>
    </w:p>
    <w:p w:rsidR="00000000" w:rsidDel="00000000" w:rsidP="00000000" w:rsidRDefault="00000000" w:rsidRPr="00000000" w14:paraId="0000004B">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7. Non-designated card networks and BNPL (Q8, Q9, Q10)</w:t>
      </w:r>
      <w:r w:rsidDel="00000000" w:rsidR="00000000" w:rsidRPr="00000000">
        <w:rPr>
          <w:rtl w:val="0"/>
        </w:rPr>
      </w:r>
    </w:p>
    <w:p w:rsidR="00000000" w:rsidDel="00000000" w:rsidP="00000000" w:rsidRDefault="00000000" w:rsidRPr="00000000" w14:paraId="0000004C">
      <w:pPr>
        <w:spacing w:after="140" w:line="276" w:lineRule="auto"/>
        <w:rPr/>
      </w:pPr>
      <w:r w:rsidDel="00000000" w:rsidR="00000000" w:rsidRPr="00000000">
        <w:rPr>
          <w:color w:val="1f2933"/>
          <w:sz w:val="21"/>
          <w:szCs w:val="21"/>
          <w:rtl w:val="0"/>
        </w:rPr>
        <w:t xml:space="preserve">DECA does not hold a strong collective position on the treatment of three-party networks or smaller non-designated networks, and we defer to members and other submitters with more direct evidence. We offer one principle and one caution.</w:t>
      </w:r>
      <w:r w:rsidDel="00000000" w:rsidR="00000000" w:rsidRPr="00000000">
        <w:rPr>
          <w:rtl w:val="0"/>
        </w:rPr>
      </w:r>
    </w:p>
    <w:p w:rsidR="00000000" w:rsidDel="00000000" w:rsidP="00000000" w:rsidRDefault="00000000" w:rsidRPr="00000000" w14:paraId="0000004D">
      <w:pPr>
        <w:spacing w:after="140" w:line="276" w:lineRule="auto"/>
        <w:rPr/>
      </w:pPr>
      <w:r w:rsidDel="00000000" w:rsidR="00000000" w:rsidRPr="00000000">
        <w:rPr>
          <w:color w:val="1f2933"/>
          <w:sz w:val="21"/>
          <w:szCs w:val="21"/>
          <w:rtl w:val="0"/>
        </w:rPr>
        <w:t xml:space="preserve">The principle is functional equivalence. Where an arrangement performs the same economic function, it should attract the same transparency obligations regardless of its corporate structure or label. Regulating by legal form invites re-characterisation, and the history of payments regulation in Australia and elsewhere is in large part a history of that re-characterisation.</w:t>
      </w:r>
      <w:r w:rsidDel="00000000" w:rsidR="00000000" w:rsidRPr="00000000">
        <w:rPr>
          <w:rtl w:val="0"/>
        </w:rPr>
      </w:r>
    </w:p>
    <w:p w:rsidR="00000000" w:rsidDel="00000000" w:rsidP="00000000" w:rsidRDefault="00000000" w:rsidRPr="00000000" w14:paraId="0000004E">
      <w:pPr>
        <w:spacing w:after="140" w:line="276" w:lineRule="auto"/>
        <w:rPr/>
      </w:pPr>
      <w:r w:rsidDel="00000000" w:rsidR="00000000" w:rsidRPr="00000000">
        <w:rPr>
          <w:color w:val="1f2933"/>
          <w:sz w:val="21"/>
          <w:szCs w:val="21"/>
          <w:rtl w:val="0"/>
        </w:rPr>
        <w:t xml:space="preserve">The caution concerns buy now pay later. Since 2025 buy now pay later has been regulated as consumer credit administered by ASIC. DECA sees a clear case for the Reserve Bank to address fee transparency and no-surcharge rules, which are squarely payments system matters. We see no case for the Reserve Bank to develop parallel conduct obligations, which would duplicate a regime that has only recently commenced. This is a specific instance of the coherence point at section 11.</w:t>
      </w:r>
      <w:r w:rsidDel="00000000" w:rsidR="00000000" w:rsidRPr="00000000">
        <w:rPr>
          <w:rtl w:val="0"/>
        </w:rPr>
      </w:r>
    </w:p>
    <w:p w:rsidR="00000000" w:rsidDel="00000000" w:rsidP="00000000" w:rsidRDefault="00000000" w:rsidRPr="00000000" w14:paraId="0000004F">
      <w:pPr>
        <w:spacing w:after="140" w:line="276" w:lineRule="auto"/>
        <w:rPr/>
      </w:pPr>
      <w:r w:rsidDel="00000000" w:rsidR="00000000" w:rsidRPr="00000000">
        <w:rPr>
          <w:color w:val="1f2933"/>
          <w:sz w:val="21"/>
          <w:szCs w:val="21"/>
          <w:rtl w:val="0"/>
        </w:rPr>
        <w:t xml:space="preserve">We also note, without taking a position on its merits, that the stored value facility interest prohibition in Treasury's exposure draft is an example of a product boundary drawn by legal form rather than function.</w:t>
      </w:r>
      <w:r w:rsidDel="00000000" w:rsidR="00000000" w:rsidRPr="00000000">
        <w:rPr>
          <w:vertAlign w:val="superscript"/>
        </w:rPr>
        <w:footnoteReference w:customMarkFollows="0" w:id="6"/>
      </w:r>
      <w:r w:rsidDel="00000000" w:rsidR="00000000" w:rsidRPr="00000000">
        <w:rPr>
          <w:color w:val="1f2933"/>
          <w:sz w:val="21"/>
          <w:szCs w:val="21"/>
          <w:rtl w:val="0"/>
        </w:rPr>
        <w:t xml:space="preserve"> Boundaries of that kind create arbitrage at the edges and should be adopted deliberately rather than by inheritance.</w:t>
      </w:r>
      <w:r w:rsidDel="00000000" w:rsidR="00000000" w:rsidRPr="00000000">
        <w:rPr>
          <w:rtl w:val="0"/>
        </w:rPr>
      </w:r>
    </w:p>
    <w:p w:rsidR="00000000" w:rsidDel="00000000" w:rsidP="00000000" w:rsidRDefault="00000000" w:rsidRPr="00000000" w14:paraId="00000050">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8. Account-to-account payments: access, settlement and de-banking (Q11 to Q14)</w:t>
      </w:r>
      <w:r w:rsidDel="00000000" w:rsidR="00000000" w:rsidRPr="00000000">
        <w:rPr>
          <w:rtl w:val="0"/>
        </w:rPr>
      </w:r>
    </w:p>
    <w:p w:rsidR="00000000" w:rsidDel="00000000" w:rsidP="00000000" w:rsidRDefault="00000000" w:rsidRPr="00000000" w14:paraId="00000051">
      <w:pPr>
        <w:spacing w:after="140" w:line="276" w:lineRule="auto"/>
        <w:rPr/>
      </w:pPr>
      <w:r w:rsidDel="00000000" w:rsidR="00000000" w:rsidRPr="00000000">
        <w:rPr>
          <w:color w:val="1f2933"/>
          <w:sz w:val="21"/>
          <w:szCs w:val="21"/>
          <w:rtl w:val="0"/>
        </w:rPr>
        <w:t xml:space="preserve">This is DECA's highest priority and the section on which we hold the most member evidence.</w:t>
      </w:r>
      <w:r w:rsidDel="00000000" w:rsidR="00000000" w:rsidRPr="00000000">
        <w:rPr>
          <w:rtl w:val="0"/>
        </w:rPr>
      </w:r>
    </w:p>
    <w:p w:rsidR="00000000" w:rsidDel="00000000" w:rsidP="00000000" w:rsidRDefault="00000000" w:rsidRPr="00000000" w14:paraId="00000052">
      <w:pPr>
        <w:pStyle w:val="Heading2"/>
        <w:keepNext w:val="1"/>
        <w:spacing w:after="100" w:before="240" w:lineRule="auto"/>
        <w:rPr/>
      </w:pPr>
      <w:r w:rsidDel="00000000" w:rsidR="00000000" w:rsidRPr="00000000">
        <w:rPr>
          <w:b w:val="1"/>
          <w:bCs w:val="1"/>
          <w:color w:val="0f2a47"/>
          <w:sz w:val="23"/>
          <w:szCs w:val="23"/>
          <w:rtl w:val="0"/>
        </w:rPr>
        <w:t xml:space="preserve">8.1 The access problem, stated plainly</w:t>
      </w:r>
      <w:r w:rsidDel="00000000" w:rsidR="00000000" w:rsidRPr="00000000">
        <w:rPr>
          <w:rtl w:val="0"/>
        </w:rPr>
      </w:r>
    </w:p>
    <w:p w:rsidR="00000000" w:rsidDel="00000000" w:rsidP="00000000" w:rsidRDefault="00000000" w:rsidRPr="00000000" w14:paraId="00000053">
      <w:pPr>
        <w:spacing w:after="140" w:line="276" w:lineRule="auto"/>
        <w:rPr/>
      </w:pPr>
      <w:r w:rsidDel="00000000" w:rsidR="00000000" w:rsidRPr="00000000">
        <w:rPr>
          <w:color w:val="1f2933"/>
          <w:sz w:val="21"/>
          <w:szCs w:val="21"/>
          <w:rtl w:val="0"/>
        </w:rPr>
        <w:t xml:space="preserve">Eligibility criteria for direct participation in Australia's account-to-account systems favour authorised deposit-taking institutions. Direct participation options for small institutions and non-bank payment service providers are limited. Indirect access is available, but it is lengthy to obtain, costly to maintain, uncertain in duration, and supplied by an institution that is frequently a competitor in the same market.</w:t>
      </w:r>
      <w:r w:rsidDel="00000000" w:rsidR="00000000" w:rsidRPr="00000000">
        <w:rPr>
          <w:rtl w:val="0"/>
        </w:rPr>
      </w:r>
    </w:p>
    <w:p w:rsidR="00000000" w:rsidDel="00000000" w:rsidP="00000000" w:rsidRDefault="00000000" w:rsidRPr="00000000" w14:paraId="00000054">
      <w:pPr>
        <w:spacing w:after="140" w:line="276" w:lineRule="auto"/>
        <w:rPr/>
      </w:pPr>
      <w:r w:rsidDel="00000000" w:rsidR="00000000" w:rsidRPr="00000000">
        <w:rPr>
          <w:color w:val="1f2933"/>
          <w:sz w:val="21"/>
          <w:szCs w:val="21"/>
          <w:rtl w:val="0"/>
        </w:rPr>
        <w:t xml:space="preserve">For digital asset businesses the position is worse, because access and de-banking are the same problem wearing two hats. The institution that would supply indirect access is often the institution that may withdraw the underlying banking relationship at category level. Members report that access arrangements are negotiated in the shadow of that risk and that the risk is priced into terms. The Council of Financial Regulators identified digital currency exchanges, financial technology firms and remittance providers as the affected sectors in 2022, and the Government accepted in June 2023 that de-banking stifles competition and innovation, committing to transparency measures, notice periods, documented reasons and a voluntary data collection program with the major banks.</w:t>
      </w:r>
      <w:r w:rsidDel="00000000" w:rsidR="00000000" w:rsidRPr="00000000">
        <w:rPr>
          <w:vertAlign w:val="superscript"/>
        </w:rPr>
        <w:footnoteReference w:customMarkFollows="0" w:id="7"/>
      </w:r>
      <w:r w:rsidDel="00000000" w:rsidR="00000000" w:rsidRPr="00000000">
        <w:rPr>
          <w:color w:val="1f2933"/>
          <w:sz w:val="21"/>
          <w:szCs w:val="21"/>
          <w:rtl w:val="0"/>
        </w:rPr>
        <w:t xml:space="preserve"> Three years on, our members' experience is that the transparency commitments have been partially honoured and that the data has not been published.</w:t>
      </w:r>
      <w:r w:rsidDel="00000000" w:rsidR="00000000" w:rsidRPr="00000000">
        <w:rPr>
          <w:rtl w:val="0"/>
        </w:rPr>
      </w:r>
    </w:p>
    <w:p w:rsidR="00000000" w:rsidDel="00000000" w:rsidP="00000000" w:rsidRDefault="00000000" w:rsidRPr="00000000" w14:paraId="00000055">
      <w:pPr>
        <w:spacing w:after="140" w:line="276" w:lineRule="auto"/>
        <w:rPr/>
      </w:pPr>
      <w:r w:rsidDel="00000000" w:rsidR="00000000" w:rsidRPr="00000000">
        <w:rPr>
          <w:color w:val="1f2933"/>
          <w:sz w:val="21"/>
          <w:szCs w:val="21"/>
          <w:rtl w:val="0"/>
        </w:rPr>
        <w:t xml:space="preserve">DECA raised a closely related concern in its submission on the Scams Prevention Framework: regulatory settings that reward category-level de-risking will produce category-level de-risking, whatever the accompanying policy statements say.</w:t>
      </w:r>
      <w:r w:rsidDel="00000000" w:rsidR="00000000" w:rsidRPr="00000000">
        <w:rPr>
          <w:vertAlign w:val="superscript"/>
        </w:rPr>
        <w:footnoteReference w:customMarkFollows="0" w:id="8"/>
      </w:r>
      <w:r w:rsidDel="00000000" w:rsidR="00000000" w:rsidRPr="00000000">
        <w:rPr>
          <w:color w:val="1f2933"/>
          <w:sz w:val="21"/>
          <w:szCs w:val="21"/>
          <w:rtl w:val="0"/>
        </w:rPr>
        <w:t xml:space="preserve"> The same logic applies to access.</w:t>
      </w:r>
      <w:r w:rsidDel="00000000" w:rsidR="00000000" w:rsidRPr="00000000">
        <w:rPr>
          <w:rtl w:val="0"/>
        </w:rPr>
      </w:r>
    </w:p>
    <w:p w:rsidR="00000000" w:rsidDel="00000000" w:rsidP="00000000" w:rsidRDefault="00000000" w:rsidRPr="00000000" w14:paraId="00000056">
      <w:pPr>
        <w:pStyle w:val="Heading2"/>
        <w:keepNext w:val="1"/>
        <w:spacing w:after="100" w:before="240" w:lineRule="auto"/>
        <w:rPr/>
      </w:pPr>
      <w:r w:rsidDel="00000000" w:rsidR="00000000" w:rsidRPr="00000000">
        <w:rPr>
          <w:b w:val="1"/>
          <w:bCs w:val="1"/>
          <w:color w:val="0f2a47"/>
          <w:sz w:val="23"/>
          <w:szCs w:val="23"/>
          <w:rtl w:val="0"/>
        </w:rPr>
        <w:t xml:space="preserve">8.2 What comparable jurisdictions have done</w:t>
      </w:r>
      <w:r w:rsidDel="00000000" w:rsidR="00000000" w:rsidRPr="00000000">
        <w:rPr>
          <w:rtl w:val="0"/>
        </w:rPr>
      </w:r>
    </w:p>
    <w:p w:rsidR="00000000" w:rsidDel="00000000" w:rsidP="00000000" w:rsidRDefault="00000000" w:rsidRPr="00000000" w14:paraId="00000057">
      <w:pPr>
        <w:spacing w:after="140" w:line="276" w:lineRule="auto"/>
        <w:rPr/>
      </w:pPr>
      <w:r w:rsidDel="00000000" w:rsidR="00000000" w:rsidRPr="00000000">
        <w:rPr>
          <w:color w:val="1f2933"/>
          <w:sz w:val="21"/>
          <w:szCs w:val="21"/>
          <w:rtl w:val="0"/>
        </w:rPr>
        <w:t xml:space="preserve">The United Kingdom opened settlement accounts at the central bank to non-bank payment service providers in 2017, with the first accounts opened in 2018, giving direct access to the sterling payment systems that settle in central bank money. It subsequently introduced an omnibus account model allowing a payment system operator to pool participant funds held as central bank money, which has since been used to support distributed ledger based settlement. The European package approved by the ECON Committee in May 2026 extends payment institutions' access to payment systems and to central bank accounts. In the United States, the Federal Reserve has consulted on a limited-purpose payment account for non-bank institutions, while the GENIUS Act confirms that stablecoin issuers hold no automatic entitlement to a master account and the Office of the Comptroller of the Currency has granted conditional national trust bank charters to several issuers, creating a chartered pathway.</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058">
      <w:pPr>
        <w:spacing w:after="140" w:line="276" w:lineRule="auto"/>
        <w:rPr/>
      </w:pPr>
      <w:r w:rsidDel="00000000" w:rsidR="00000000" w:rsidRPr="00000000">
        <w:rPr>
          <w:color w:val="1f2933"/>
          <w:sz w:val="21"/>
          <w:szCs w:val="21"/>
          <w:rtl w:val="0"/>
        </w:rPr>
        <w:t xml:space="preserve">The pattern across all three is the same. Access is widened deliberately, on objective criteria, with a proportionate supervisory overlay, rather than left to bilateral commercial negotiation between competitors.</w:t>
      </w:r>
      <w:r w:rsidDel="00000000" w:rsidR="00000000" w:rsidRPr="00000000">
        <w:rPr>
          <w:rtl w:val="0"/>
        </w:rPr>
      </w:r>
    </w:p>
    <w:p w:rsidR="00000000" w:rsidDel="00000000" w:rsidP="00000000" w:rsidRDefault="00000000" w:rsidRPr="00000000" w14:paraId="00000059">
      <w:pPr>
        <w:pStyle w:val="Heading2"/>
        <w:keepNext w:val="1"/>
        <w:spacing w:after="100" w:before="240" w:lineRule="auto"/>
        <w:rPr/>
      </w:pPr>
      <w:r w:rsidDel="00000000" w:rsidR="00000000" w:rsidRPr="00000000">
        <w:rPr>
          <w:b w:val="1"/>
          <w:bCs w:val="1"/>
          <w:color w:val="0f2a47"/>
          <w:sz w:val="23"/>
          <w:szCs w:val="23"/>
          <w:rtl w:val="0"/>
        </w:rPr>
        <w:t xml:space="preserve">8.3 Settlement asset design: the problem Australia is creating for itself</w:t>
      </w:r>
      <w:r w:rsidDel="00000000" w:rsidR="00000000" w:rsidRPr="00000000">
        <w:rPr>
          <w:rtl w:val="0"/>
        </w:rPr>
      </w:r>
    </w:p>
    <w:p w:rsidR="00000000" w:rsidDel="00000000" w:rsidP="00000000" w:rsidRDefault="00000000" w:rsidRPr="00000000" w14:paraId="0000005A">
      <w:pPr>
        <w:spacing w:after="140" w:line="276" w:lineRule="auto"/>
        <w:rPr/>
      </w:pPr>
      <w:r w:rsidDel="00000000" w:rsidR="00000000" w:rsidRPr="00000000">
        <w:rPr>
          <w:color w:val="1f2933"/>
          <w:sz w:val="21"/>
          <w:szCs w:val="21"/>
          <w:rtl w:val="0"/>
        </w:rPr>
        <w:t xml:space="preserve">Project Acacia recorded that several participants would be more comfortable using stablecoins for wholesale settlement if those instruments were partly or wholly backed by central bank money, and found that the workaround adopted in one use case, depositing with an authorised deposit-taking institution which backed the funds one-for-one against its own settlement balances, cannot achieve legal or operational separation, so holders continue to carry the institution's counterparty risk. The report records that direct access to central bank reserves by stablecoin issuers is becoming a live policy question, and that the Reserve Bank will review its Exchange Settlement Account policy after the payment service provider licensing reforms pass.</w:t>
      </w:r>
      <w:r w:rsidDel="00000000" w:rsidR="00000000" w:rsidRPr="00000000">
        <w:rPr>
          <w:vertAlign w:val="superscript"/>
        </w:rPr>
        <w:footnoteReference w:customMarkFollows="0" w:id="10"/>
      </w:r>
      <w:r w:rsidDel="00000000" w:rsidR="00000000" w:rsidRPr="00000000">
        <w:rPr>
          <w:rtl w:val="0"/>
        </w:rPr>
      </w:r>
    </w:p>
    <w:p w:rsidR="00000000" w:rsidDel="00000000" w:rsidP="00000000" w:rsidRDefault="00000000" w:rsidRPr="00000000" w14:paraId="0000005B">
      <w:pPr>
        <w:spacing w:after="140" w:line="276" w:lineRule="auto"/>
        <w:rPr/>
      </w:pPr>
      <w:r w:rsidDel="00000000" w:rsidR="00000000" w:rsidRPr="00000000">
        <w:rPr>
          <w:color w:val="1f2933"/>
          <w:sz w:val="21"/>
          <w:szCs w:val="21"/>
          <w:rtl w:val="0"/>
        </w:rPr>
        <w:t xml:space="preserve">Set that alongside Treasury's exposure draft, which prohibits stored value facility providers from paying interest or interest-like benefits in order to preserve the distinction from deposits. Taken together, the current trajectory produces an Australian settlement asset that is neither remunerated nor backed by central bank money, held by an issuer with no pathway to settlement finality. That is not a criticism of either measure in isolation. It is an observation that no one is presently assessing their combined effect, and that the combination materially weakens the incentive to hold and use the instrument the Government is legislating to create.</w:t>
      </w:r>
      <w:r w:rsidDel="00000000" w:rsidR="00000000" w:rsidRPr="00000000">
        <w:rPr>
          <w:rtl w:val="0"/>
        </w:rPr>
      </w:r>
    </w:p>
    <w:p w:rsidR="00000000" w:rsidDel="00000000" w:rsidP="00000000" w:rsidRDefault="00000000" w:rsidRPr="00000000" w14:paraId="0000005C">
      <w:pPr>
        <w:spacing w:after="140" w:line="276" w:lineRule="auto"/>
        <w:rPr/>
      </w:pPr>
      <w:r w:rsidDel="00000000" w:rsidR="00000000" w:rsidRPr="00000000">
        <w:rPr>
          <w:color w:val="1f2933"/>
          <w:sz w:val="21"/>
          <w:szCs w:val="21"/>
          <w:rtl w:val="0"/>
        </w:rPr>
        <w:t xml:space="preserve">Comparable jurisdictions have paired the restriction with a pathway. The United States restricts yield but has opened both a chartering route and a consultation on limited settlement access. DECA's concern is that Australia is on course to adopt the restriction without the pathway.</w:t>
      </w: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b0873a" w:space="0" w:sz="18" w:val="single"/>
              <w:bottom w:color="000000" w:space="0" w:sz="0" w:val="nil"/>
              <w:right w:color="000000" w:space="0" w:sz="0" w:val="nil"/>
            </w:tcBorders>
            <w:shd w:fill="f2f5f8" w:val="clear"/>
            <w:tcMar>
              <w:top w:w="170.0" w:type="dxa"/>
              <w:left w:w="220.0" w:type="dxa"/>
              <w:bottom w:w="170.0" w:type="dxa"/>
              <w:right w:w="220.0" w:type="dxa"/>
            </w:tcMar>
            <w:vAlign w:val="top"/>
          </w:tcPr>
          <w:p w:rsidR="00000000" w:rsidDel="00000000" w:rsidP="00000000" w:rsidRDefault="00000000" w:rsidRPr="00000000" w14:paraId="0000005D">
            <w:pPr>
              <w:spacing w:after="0" w:line="276" w:lineRule="auto"/>
              <w:rPr/>
            </w:pPr>
            <w:r w:rsidDel="00000000" w:rsidR="00000000" w:rsidRPr="00000000">
              <w:rPr>
                <w:b w:val="1"/>
                <w:bCs w:val="1"/>
                <w:color w:val="1f2933"/>
                <w:sz w:val="20"/>
                <w:szCs w:val="20"/>
                <w:rtl w:val="0"/>
              </w:rPr>
              <w:t xml:space="preserve">Recommendation.</w:t>
            </w:r>
            <w:r w:rsidDel="00000000" w:rsidR="00000000" w:rsidRPr="00000000">
              <w:rPr>
                <w:color w:val="1f2933"/>
                <w:sz w:val="20"/>
                <w:szCs w:val="20"/>
                <w:rtl w:val="0"/>
              </w:rPr>
              <w:t xml:space="preserve"> The Reserve Bank should bring forward its review of Exchange Settlement Account eligibility rather than sequencing it behind passage of the payments licensing reforms, publish the criteria by which a non-ADI issuer of a tokenised stored value facility could obtain access, and consider an omnibus-style pooled settlement model on the United Kingdom precedent as an interim measure that does not require full eligibility.</w:t>
            </w:r>
            <w:r w:rsidDel="00000000" w:rsidR="00000000" w:rsidRPr="00000000">
              <w:rPr>
                <w:rtl w:val="0"/>
              </w:rPr>
            </w:r>
          </w:p>
        </w:tc>
      </w:tr>
    </w:tbl>
    <w:p w:rsidR="00000000" w:rsidDel="00000000" w:rsidP="00000000" w:rsidRDefault="00000000" w:rsidRPr="00000000" w14:paraId="0000005E">
      <w:pPr>
        <w:pStyle w:val="Heading2"/>
        <w:keepNext w:val="1"/>
        <w:spacing w:after="100" w:before="240" w:lineRule="auto"/>
        <w:rPr/>
      </w:pPr>
      <w:r w:rsidDel="00000000" w:rsidR="00000000" w:rsidRPr="00000000">
        <w:rPr>
          <w:b w:val="1"/>
          <w:bCs w:val="1"/>
          <w:color w:val="0f2a47"/>
          <w:sz w:val="23"/>
          <w:szCs w:val="23"/>
          <w:rtl w:val="0"/>
        </w:rPr>
        <w:t xml:space="preserve">8.4 Standardisation and account-to-account at the point of sale (Q13, Q14)</w:t>
      </w:r>
      <w:r w:rsidDel="00000000" w:rsidR="00000000" w:rsidRPr="00000000">
        <w:rPr>
          <w:rtl w:val="0"/>
        </w:rPr>
      </w:r>
    </w:p>
    <w:p w:rsidR="00000000" w:rsidDel="00000000" w:rsidP="00000000" w:rsidRDefault="00000000" w:rsidRPr="00000000" w14:paraId="0000005F">
      <w:pPr>
        <w:spacing w:after="140" w:line="276" w:lineRule="auto"/>
        <w:rPr/>
      </w:pPr>
      <w:r w:rsidDel="00000000" w:rsidR="00000000" w:rsidRPr="00000000">
        <w:rPr>
          <w:color w:val="1f2933"/>
          <w:sz w:val="21"/>
          <w:szCs w:val="21"/>
          <w:rtl w:val="0"/>
        </w:rPr>
        <w:t xml:space="preserve">DECA supports greater standardisation and interoperability across account-to-account rails, with one important qualification: standards should not be built on the assumption that the funding source is an account held at an authorised deposit-taking institution. If tokenised money and non-ADI stored value facilities cannot be represented as funding sources within the standards, the standards themselves become an access barrier, and a more durable one than the eligibility criteria they sit beside.</w:t>
      </w:r>
      <w:r w:rsidDel="00000000" w:rsidR="00000000" w:rsidRPr="00000000">
        <w:rPr>
          <w:rtl w:val="0"/>
        </w:rPr>
      </w:r>
    </w:p>
    <w:p w:rsidR="00000000" w:rsidDel="00000000" w:rsidP="00000000" w:rsidRDefault="00000000" w:rsidRPr="00000000" w14:paraId="00000060">
      <w:pPr>
        <w:spacing w:after="140" w:line="276" w:lineRule="auto"/>
        <w:rPr/>
      </w:pPr>
      <w:r w:rsidDel="00000000" w:rsidR="00000000" w:rsidRPr="00000000">
        <w:rPr>
          <w:color w:val="1f2933"/>
          <w:sz w:val="21"/>
          <w:szCs w:val="21"/>
          <w:rtl w:val="0"/>
        </w:rPr>
        <w:t xml:space="preserve">International experience suggests the enabling conditions are a single rulebook, a shared and predictable commercial model, and broad participation from launch. The United Kingdom's commercial variable recurring payments scheme, live since June 2026, provides all three, with a fixed per-transaction fee charged to the provider rather than the consumer and price certainty over a multi-year horizon. Wero is progressing toward point-of-sale use with cross-border interoperability arrangements in train, and UPI and Pix remain the benchmark demonstrations that account-to-account payments can reach genuine scale where regulatory backing, broad participation and a clear consumer proposition coincide.</w:t>
      </w:r>
      <w:r w:rsidDel="00000000" w:rsidR="00000000" w:rsidRPr="00000000">
        <w:rPr>
          <w:vertAlign w:val="superscript"/>
        </w:rPr>
        <w:footnoteReference w:customMarkFollows="0" w:id="11"/>
      </w:r>
      <w:r w:rsidDel="00000000" w:rsidR="00000000" w:rsidRPr="00000000">
        <w:rPr>
          <w:rtl w:val="0"/>
        </w:rPr>
      </w:r>
    </w:p>
    <w:p w:rsidR="00000000" w:rsidDel="00000000" w:rsidP="00000000" w:rsidRDefault="00000000" w:rsidRPr="00000000" w14:paraId="00000061">
      <w:pPr>
        <w:spacing w:after="140" w:line="276" w:lineRule="auto"/>
        <w:rPr/>
      </w:pPr>
      <w:r w:rsidDel="00000000" w:rsidR="00000000" w:rsidRPr="00000000">
        <w:rPr>
          <w:color w:val="1f2933"/>
          <w:sz w:val="21"/>
          <w:szCs w:val="21"/>
          <w:rtl w:val="0"/>
        </w:rPr>
        <w:t xml:space="preserve">Australia is unusually well placed to design rather than retrofit, because the removal of the hard decommissioning target for the legacy bulk electronic system means the destination architecture remains open. DECA encourages the Reserve Bank to treat that as an opportunity to specify a design accommodating tokenised settlement from the outset, not as a reason to defer.</w:t>
      </w:r>
      <w:r w:rsidDel="00000000" w:rsidR="00000000" w:rsidRPr="00000000">
        <w:rPr>
          <w:rtl w:val="0"/>
        </w:rPr>
      </w:r>
    </w:p>
    <w:p w:rsidR="00000000" w:rsidDel="00000000" w:rsidP="00000000" w:rsidRDefault="00000000" w:rsidRPr="00000000" w14:paraId="00000062">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9. Cryptography and quantum readiness (Q15 to Q17)</w:t>
      </w:r>
      <w:r w:rsidDel="00000000" w:rsidR="00000000" w:rsidRPr="00000000">
        <w:rPr>
          <w:rtl w:val="0"/>
        </w:rPr>
      </w:r>
    </w:p>
    <w:p w:rsidR="00000000" w:rsidDel="00000000" w:rsidP="00000000" w:rsidRDefault="00000000" w:rsidRPr="00000000" w14:paraId="00000063">
      <w:pPr>
        <w:spacing w:after="140" w:line="276" w:lineRule="auto"/>
        <w:rPr/>
      </w:pPr>
      <w:r w:rsidDel="00000000" w:rsidR="00000000" w:rsidRPr="00000000">
        <w:rPr>
          <w:color w:val="1f2933"/>
          <w:sz w:val="21"/>
          <w:szCs w:val="21"/>
          <w:rtl w:val="0"/>
        </w:rPr>
        <w:t xml:space="preserve">DECA members are disproportionately cryptography-native. Exchanges, custodians, wallet providers and blockchain infrastructure operators run hardware security modules, threshold and multi-party signing schemes, key ceremony processes and cryptographic agility as core operating disciplines rather than as a compliance overlay, and they do so at a scale and rate of change most payments participants do not encounter. This is the cheapest source of migration expertise available to the Reserve Bank, and DECA offers it.</w:t>
      </w:r>
      <w:r w:rsidDel="00000000" w:rsidR="00000000" w:rsidRPr="00000000">
        <w:rPr>
          <w:rtl w:val="0"/>
        </w:rPr>
      </w:r>
    </w:p>
    <w:p w:rsidR="00000000" w:rsidDel="00000000" w:rsidP="00000000" w:rsidRDefault="00000000" w:rsidRPr="00000000" w14:paraId="00000064">
      <w:pPr>
        <w:pStyle w:val="Heading2"/>
        <w:keepNext w:val="1"/>
        <w:spacing w:after="100" w:before="240" w:lineRule="auto"/>
        <w:rPr/>
      </w:pPr>
      <w:r w:rsidDel="00000000" w:rsidR="00000000" w:rsidRPr="00000000">
        <w:rPr>
          <w:b w:val="1"/>
          <w:bCs w:val="1"/>
          <w:color w:val="0f2a47"/>
          <w:sz w:val="23"/>
          <w:szCs w:val="23"/>
          <w:rtl w:val="0"/>
        </w:rPr>
        <w:t xml:space="preserve">9.1 The problem is discovery, not algorithm selection</w:t>
      </w:r>
      <w:r w:rsidDel="00000000" w:rsidR="00000000" w:rsidRPr="00000000">
        <w:rPr>
          <w:rtl w:val="0"/>
        </w:rPr>
      </w:r>
    </w:p>
    <w:p w:rsidR="00000000" w:rsidDel="00000000" w:rsidP="00000000" w:rsidRDefault="00000000" w:rsidRPr="00000000" w14:paraId="00000065">
      <w:pPr>
        <w:spacing w:after="140" w:line="276" w:lineRule="auto"/>
        <w:rPr/>
      </w:pPr>
      <w:r w:rsidDel="00000000" w:rsidR="00000000" w:rsidRPr="00000000">
        <w:rPr>
          <w:color w:val="1f2933"/>
          <w:sz w:val="21"/>
          <w:szCs w:val="21"/>
          <w:rtl w:val="0"/>
        </w:rPr>
        <w:t xml:space="preserve">Algorithm selection is largely settled. The relevant post-quantum standards were finalised in 2024, and the deprecation and disallowance timeline for classical asymmetric cryptography is published.</w:t>
      </w:r>
      <w:r w:rsidDel="00000000" w:rsidR="00000000" w:rsidRPr="00000000">
        <w:rPr>
          <w:vertAlign w:val="superscript"/>
        </w:rPr>
        <w:footnoteReference w:customMarkFollows="0" w:id="12"/>
      </w:r>
      <w:r w:rsidDel="00000000" w:rsidR="00000000" w:rsidRPr="00000000">
        <w:rPr>
          <w:color w:val="1f2933"/>
          <w:sz w:val="21"/>
          <w:szCs w:val="21"/>
          <w:rtl w:val="0"/>
        </w:rPr>
        <w:t xml:space="preserve"> The barrier reported by our members and by the wider industry is that most organisations cannot enumerate where cryptography is used across their estate, in what libraries, with what key lifetimes, and under whose control. Migration cannot be planned against an unknown inventory.</w:t>
      </w:r>
      <w:r w:rsidDel="00000000" w:rsidR="00000000" w:rsidRPr="00000000">
        <w:rPr>
          <w:rtl w:val="0"/>
        </w:rPr>
      </w:r>
    </w:p>
    <w:p w:rsidR="00000000" w:rsidDel="00000000" w:rsidP="00000000" w:rsidRDefault="00000000" w:rsidRPr="00000000" w14:paraId="00000066">
      <w:pPr>
        <w:spacing w:after="140" w:line="276" w:lineRule="auto"/>
        <w:rPr/>
      </w:pPr>
      <w:r w:rsidDel="00000000" w:rsidR="00000000" w:rsidRPr="00000000">
        <w:rPr>
          <w:color w:val="1f2933"/>
          <w:sz w:val="21"/>
          <w:szCs w:val="21"/>
          <w:rtl w:val="0"/>
        </w:rPr>
        <w:t xml:space="preserve">Every serious national roadmap has therefore sequenced discovery first. The United Kingdom's guidance requires a full discovery exercise and a written migration plan by 2028, highest-priority migrations from 2028 to 2031, and completion by 2035. The European coordinated roadmap sets national roadmaps by the end of 2026, high-risk use cases including critical financial infrastructure by the end of 2030, and full transition so far as feasible by 2035. The G7 Cyber Expert Group roadmap of January 2026 targets 2030 to 2032 for critical financial systems, and Singapore, Hong Kong and the United States have each moved from advisory guidance to structured assessment or dated obligation.</w:t>
      </w:r>
      <w:r w:rsidDel="00000000" w:rsidR="00000000" w:rsidRPr="00000000">
        <w:rPr>
          <w:vertAlign w:val="superscript"/>
        </w:rPr>
        <w:footnoteReference w:customMarkFollows="0" w:id="13"/>
      </w:r>
      <w:r w:rsidDel="00000000" w:rsidR="00000000" w:rsidRPr="00000000">
        <w:rPr>
          <w:rtl w:val="0"/>
        </w:rPr>
      </w:r>
    </w:p>
    <w:p w:rsidR="00000000" w:rsidDel="00000000" w:rsidP="00000000" w:rsidRDefault="00000000" w:rsidRPr="00000000" w14:paraId="00000067">
      <w:pPr>
        <w:spacing w:after="140" w:line="276" w:lineRule="auto"/>
        <w:rPr/>
      </w:pPr>
      <w:r w:rsidDel="00000000" w:rsidR="00000000" w:rsidRPr="00000000">
        <w:rPr>
          <w:color w:val="1f2933"/>
          <w:sz w:val="21"/>
          <w:szCs w:val="21"/>
          <w:rtl w:val="0"/>
        </w:rPr>
        <w:t xml:space="preserve">Australia has a target date of December 2030 and industry momentum, which the Payments System Board reaffirmed in June 2026 while broadening its focus to system-wide cryptographic issues beyond card payments. What Australia does not have is a published discovery expectation, a common inventory convention, or a way to measure whether the target will be met. A date without an inventory is an aspiration.</w:t>
      </w:r>
      <w:r w:rsidDel="00000000" w:rsidR="00000000" w:rsidRPr="00000000">
        <w:rPr>
          <w:rtl w:val="0"/>
        </w:rPr>
      </w:r>
    </w:p>
    <w:p w:rsidR="00000000" w:rsidDel="00000000" w:rsidP="00000000" w:rsidRDefault="00000000" w:rsidRPr="00000000" w14:paraId="00000068">
      <w:pPr>
        <w:pStyle w:val="Heading2"/>
        <w:keepNext w:val="1"/>
        <w:spacing w:after="100" w:before="240" w:lineRule="auto"/>
        <w:rPr/>
      </w:pPr>
      <w:r w:rsidDel="00000000" w:rsidR="00000000" w:rsidRPr="00000000">
        <w:rPr>
          <w:b w:val="1"/>
          <w:bCs w:val="1"/>
          <w:color w:val="0f2a47"/>
          <w:sz w:val="23"/>
          <w:szCs w:val="23"/>
          <w:rtl w:val="0"/>
        </w:rPr>
        <w:t xml:space="preserve">9.2 Two programs that are being conflated</w:t>
      </w:r>
      <w:r w:rsidDel="00000000" w:rsidR="00000000" w:rsidRPr="00000000">
        <w:rPr>
          <w:rtl w:val="0"/>
        </w:rPr>
      </w:r>
    </w:p>
    <w:p w:rsidR="00000000" w:rsidDel="00000000" w:rsidP="00000000" w:rsidRDefault="00000000" w:rsidRPr="00000000" w14:paraId="00000069">
      <w:pPr>
        <w:spacing w:after="140" w:line="276" w:lineRule="auto"/>
        <w:rPr/>
      </w:pPr>
      <w:r w:rsidDel="00000000" w:rsidR="00000000" w:rsidRPr="00000000">
        <w:rPr>
          <w:color w:val="1f2933"/>
          <w:sz w:val="21"/>
          <w:szCs w:val="21"/>
          <w:rtl w:val="0"/>
        </w:rPr>
        <w:t xml:space="preserve">The AES migration program covering the terminal and ATM estate is a symmetric key uplift. It is necessary, it is large, and it is not the post-quantum migration. The quantum exposure sits in the asymmetric layer: key establishment, certificate hierarchies, code signing and transaction signing. Our members report that this distinction is not consistently understood, and the practical risk is an institution that completes the terminal program, reports its cryptographic uplift as delivered, and has not touched the layer quantum computing actually threatens.</w:t>
      </w:r>
      <w:r w:rsidDel="00000000" w:rsidR="00000000" w:rsidRPr="00000000">
        <w:rPr>
          <w:rtl w:val="0"/>
        </w:rPr>
      </w:r>
    </w:p>
    <w:p w:rsidR="00000000" w:rsidDel="00000000" w:rsidP="00000000" w:rsidRDefault="00000000" w:rsidRPr="00000000" w14:paraId="0000006A">
      <w:pPr>
        <w:spacing w:after="140" w:line="276" w:lineRule="auto"/>
        <w:rPr/>
      </w:pPr>
      <w:r w:rsidDel="00000000" w:rsidR="00000000" w:rsidRPr="00000000">
        <w:rPr>
          <w:color w:val="1f2933"/>
          <w:sz w:val="21"/>
          <w:szCs w:val="21"/>
          <w:rtl w:val="0"/>
        </w:rPr>
        <w:t xml:space="preserve">DECA recommends the Reserve Bank state expressly, in any material it publishes, that these are separate programs with separate completion criteria. That single clarification would do more for Australian readiness over the next twelve months than any new standard.</w:t>
      </w:r>
      <w:r w:rsidDel="00000000" w:rsidR="00000000" w:rsidRPr="00000000">
        <w:rPr>
          <w:rtl w:val="0"/>
        </w:rPr>
      </w:r>
    </w:p>
    <w:p w:rsidR="00000000" w:rsidDel="00000000" w:rsidP="00000000" w:rsidRDefault="00000000" w:rsidRPr="00000000" w14:paraId="0000006B">
      <w:pPr>
        <w:pStyle w:val="Heading2"/>
        <w:keepNext w:val="1"/>
        <w:spacing w:after="100" w:before="240" w:lineRule="auto"/>
        <w:rPr/>
      </w:pPr>
      <w:r w:rsidDel="00000000" w:rsidR="00000000" w:rsidRPr="00000000">
        <w:rPr>
          <w:b w:val="1"/>
          <w:bCs w:val="1"/>
          <w:color w:val="0f2a47"/>
          <w:sz w:val="23"/>
          <w:szCs w:val="23"/>
          <w:rtl w:val="0"/>
        </w:rPr>
        <w:t xml:space="preserve">9.3 Harvest now, decrypt later</w:t>
      </w:r>
      <w:r w:rsidDel="00000000" w:rsidR="00000000" w:rsidRPr="00000000">
        <w:rPr>
          <w:rtl w:val="0"/>
        </w:rPr>
      </w:r>
    </w:p>
    <w:p w:rsidR="00000000" w:rsidDel="00000000" w:rsidP="00000000" w:rsidRDefault="00000000" w:rsidRPr="00000000" w14:paraId="0000006C">
      <w:pPr>
        <w:spacing w:after="140" w:line="276" w:lineRule="auto"/>
        <w:rPr/>
      </w:pPr>
      <w:r w:rsidDel="00000000" w:rsidR="00000000" w:rsidRPr="00000000">
        <w:rPr>
          <w:color w:val="1f2933"/>
          <w:sz w:val="21"/>
          <w:szCs w:val="21"/>
          <w:rtl w:val="0"/>
        </w:rPr>
        <w:t xml:space="preserve">The exposure that cannot be deferred is data already in adversarial hands. Retained primary account numbers, long-retention transaction records and archived signed messages are all vulnerable to future decryption regardless of when migration completes. This connects directly to section 4: account number minimisation is not only a tokenisation objective, it is the most effective available quantum risk reduction measure, and it can be pursued now.</w:t>
      </w:r>
      <w:r w:rsidDel="00000000" w:rsidR="00000000" w:rsidRPr="00000000">
        <w:rPr>
          <w:rtl w:val="0"/>
        </w:rPr>
      </w:r>
    </w:p>
    <w:p w:rsidR="00000000" w:rsidDel="00000000" w:rsidP="00000000" w:rsidRDefault="00000000" w:rsidRPr="00000000" w14:paraId="0000006D">
      <w:pPr>
        <w:pStyle w:val="Heading2"/>
        <w:keepNext w:val="1"/>
        <w:spacing w:after="100" w:before="240" w:lineRule="auto"/>
        <w:rPr/>
      </w:pPr>
      <w:r w:rsidDel="00000000" w:rsidR="00000000" w:rsidRPr="00000000">
        <w:rPr>
          <w:b w:val="1"/>
          <w:bCs w:val="1"/>
          <w:color w:val="0f2a47"/>
          <w:sz w:val="23"/>
          <w:szCs w:val="23"/>
          <w:rtl w:val="0"/>
        </w:rPr>
        <w:t xml:space="preserve">9.4 What the Reserve Bank should and should not do</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Coordinate, do not duplicate.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The clear preference of our members is that the Reserve Bank convene and sequence rather than issue a parallel standard. APRA's information security requirements already oblige regulated entities to maintain capability commensurate with the threat environment, and the Australian Signals Directorate holds the technical mandate.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superscript"/>
        </w:rPr>
        <w:footnoteReference w:customMarkFollows="0" w:id="14"/>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 third set of expectations would consume scarce specialist capacity without improving outcomes.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Set a discovery milestone.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 cryptographic inventory expectation for Australian payments system participants, with a stated date consistent with the 2028 discovery milestone used elsewhere, would convert the 2030 target into a plan.</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Publish a common inventory convention.</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 shared cryptographic bill of materials format would allow uplift to be measured across the system rather than asserted institution by institution.</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Draw on non-bank expertise.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DECA offers to convene a technical contribution from members with production post-quantum, key management and cryptographic agility experience, through a working group or as input to the Reserve Bank's own technical work.</w:t>
      </w:r>
    </w:p>
    <w:p w:rsidR="00000000" w:rsidDel="00000000" w:rsidP="00000000" w:rsidRDefault="00000000" w:rsidRPr="00000000" w14:paraId="00000072">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10. Card-not-present fraud at overseas merchants (Q18)</w:t>
      </w:r>
      <w:r w:rsidDel="00000000" w:rsidR="00000000" w:rsidRPr="00000000">
        <w:rPr>
          <w:rtl w:val="0"/>
        </w:rPr>
      </w:r>
    </w:p>
    <w:p w:rsidR="00000000" w:rsidDel="00000000" w:rsidP="00000000" w:rsidRDefault="00000000" w:rsidRPr="00000000" w14:paraId="00000073">
      <w:pPr>
        <w:spacing w:after="140" w:line="276" w:lineRule="auto"/>
        <w:rPr/>
      </w:pPr>
      <w:r w:rsidDel="00000000" w:rsidR="00000000" w:rsidRPr="00000000">
        <w:rPr>
          <w:color w:val="1f2933"/>
          <w:sz w:val="21"/>
          <w:szCs w:val="21"/>
          <w:rtl w:val="0"/>
        </w:rPr>
        <w:t xml:space="preserve">DECA supports the Reserve Bank considering an issuer-side strong customer authentication requirement for card-not-present transactions at overseas merchants, subject to two qualifications.</w:t>
      </w:r>
      <w:r w:rsidDel="00000000" w:rsidR="00000000" w:rsidRPr="00000000">
        <w:rPr>
          <w:rtl w:val="0"/>
        </w:rPr>
      </w:r>
    </w:p>
    <w:p w:rsidR="00000000" w:rsidDel="00000000" w:rsidP="00000000" w:rsidRDefault="00000000" w:rsidRPr="00000000" w14:paraId="00000074">
      <w:pPr>
        <w:spacing w:after="140" w:line="276" w:lineRule="auto"/>
        <w:rPr/>
      </w:pPr>
      <w:r w:rsidDel="00000000" w:rsidR="00000000" w:rsidRPr="00000000">
        <w:rPr>
          <w:color w:val="1f2933"/>
          <w:sz w:val="21"/>
          <w:szCs w:val="21"/>
          <w:rtl w:val="0"/>
        </w:rPr>
        <w:t xml:space="preserve">The first is that Australia is an outlier. The European framework has required strong customer authentication since 2019, with risk-based exemptions, and the United Kingdom applies an equivalent requirement.</w:t>
      </w:r>
      <w:r w:rsidDel="00000000" w:rsidR="00000000" w:rsidRPr="00000000">
        <w:rPr>
          <w:vertAlign w:val="superscript"/>
        </w:rPr>
        <w:footnoteReference w:customMarkFollows="0" w:id="15"/>
      </w:r>
      <w:r w:rsidDel="00000000" w:rsidR="00000000" w:rsidRPr="00000000">
        <w:rPr>
          <w:color w:val="1f2933"/>
          <w:sz w:val="21"/>
          <w:szCs w:val="21"/>
          <w:rtl w:val="0"/>
        </w:rPr>
        <w:t xml:space="preserve"> Australia's domestic framework has worked well within its perimeter and does not reach the offshore leg, which is where the concentration of fraud now sits.</w:t>
      </w:r>
      <w:r w:rsidDel="00000000" w:rsidR="00000000" w:rsidRPr="00000000">
        <w:rPr>
          <w:rtl w:val="0"/>
        </w:rPr>
      </w:r>
    </w:p>
    <w:p w:rsidR="00000000" w:rsidDel="00000000" w:rsidP="00000000" w:rsidRDefault="00000000" w:rsidRPr="00000000" w14:paraId="00000075">
      <w:pPr>
        <w:spacing w:after="140" w:line="276" w:lineRule="auto"/>
        <w:rPr/>
      </w:pPr>
      <w:r w:rsidDel="00000000" w:rsidR="00000000" w:rsidRPr="00000000">
        <w:rPr>
          <w:color w:val="1f2933"/>
          <w:sz w:val="21"/>
          <w:szCs w:val="21"/>
          <w:rtl w:val="0"/>
        </w:rPr>
        <w:t xml:space="preserve">The second is that authentication is not free. Introduced without calibration, it produces false declines, abandoned transactions and displaced fraud rather than prevented fraud. DECA recommends that any expectation be paired with published outcome metrics covering both the fraud rate and the false decline rate, rather than a compliance-only test, and that risk-based exemptions be available on the European model so authentication is applied where the risk is, not uniformly.</w:t>
      </w:r>
      <w:r w:rsidDel="00000000" w:rsidR="00000000" w:rsidRPr="00000000">
        <w:rPr>
          <w:rtl w:val="0"/>
        </w:rPr>
      </w:r>
    </w:p>
    <w:p w:rsidR="00000000" w:rsidDel="00000000" w:rsidP="00000000" w:rsidRDefault="00000000" w:rsidRPr="00000000" w14:paraId="00000076">
      <w:pPr>
        <w:spacing w:after="140" w:line="276" w:lineRule="auto"/>
        <w:rPr/>
      </w:pPr>
      <w:r w:rsidDel="00000000" w:rsidR="00000000" w:rsidRPr="00000000">
        <w:rPr>
          <w:color w:val="1f2933"/>
          <w:sz w:val="21"/>
          <w:szCs w:val="21"/>
          <w:rtl w:val="0"/>
        </w:rPr>
        <w:t xml:space="preserve">Our members have a direct interest here worth stating. Digital asset businesses are frequently the destination for scam and fraud proceeds and carry reputational and banking consequences for losses they did not cause and could not have prevented. Stronger authentication upstream reduces both the harm and the downstream de-risking pressure our members face. We would also encourage the Reserve Bank to begin disaggregating agent-initiated transactions within fraud reporting, for the reasons given at section 5.2.</w:t>
      </w:r>
      <w:r w:rsidDel="00000000" w:rsidR="00000000" w:rsidRPr="00000000">
        <w:rPr>
          <w:rtl w:val="0"/>
        </w:rPr>
      </w:r>
    </w:p>
    <w:p w:rsidR="00000000" w:rsidDel="00000000" w:rsidP="00000000" w:rsidRDefault="00000000" w:rsidRPr="00000000" w14:paraId="00000077">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11. Other issues: digital assets, stablecoins and regulatory coherence (Q19)</w:t>
      </w:r>
      <w:r w:rsidDel="00000000" w:rsidR="00000000" w:rsidRPr="00000000">
        <w:rPr>
          <w:rtl w:val="0"/>
        </w:rPr>
      </w:r>
    </w:p>
    <w:p w:rsidR="00000000" w:rsidDel="00000000" w:rsidP="00000000" w:rsidRDefault="00000000" w:rsidRPr="00000000" w14:paraId="00000078">
      <w:pPr>
        <w:pStyle w:val="Heading2"/>
        <w:keepNext w:val="1"/>
        <w:spacing w:after="100" w:before="240" w:lineRule="auto"/>
        <w:rPr/>
      </w:pPr>
      <w:r w:rsidDel="00000000" w:rsidR="00000000" w:rsidRPr="00000000">
        <w:rPr>
          <w:b w:val="1"/>
          <w:bCs w:val="1"/>
          <w:color w:val="0f2a47"/>
          <w:sz w:val="23"/>
          <w:szCs w:val="23"/>
          <w:rtl w:val="0"/>
        </w:rPr>
        <w:t xml:space="preserve">11.1 Coherence across four simultaneous regimes</w:t>
      </w:r>
      <w:r w:rsidDel="00000000" w:rsidR="00000000" w:rsidRPr="00000000">
        <w:rPr>
          <w:rtl w:val="0"/>
        </w:rPr>
      </w:r>
    </w:p>
    <w:p w:rsidR="00000000" w:rsidDel="00000000" w:rsidP="00000000" w:rsidRDefault="00000000" w:rsidRPr="00000000" w14:paraId="00000079">
      <w:pPr>
        <w:spacing w:after="140" w:line="276" w:lineRule="auto"/>
        <w:rPr/>
      </w:pPr>
      <w:r w:rsidDel="00000000" w:rsidR="00000000" w:rsidRPr="00000000">
        <w:rPr>
          <w:color w:val="1f2933"/>
          <w:sz w:val="21"/>
          <w:szCs w:val="21"/>
          <w:rtl w:val="0"/>
        </w:rPr>
        <w:t xml:space="preserve">The expanded PSRA perimeter now reaches crypto asset payment facilitators and stablecoin payment platforms. Those same businesses are simultaneously subject to, or preparing for, the following.</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Treasury's payments licensing reforms, which create stored value facilities and tokenised stored value facilities as regulated payment products under Chapter 7 of the Corporations Act and introduce new payment service categories, with access regimes and industry standards deferred to a later tranche.</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APRA's prudential regime for major stored value facility providers above the group threshold, together with the classification of stablecoins as tokenised stored value facilities.</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ASIC's digital asset platform and tokenised custody platform licensing framework, with the transitional no-action position running to 30 September 2026.</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AUSTRAC's reformed AML/CTF regime, including the Travel Rule in force since 1 July 2026.</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superscript"/>
        </w:rPr>
        <w:footnoteReference w:customMarkFollows="0" w:id="16"/>
      </w:r>
      <w:r w:rsidDel="00000000" w:rsidR="00000000" w:rsidRPr="00000000">
        <w:rPr>
          <w:rtl w:val="0"/>
        </w:rPr>
      </w:r>
    </w:p>
    <w:p w:rsidR="00000000" w:rsidDel="00000000" w:rsidP="00000000" w:rsidRDefault="00000000" w:rsidRPr="00000000" w14:paraId="0000007E">
      <w:pPr>
        <w:spacing w:after="140" w:line="276" w:lineRule="auto"/>
        <w:rPr/>
      </w:pPr>
      <w:r w:rsidDel="00000000" w:rsidR="00000000" w:rsidRPr="00000000">
        <w:rPr>
          <w:color w:val="1f2933"/>
          <w:sz w:val="21"/>
          <w:szCs w:val="21"/>
          <w:rtl w:val="0"/>
        </w:rPr>
        <w:t xml:space="preserve">Four regulators, four commencement timetables, overlapping definitions of substantially the same products. DECA is not asking the Reserve Bank to resolve this. We are asking it to make its own position legible.</w:t>
      </w: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b0873a" w:space="0" w:sz="18" w:val="single"/>
              <w:bottom w:color="000000" w:space="0" w:sz="0" w:val="nil"/>
              <w:right w:color="000000" w:space="0" w:sz="0" w:val="nil"/>
            </w:tcBorders>
            <w:shd w:fill="f2f5f8" w:val="clear"/>
            <w:tcMar>
              <w:top w:w="170.0" w:type="dxa"/>
              <w:left w:w="220.0" w:type="dxa"/>
              <w:bottom w:w="170.0" w:type="dxa"/>
              <w:right w:w="220.0" w:type="dxa"/>
            </w:tcMar>
            <w:vAlign w:val="top"/>
          </w:tcPr>
          <w:p w:rsidR="00000000" w:rsidDel="00000000" w:rsidP="00000000" w:rsidRDefault="00000000" w:rsidRPr="00000000" w14:paraId="0000007F">
            <w:pPr>
              <w:spacing w:after="0" w:line="276" w:lineRule="auto"/>
              <w:rPr/>
            </w:pPr>
            <w:r w:rsidDel="00000000" w:rsidR="00000000" w:rsidRPr="00000000">
              <w:rPr>
                <w:b w:val="1"/>
                <w:bCs w:val="1"/>
                <w:color w:val="1f2933"/>
                <w:sz w:val="20"/>
                <w:szCs w:val="20"/>
                <w:rtl w:val="0"/>
              </w:rPr>
              <w:t xml:space="preserve">Recommendation.</w:t>
            </w:r>
            <w:r w:rsidDel="00000000" w:rsidR="00000000" w:rsidRPr="00000000">
              <w:rPr>
                <w:color w:val="1f2933"/>
                <w:sz w:val="20"/>
                <w:szCs w:val="20"/>
                <w:rtl w:val="0"/>
              </w:rPr>
              <w:t xml:space="preserve"> Alongside the priority list due by the end of 2026, the Reserve Bank should publish a short mapping of which issues it proposes to address using PSRA powers, which it considers better addressed by Treasury, APRA, ASIC or AUSTRAC, and which it considers suitable for industry self-regulation. A prioritisation list without that mapping tells industry what the Reserve Bank cares about but not what it intends to do about it, and invites duplicated compliance investment against four moving regimes.</w:t>
            </w:r>
            <w:r w:rsidDel="00000000" w:rsidR="00000000" w:rsidRPr="00000000">
              <w:rPr>
                <w:rtl w:val="0"/>
              </w:rPr>
            </w:r>
          </w:p>
        </w:tc>
      </w:tr>
    </w:tbl>
    <w:p w:rsidR="00000000" w:rsidDel="00000000" w:rsidP="00000000" w:rsidRDefault="00000000" w:rsidRPr="00000000" w14:paraId="00000080">
      <w:pPr>
        <w:pStyle w:val="Heading2"/>
        <w:keepNext w:val="1"/>
        <w:spacing w:after="100" w:before="240" w:lineRule="auto"/>
        <w:rPr/>
      </w:pPr>
      <w:r w:rsidDel="00000000" w:rsidR="00000000" w:rsidRPr="00000000">
        <w:rPr>
          <w:b w:val="1"/>
          <w:bCs w:val="1"/>
          <w:color w:val="0f2a47"/>
          <w:sz w:val="23"/>
          <w:szCs w:val="23"/>
          <w:rtl w:val="0"/>
        </w:rPr>
        <w:t xml:space="preserve">11.2 Functional equivalence between deposit tokens and stablecoins</w:t>
      </w:r>
      <w:r w:rsidDel="00000000" w:rsidR="00000000" w:rsidRPr="00000000">
        <w:rPr>
          <w:rtl w:val="0"/>
        </w:rPr>
      </w:r>
    </w:p>
    <w:p w:rsidR="00000000" w:rsidDel="00000000" w:rsidP="00000000" w:rsidRDefault="00000000" w:rsidRPr="00000000" w14:paraId="00000081">
      <w:pPr>
        <w:spacing w:after="140" w:line="276" w:lineRule="auto"/>
        <w:rPr/>
      </w:pPr>
      <w:r w:rsidDel="00000000" w:rsidR="00000000" w:rsidRPr="00000000">
        <w:rPr>
          <w:color w:val="1f2933"/>
          <w:sz w:val="21"/>
          <w:szCs w:val="21"/>
          <w:rtl w:val="0"/>
        </w:rPr>
        <w:t xml:space="preserve">The post-Acacia work stream on deposit tokens has recommended, among other things, that deposit tokens be prescribed as not being virtual assets for AML/CTF purposes. DECA takes no position on the merits of deposit tokens, which several of our members are building. We do take a position on the method. Two instruments performing the same payment function, carrying comparable transfer characteristics and presenting comparable financial crime typologies should not sit on opposite sides of a regulatory perimeter because of the identity of the issuer.</w:t>
      </w:r>
      <w:r w:rsidDel="00000000" w:rsidR="00000000" w:rsidRPr="00000000">
        <w:rPr>
          <w:rtl w:val="0"/>
        </w:rPr>
      </w:r>
    </w:p>
    <w:p w:rsidR="00000000" w:rsidDel="00000000" w:rsidP="00000000" w:rsidRDefault="00000000" w:rsidRPr="00000000" w14:paraId="00000082">
      <w:pPr>
        <w:spacing w:after="140" w:line="276" w:lineRule="auto"/>
        <w:rPr/>
      </w:pPr>
      <w:r w:rsidDel="00000000" w:rsidR="00000000" w:rsidRPr="00000000">
        <w:rPr>
          <w:color w:val="1f2933"/>
          <w:sz w:val="21"/>
          <w:szCs w:val="21"/>
          <w:rtl w:val="0"/>
        </w:rPr>
        <w:t xml:space="preserve">If that asymmetry is adopted, tokenised deposits will sit outside obligations stablecoin issuers are currently investing heavily to meet. That is a competition outcome, produced by regulatory design, in a market the Reserve Bank supervises. It belongs on the Reserve Bank's radar under Q19 even though the instruments are regulated primarily by other agencies.</w:t>
      </w:r>
      <w:r w:rsidDel="00000000" w:rsidR="00000000" w:rsidRPr="00000000">
        <w:rPr>
          <w:rtl w:val="0"/>
        </w:rPr>
      </w:r>
    </w:p>
    <w:p w:rsidR="00000000" w:rsidDel="00000000" w:rsidP="00000000" w:rsidRDefault="00000000" w:rsidRPr="00000000" w14:paraId="00000083">
      <w:pPr>
        <w:pStyle w:val="Heading2"/>
        <w:keepNext w:val="1"/>
        <w:spacing w:after="100" w:before="240" w:lineRule="auto"/>
        <w:rPr/>
      </w:pPr>
      <w:r w:rsidDel="00000000" w:rsidR="00000000" w:rsidRPr="00000000">
        <w:rPr>
          <w:b w:val="1"/>
          <w:bCs w:val="1"/>
          <w:color w:val="0f2a47"/>
          <w:sz w:val="23"/>
          <w:szCs w:val="23"/>
          <w:rtl w:val="0"/>
        </w:rPr>
        <w:t xml:space="preserve">11.3 Cross-border payments</w:t>
      </w:r>
      <w:r w:rsidDel="00000000" w:rsidR="00000000" w:rsidRPr="00000000">
        <w:rPr>
          <w:rtl w:val="0"/>
        </w:rPr>
      </w:r>
    </w:p>
    <w:p w:rsidR="00000000" w:rsidDel="00000000" w:rsidP="00000000" w:rsidRDefault="00000000" w:rsidRPr="00000000" w14:paraId="00000084">
      <w:pPr>
        <w:spacing w:after="140" w:line="276" w:lineRule="auto"/>
        <w:rPr/>
      </w:pPr>
      <w:r w:rsidDel="00000000" w:rsidR="00000000" w:rsidRPr="00000000">
        <w:rPr>
          <w:color w:val="1f2933"/>
          <w:sz w:val="21"/>
          <w:szCs w:val="21"/>
          <w:rtl w:val="0"/>
        </w:rPr>
        <w:t xml:space="preserve">Cross-border payments remain the clearest case where digital asset infrastructure offers measurable improvement against published targets rather than speculative benefit. The G20 targets for cost, speed and access are not being met on most corridors served by Australian businesses. Australia is already a participant in the leading central bank work on programmable compliance, through Project Mandala with the BIS Innovation Hub Singapore Centre and regional central bank partners, now in a second phase.</w:t>
      </w:r>
      <w:r w:rsidDel="00000000" w:rsidR="00000000" w:rsidRPr="00000000">
        <w:rPr>
          <w:vertAlign w:val="superscript"/>
        </w:rPr>
        <w:footnoteReference w:customMarkFollows="0" w:id="17"/>
      </w:r>
      <w:r w:rsidDel="00000000" w:rsidR="00000000" w:rsidRPr="00000000">
        <w:rPr>
          <w:color w:val="1f2933"/>
          <w:sz w:val="21"/>
          <w:szCs w:val="21"/>
          <w:rtl w:val="0"/>
        </w:rPr>
        <w:t xml:space="preserve"> That work demonstrates that compliance checks can be embedded in the transaction protocol rather than performed serially by correspondent institutions, which is precisely where cross-border cost and delay accumulate.</w:t>
      </w:r>
      <w:r w:rsidDel="00000000" w:rsidR="00000000" w:rsidRPr="00000000">
        <w:rPr>
          <w:rtl w:val="0"/>
        </w:rPr>
      </w:r>
    </w:p>
    <w:p w:rsidR="00000000" w:rsidDel="00000000" w:rsidP="00000000" w:rsidRDefault="00000000" w:rsidRPr="00000000" w14:paraId="00000085">
      <w:pPr>
        <w:spacing w:after="140" w:line="276" w:lineRule="auto"/>
        <w:rPr/>
      </w:pPr>
      <w:r w:rsidDel="00000000" w:rsidR="00000000" w:rsidRPr="00000000">
        <w:rPr>
          <w:color w:val="1f2933"/>
          <w:sz w:val="21"/>
          <w:szCs w:val="21"/>
          <w:rtl w:val="0"/>
        </w:rPr>
        <w:t xml:space="preserve">DECA recommends the Reserve Bank name cross-border efficiency as a priority issue and treat programmable compliance and tokenised settlement as candidate infrastructure rather than as a risk category. We note, as a cautionary comparator, that Brazil has moved in the opposite direction, prohibiting electronic foreign exchange providers from using stablecoins to settle cross-border payments from October 2026 in a market where stablecoins reportedly account for the large majority of crypto volume.</w:t>
      </w:r>
      <w:r w:rsidDel="00000000" w:rsidR="00000000" w:rsidRPr="00000000">
        <w:rPr>
          <w:vertAlign w:val="superscript"/>
        </w:rPr>
        <w:footnoteReference w:customMarkFollows="0" w:id="18"/>
      </w:r>
      <w:r w:rsidDel="00000000" w:rsidR="00000000" w:rsidRPr="00000000">
        <w:rPr>
          <w:color w:val="1f2933"/>
          <w:sz w:val="21"/>
          <w:szCs w:val="21"/>
          <w:rtl w:val="0"/>
        </w:rPr>
        <w:t xml:space="preserve"> Foreclosing a settlement rail before the evidence is assembled is a policy choice with its own costs.</w:t>
      </w:r>
      <w:r w:rsidDel="00000000" w:rsidR="00000000" w:rsidRPr="00000000">
        <w:rPr>
          <w:rtl w:val="0"/>
        </w:rPr>
      </w:r>
    </w:p>
    <w:p w:rsidR="00000000" w:rsidDel="00000000" w:rsidP="00000000" w:rsidRDefault="00000000" w:rsidRPr="00000000" w14:paraId="00000086">
      <w:pPr>
        <w:pStyle w:val="Heading3"/>
        <w:keepNext w:val="1"/>
        <w:spacing w:after="80" w:before="180" w:lineRule="auto"/>
        <w:rPr/>
      </w:pPr>
      <w:r w:rsidDel="00000000" w:rsidR="00000000" w:rsidRPr="00000000">
        <w:rPr>
          <w:b w:val="1"/>
          <w:bCs w:val="1"/>
          <w:i w:val="1"/>
          <w:iCs w:val="1"/>
          <w:color w:val="56616e"/>
          <w:sz w:val="21"/>
          <w:szCs w:val="21"/>
          <w:rtl w:val="0"/>
        </w:rPr>
        <w:t xml:space="preserve">A concrete cross-border friction</w:t>
      </w:r>
      <w:r w:rsidDel="00000000" w:rsidR="00000000" w:rsidRPr="00000000">
        <w:rPr>
          <w:rtl w:val="0"/>
        </w:rPr>
      </w:r>
    </w:p>
    <w:p w:rsidR="00000000" w:rsidDel="00000000" w:rsidP="00000000" w:rsidRDefault="00000000" w:rsidRPr="00000000" w14:paraId="00000087">
      <w:pPr>
        <w:spacing w:after="140" w:line="276" w:lineRule="auto"/>
        <w:rPr/>
      </w:pPr>
      <w:r w:rsidDel="00000000" w:rsidR="00000000" w:rsidRPr="00000000">
        <w:rPr>
          <w:color w:val="1f2933"/>
          <w:sz w:val="21"/>
          <w:szCs w:val="21"/>
          <w:rtl w:val="0"/>
        </w:rPr>
        <w:t xml:space="preserve">DECA offers one specific piece of evidence from its own regulatory engagement. Under the Travel Rule now in force, an Australian virtual asset service provider must identify and communicate with its counterparty at another provider. The AUSTRAC register confirms registration but publishes no reachable compliance contact, so members have been unable to complete required verification with counterparties they can see are registered. DECA raised this with AUSTRAC in July 2026. It is a small example of a general pattern the Reserve Bank should expect to encounter: compliance obligations designed at the level of the institution, implemented without the discoverability infrastructure the obligation actually requires. Programmable compliance work of the Mandala kind is the structural answer.</w:t>
      </w:r>
      <w:r w:rsidDel="00000000" w:rsidR="00000000" w:rsidRPr="00000000">
        <w:rPr>
          <w:rtl w:val="0"/>
        </w:rPr>
      </w:r>
    </w:p>
    <w:p w:rsidR="00000000" w:rsidDel="00000000" w:rsidP="00000000" w:rsidRDefault="00000000" w:rsidRPr="00000000" w14:paraId="00000088">
      <w:pPr>
        <w:pStyle w:val="Heading2"/>
        <w:keepNext w:val="1"/>
        <w:spacing w:after="100" w:before="240" w:lineRule="auto"/>
        <w:rPr/>
      </w:pPr>
      <w:r w:rsidDel="00000000" w:rsidR="00000000" w:rsidRPr="00000000">
        <w:rPr>
          <w:b w:val="1"/>
          <w:bCs w:val="1"/>
          <w:color w:val="0f2a47"/>
          <w:sz w:val="23"/>
          <w:szCs w:val="23"/>
          <w:rtl w:val="0"/>
        </w:rPr>
        <w:t xml:space="preserve">11.4 Machine and agent operated wallets</w:t>
      </w:r>
      <w:r w:rsidDel="00000000" w:rsidR="00000000" w:rsidRPr="00000000">
        <w:rPr>
          <w:rtl w:val="0"/>
        </w:rPr>
      </w:r>
    </w:p>
    <w:p w:rsidR="00000000" w:rsidDel="00000000" w:rsidP="00000000" w:rsidRDefault="00000000" w:rsidRPr="00000000" w14:paraId="00000089">
      <w:pPr>
        <w:spacing w:after="140" w:line="276" w:lineRule="auto"/>
        <w:rPr/>
      </w:pPr>
      <w:r w:rsidDel="00000000" w:rsidR="00000000" w:rsidRPr="00000000">
        <w:rPr>
          <w:color w:val="1f2933"/>
          <w:sz w:val="21"/>
          <w:szCs w:val="21"/>
          <w:rtl w:val="0"/>
        </w:rPr>
        <w:t xml:space="preserve">Australian payments law assumes a natural or legal person behind every account and every authorisation. Agent-operated wallets, autonomous treasury operations and machine-to-machine settlement do not fit that assumption cleanly, and the stored value facility and account holder constructs in the current exposure draft were not designed with them in mind. DECA does not suggest this is urgent enough to warrant a rule. We suggest it is exactly the kind of issue that should appear on a prioritisation list as an item to monitor, with definitional work coordinated with Treasury before the later tranche rather than after it.</w:t>
      </w:r>
      <w:r w:rsidDel="00000000" w:rsidR="00000000" w:rsidRPr="00000000">
        <w:rPr>
          <w:rtl w:val="0"/>
        </w:rPr>
      </w:r>
    </w:p>
    <w:p w:rsidR="00000000" w:rsidDel="00000000" w:rsidP="00000000" w:rsidRDefault="00000000" w:rsidRPr="00000000" w14:paraId="0000008A">
      <w:pPr>
        <w:pStyle w:val="Heading2"/>
        <w:keepNext w:val="1"/>
        <w:spacing w:after="100" w:before="240" w:lineRule="auto"/>
        <w:rPr/>
      </w:pPr>
      <w:r w:rsidDel="00000000" w:rsidR="00000000" w:rsidRPr="00000000">
        <w:rPr>
          <w:b w:val="1"/>
          <w:bCs w:val="1"/>
          <w:color w:val="0f2a47"/>
          <w:sz w:val="23"/>
          <w:szCs w:val="23"/>
          <w:rtl w:val="0"/>
        </w:rPr>
        <w:t xml:space="preserve">11.5 The economic case</w:t>
      </w:r>
      <w:r w:rsidDel="00000000" w:rsidR="00000000" w:rsidRPr="00000000">
        <w:rPr>
          <w:rtl w:val="0"/>
        </w:rPr>
      </w:r>
    </w:p>
    <w:p w:rsidR="00000000" w:rsidDel="00000000" w:rsidP="00000000" w:rsidRDefault="00000000" w:rsidRPr="00000000" w14:paraId="0000008B">
      <w:pPr>
        <w:spacing w:after="140" w:line="276" w:lineRule="auto"/>
        <w:rPr/>
      </w:pPr>
      <w:r w:rsidDel="00000000" w:rsidR="00000000" w:rsidRPr="00000000">
        <w:rPr>
          <w:color w:val="1f2933"/>
          <w:sz w:val="21"/>
          <w:szCs w:val="21"/>
          <w:rtl w:val="0"/>
        </w:rPr>
        <w:t xml:space="preserve">DECA's 2026 Proactive Policy Paper, delivered to Parliament in May 2026, is anchored to modelling estimating the tokenisation and digital finance opportunity for Australia at approximately A$24 billion a year, of which only a small fraction is realised on the current trajectory.</w:t>
      </w:r>
      <w:r w:rsidDel="00000000" w:rsidR="00000000" w:rsidRPr="00000000">
        <w:rPr>
          <w:vertAlign w:val="superscript"/>
        </w:rPr>
        <w:footnoteReference w:customMarkFollows="0" w:id="19"/>
      </w:r>
      <w:r w:rsidDel="00000000" w:rsidR="00000000" w:rsidRPr="00000000">
        <w:rPr>
          <w:color w:val="1f2933"/>
          <w:sz w:val="21"/>
          <w:szCs w:val="21"/>
          <w:rtl w:val="0"/>
        </w:rPr>
        <w:t xml:space="preserve"> We put that figure forward not as a claim on the Reserve Bank's mandate, which is competition, efficiency and financial safety rather than industry development, but because efficiency gains of that order are directly relevant to how the Reserve Bank weighs the cost of regulatory delay against the cost of regulatory error.</w:t>
      </w:r>
      <w:r w:rsidDel="00000000" w:rsidR="00000000" w:rsidRPr="00000000">
        <w:rPr>
          <w:rtl w:val="0"/>
        </w:rPr>
      </w:r>
    </w:p>
    <w:p w:rsidR="00000000" w:rsidDel="00000000" w:rsidP="00000000" w:rsidRDefault="00000000" w:rsidRPr="00000000" w14:paraId="0000008C">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12. Issues DECA does not ask the Reserve Bank to prioritise</w:t>
      </w:r>
      <w:r w:rsidDel="00000000" w:rsidR="00000000" w:rsidRPr="00000000">
        <w:rPr>
          <w:rtl w:val="0"/>
        </w:rPr>
      </w:r>
    </w:p>
    <w:p w:rsidR="00000000" w:rsidDel="00000000" w:rsidP="00000000" w:rsidRDefault="00000000" w:rsidRPr="00000000" w14:paraId="0000008D">
      <w:pPr>
        <w:spacing w:after="140" w:line="276" w:lineRule="auto"/>
        <w:rPr/>
      </w:pPr>
      <w:r w:rsidDel="00000000" w:rsidR="00000000" w:rsidRPr="00000000">
        <w:rPr>
          <w:color w:val="1f2933"/>
          <w:sz w:val="21"/>
          <w:szCs w:val="21"/>
          <w:rtl w:val="0"/>
        </w:rPr>
        <w:t xml:space="preserve">The Reserve Bank asked whether there are issues that should not be prioritised, or where intervention risks doing more harm than good. DECA offers four.</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Parallel conduct regulation of buy now pay later.</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ASIC's credit regime is in place. The Reserve Bank's contribution should be confined to fee transparency and no-surcharge rules.</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Designation of digital asset payment arrangements under the PSRA while the licensing tranches remain incomplete.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Designation ahead of the Treasury and APRA frameworks would impose a perimeter on businesses that do not yet know which of three other perimeters they fall inside. Sequencing first, designation later if the evidence supports it.</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Mandating a single agentic payment protocol.</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The standards are unresolved internationally and Australia is not positioned to pick a winner. Interoperability principles yes, protocol selection no.</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76" w:lineRule="auto"/>
        <w:ind w:left="460" w:right="0" w:hanging="26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A retail central bank digital currency as a competition remedy.</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DECA takes no position on the merits of a retail CBDC and notes the Reserve Bank's own focus group findings of public indifference. We observe only that it should not be advanced as an answer to the access and competition problems identified in section 8, which have direct and available remedies that do not require it.</w:t>
      </w:r>
    </w:p>
    <w:p w:rsidR="00000000" w:rsidDel="00000000" w:rsidP="00000000" w:rsidRDefault="00000000" w:rsidRPr="00000000" w14:paraId="00000092">
      <w:pPr>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Consolidated recommendations</w:t>
      </w:r>
      <w:r w:rsidDel="00000000" w:rsidR="00000000" w:rsidRPr="00000000">
        <w:rPr>
          <w:rtl w:val="0"/>
        </w:rPr>
      </w:r>
    </w:p>
    <w:p w:rsidR="00000000" w:rsidDel="00000000" w:rsidP="00000000" w:rsidRDefault="00000000" w:rsidRPr="00000000" w14:paraId="00000094">
      <w:pPr>
        <w:spacing w:after="140" w:line="276" w:lineRule="auto"/>
        <w:rPr/>
      </w:pPr>
      <w:r w:rsidDel="00000000" w:rsidR="00000000" w:rsidRPr="00000000">
        <w:rPr>
          <w:color w:val="1f2933"/>
          <w:sz w:val="21"/>
          <w:szCs w:val="21"/>
          <w:rtl w:val="0"/>
        </w:rPr>
        <w:t xml:space="preserve">DECA recommends that the Reserve Bank of Australia:</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Prioritise access to payment systems and settlement</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as a first-order issue in its end-2026 priority list, encompassing direct participation eligibility for non-ADI payment service providers, indirect access terms, and Exchange Settlement Account eligibility.</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Bring forward the Exchange Settlement Account eligibility review</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rather than sequencing it behind passage of the payments licensing reforms, publish the criteria applicable to non-ADI issuers of tokenised stored value facilities, and consider an omnibus-style pooled settlement model as an interim measure.</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Treat de-banking as an access issue within the Reserve Bank's own mandate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assess whether the voluntary data collection program agreed in 2023 is producing usable data, and publish that assessment.</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Publish a regulatory coherence mapping</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alongside the priority list, identifying which issues the Reserve Bank will address using PSRA powers and which are better addressed by Treasury, APRA, ASIC, AUSTRAC or industry.</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Extend least-cost routing expectations to mobile wallet and online transactions</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drafted in channel-neutral and credential-neutral terms so they apply to wallet, tokenised and agent-initiated presentations of a dual-network credential.</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State now that routing transparency and merchant choice expectations apply to agent-initiated payments</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including that routing must not be determined solely by undisclosed commercial incentives paid to an agent operator.</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Identify agent-initiated transactions as a distinct category in payments and fraud data collection</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from the earliest practicable date, and map prompt injection as a distinct fraud typology rather than absorbing it into card-not-present reporting.</w:t>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Support interoperability of signed intent and mandate structures</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across competing agentic protocols, without mandating a protocol, and align that work with existing Australian verifiable credential initiatives.</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Establish an access expectation for device payment hardware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covering the contactless interface and host card emulation on non-discriminatory terms, and prohibit contract terms preventing disclosure of wallet fees or restricting competing payment methods, consistent with the position now settled in the European Economic Area.</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Make network token portability an express expectation</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and extend the porting Standard to cover tokens as well as merchant payment data, while continuing to press for primary account number minimisation.</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Distinguish card tokenisation from digital asset tokenisation expressly</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in published material, and consider stating portability principles at a level of generality covering wallet and agent credential portability.</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Ensure account-to-account standardisation work accommodates tokenised money and non-ADI stored value facilities as funding sources</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so the standards do not themselves become an access barrier.</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Adopt discovery-first sequencing for cryptographic uplift</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including a cryptographic inventory expectation with a stated date and a common cryptographic bill of materials convention, coordinating with APRA and the Australian Signals Directorate rather than issuing parallel standards.</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State expressly that the AES migration program and post-quantum migration are separate programs</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with separate completion criteria, and treat data retention minimisation as a quantum risk reduction measure available now.</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Pair any strong customer authentication expectation for overseas card-not-present transactions with published outcome metrics</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covering both fraud rates and false decline rates, and provide risk-based exemptions.</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Name cross-border payments efficiency as a priority issue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and treat programmable compliance and tokenised settlement as candidate infrastructure, building on Australia's existing participation in Project Mandala.</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Note the deposit token and stablecoin regulatory asymmetry as a competition issue</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within the Reserve Bank's remit, even where the instruments are regulated primarily by other agencies.</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30" w:before="0" w:line="276" w:lineRule="auto"/>
        <w:ind w:left="560" w:right="0" w:hanging="380"/>
        <w:jc w:val="left"/>
        <w:rPr/>
      </w:pPr>
      <w:r w:rsidDel="00000000" w:rsidR="00000000" w:rsidRPr="00000000">
        <w:rPr>
          <w:rFonts w:ascii="Calibri" w:cs="Calibri" w:eastAsia="Calibri" w:hAnsi="Calibri"/>
          <w:b w:val="1"/>
          <w:bCs w:val="1"/>
          <w:i w:val="0"/>
          <w:iCs w:val="0"/>
          <w:smallCaps w:val="0"/>
          <w:strike w:val="0"/>
          <w:color w:val="1f2933"/>
          <w:sz w:val="21"/>
          <w:szCs w:val="21"/>
          <w:u w:val="none"/>
          <w:shd w:fill="auto" w:val="clear"/>
          <w:vertAlign w:val="baseline"/>
          <w:rtl w:val="0"/>
        </w:rPr>
        <w:t xml:space="preserve">Add machine and agent operated wallets to the monitoring list</w:t>
      </w:r>
      <w:r w:rsidDel="00000000" w:rsidR="00000000" w:rsidRPr="00000000">
        <w:rPr>
          <w:rFonts w:ascii="Calibri" w:cs="Calibri" w:eastAsia="Calibri" w:hAnsi="Calibri"/>
          <w:b w:val="0"/>
          <w:bCs w:val="0"/>
          <w:i w:val="0"/>
          <w:iCs w:val="0"/>
          <w:smallCaps w:val="0"/>
          <w:strike w:val="0"/>
          <w:color w:val="1f2933"/>
          <w:sz w:val="21"/>
          <w:szCs w:val="21"/>
          <w:u w:val="none"/>
          <w:shd w:fill="auto" w:val="clear"/>
          <w:vertAlign w:val="baseline"/>
          <w:rtl w:val="0"/>
        </w:rPr>
        <w:t xml:space="preserve">, with definitional work coordinated with Treasury ahead of the later payments licensing tranche.</w:t>
      </w:r>
    </w:p>
    <w:p w:rsidR="00000000" w:rsidDel="00000000" w:rsidP="00000000" w:rsidRDefault="00000000" w:rsidRPr="00000000" w14:paraId="000000A7">
      <w:pPr>
        <w:pStyle w:val="Heading1"/>
        <w:keepNext w:val="1"/>
        <w:pBdr>
          <w:bottom w:color="b0873a" w:space="4" w:sz="6" w:val="single"/>
        </w:pBdr>
        <w:spacing w:after="150" w:before="340" w:lineRule="auto"/>
        <w:rPr/>
      </w:pPr>
      <w:r w:rsidDel="00000000" w:rsidR="00000000" w:rsidRPr="00000000">
        <w:rPr>
          <w:b w:val="1"/>
          <w:bCs w:val="1"/>
          <w:color w:val="0f2a47"/>
          <w:sz w:val="27"/>
          <w:szCs w:val="27"/>
          <w:rtl w:val="0"/>
        </w:rPr>
        <w:t xml:space="preserve">Closing</w:t>
      </w:r>
      <w:r w:rsidDel="00000000" w:rsidR="00000000" w:rsidRPr="00000000">
        <w:rPr>
          <w:rtl w:val="0"/>
        </w:rPr>
      </w:r>
    </w:p>
    <w:p w:rsidR="00000000" w:rsidDel="00000000" w:rsidP="00000000" w:rsidRDefault="00000000" w:rsidRPr="00000000" w14:paraId="000000A8">
      <w:pPr>
        <w:spacing w:after="140" w:line="276" w:lineRule="auto"/>
        <w:rPr/>
      </w:pPr>
      <w:r w:rsidDel="00000000" w:rsidR="00000000" w:rsidRPr="00000000">
        <w:rPr>
          <w:color w:val="1f2933"/>
          <w:sz w:val="21"/>
          <w:szCs w:val="21"/>
          <w:rtl w:val="0"/>
        </w:rPr>
        <w:t xml:space="preserve">DECA thanks the Reserve Bank for the opportunity to contribute and for the breadth of the Issues Paper, which engages seriously with developments many payments reviews have deferred. We recognise that this phase is about prioritisation rather than proposal, and we have written accordingly: with a ranked list, with evidence where we hold it, and with candour about where we do not.</w:t>
      </w:r>
      <w:r w:rsidDel="00000000" w:rsidR="00000000" w:rsidRPr="00000000">
        <w:rPr>
          <w:rtl w:val="0"/>
        </w:rPr>
      </w:r>
    </w:p>
    <w:p w:rsidR="00000000" w:rsidDel="00000000" w:rsidP="00000000" w:rsidRDefault="00000000" w:rsidRPr="00000000" w14:paraId="000000A9">
      <w:pPr>
        <w:spacing w:after="140" w:line="276" w:lineRule="auto"/>
        <w:rPr/>
      </w:pPr>
      <w:r w:rsidDel="00000000" w:rsidR="00000000" w:rsidRPr="00000000">
        <w:rPr>
          <w:color w:val="1f2933"/>
          <w:sz w:val="21"/>
          <w:szCs w:val="21"/>
          <w:rtl w:val="0"/>
        </w:rPr>
        <w:t xml:space="preserve">Our members build much of the infrastructure the Review contemplates, and several hold operational expertise, particularly in cryptography, settlement and agent-initiated payments, that is not otherwise well represented in the Australian payments policy conversation. DECA would welcome the opportunity to participate in the Reserve Bank's stakeholder engagement across August and September 2026, and to convene members for any technical work the Review requires.</w:t>
      </w:r>
      <w:r w:rsidDel="00000000" w:rsidR="00000000" w:rsidRPr="00000000">
        <w:rPr>
          <w:rtl w:val="0"/>
        </w:rPr>
      </w:r>
    </w:p>
    <w:p w:rsidR="00000000" w:rsidDel="00000000" w:rsidP="00000000" w:rsidRDefault="00000000" w:rsidRPr="00000000" w14:paraId="000000AA">
      <w:pPr>
        <w:spacing w:after="200" w:lineRule="auto"/>
        <w:rPr/>
      </w:pPr>
      <w:r w:rsidDel="00000000" w:rsidR="00000000" w:rsidRPr="00000000">
        <w:rPr>
          <w:rtl w:val="0"/>
        </w:rPr>
      </w:r>
    </w:p>
    <w:p w:rsidR="00000000" w:rsidDel="00000000" w:rsidP="00000000" w:rsidRDefault="00000000" w:rsidRPr="00000000" w14:paraId="000000AB">
      <w:pPr>
        <w:spacing w:after="60" w:lineRule="auto"/>
        <w:rPr/>
      </w:pPr>
      <w:r w:rsidDel="00000000" w:rsidR="00000000" w:rsidRPr="00000000">
        <w:rPr>
          <w:b w:val="1"/>
          <w:bCs w:val="1"/>
          <w:color w:val="0f2a47"/>
          <w:sz w:val="22"/>
          <w:szCs w:val="22"/>
          <w:rtl w:val="0"/>
        </w:rPr>
        <w:t xml:space="preserve">Digital Economy Council of Australia</w:t>
      </w:r>
      <w:r w:rsidDel="00000000" w:rsidR="00000000" w:rsidRPr="00000000">
        <w:rPr>
          <w:rtl w:val="0"/>
        </w:rPr>
      </w:r>
    </w:p>
    <w:p w:rsidR="00000000" w:rsidDel="00000000" w:rsidP="00000000" w:rsidRDefault="00000000" w:rsidRPr="00000000" w14:paraId="000000AC">
      <w:pPr>
        <w:spacing w:after="40" w:lineRule="auto"/>
        <w:rPr/>
      </w:pPr>
      <w:r w:rsidDel="00000000" w:rsidR="00000000" w:rsidRPr="00000000">
        <w:rPr>
          <w:color w:val="56616e"/>
          <w:sz w:val="20"/>
          <w:szCs w:val="20"/>
          <w:rtl w:val="0"/>
        </w:rPr>
        <w:t xml:space="preserve">7 August 2026</w:t>
      </w:r>
      <w:r w:rsidDel="00000000" w:rsidR="00000000" w:rsidRPr="00000000">
        <w:rPr>
          <w:rtl w:val="0"/>
        </w:rPr>
      </w:r>
    </w:p>
    <w:p w:rsidR="00000000" w:rsidDel="00000000" w:rsidP="00000000" w:rsidRDefault="00000000" w:rsidRPr="00000000" w14:paraId="000000AD">
      <w:pPr>
        <w:spacing w:after="0" w:lineRule="auto"/>
        <w:rPr/>
      </w:pPr>
      <w:r w:rsidDel="00000000" w:rsidR="00000000" w:rsidRPr="00000000">
        <w:rPr>
          <w:color w:val="56616e"/>
          <w:sz w:val="20"/>
          <w:szCs w:val="20"/>
          <w:rtl w:val="0"/>
        </w:rPr>
        <w:t xml:space="preserve">Contact: Alec O'Sullivan, Head of Operations  |  alec@deca.org.au</w:t>
      </w:r>
      <w:r w:rsidDel="00000000" w:rsidR="00000000" w:rsidRPr="00000000">
        <w:rPr>
          <w:rtl w:val="0"/>
        </w:rPr>
      </w:r>
    </w:p>
    <w:p w:rsidR="00000000" w:rsidDel="00000000" w:rsidP="00000000" w:rsidRDefault="00000000" w:rsidRPr="00000000" w14:paraId="000000AE">
      <w:pPr>
        <w:spacing w:after="240" w:lineRule="auto"/>
        <w:rPr/>
      </w:pP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5dce4" w:space="0" w:sz="18" w:val="single"/>
              <w:bottom w:color="000000" w:space="0" w:sz="0" w:val="nil"/>
              <w:right w:color="000000" w:space="0" w:sz="0" w:val="nil"/>
            </w:tcBorders>
            <w:shd w:fill="f7f8fa" w:val="clear"/>
            <w:tcMar>
              <w:top w:w="170.0" w:type="dxa"/>
              <w:left w:w="220.0" w:type="dxa"/>
              <w:bottom w:w="170.0" w:type="dxa"/>
              <w:right w:w="220.0" w:type="dxa"/>
            </w:tcMar>
            <w:vAlign w:val="top"/>
          </w:tcPr>
          <w:p w:rsidR="00000000" w:rsidDel="00000000" w:rsidP="00000000" w:rsidRDefault="00000000" w:rsidRPr="00000000" w14:paraId="000000AF">
            <w:pPr>
              <w:spacing w:after="0" w:line="276" w:lineRule="auto"/>
              <w:rPr/>
            </w:pPr>
            <w:r w:rsidDel="00000000" w:rsidR="00000000" w:rsidRPr="00000000">
              <w:rPr>
                <w:color w:val="1f2933"/>
                <w:sz w:val="20"/>
                <w:szCs w:val="20"/>
                <w:rtl w:val="0"/>
              </w:rPr>
              <w:t xml:space="preserve">This submission is provided on a non-confidential basis and may be published. It reflects the collective views of DECA and its members as gathered through the Banking and Payments Working Group consultation process, and does not represent the view of any individual member. Where members provided commercially sensitive evidence, that evidence has been generalised. DECA understands the Reserve Bank may share submissions with the Treasury.</w:t>
            </w: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6838" w:w="11906" w:orient="portrait"/>
      <w:pgMar w:bottom="1296" w:top="1440" w:left="1440" w:right="1440" w:header="720" w:footer="6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spacing w:before="60" w:lineRule="auto"/>
      <w:jc w:val="right"/>
      <w:rPr/>
    </w:pPr>
    <w:r w:rsidDel="00000000" w:rsidR="00000000" w:rsidRPr="00000000">
      <w:rPr>
        <w:color w:val="56616e"/>
        <w:sz w:val="15"/>
        <w:szCs w:val="15"/>
        <w:rtl w:val="0"/>
      </w:rPr>
      <w:t xml:space="preserve">RBA Review of Payments System Regulation  |  </w:t>
    </w:r>
    <w:r w:rsidDel="00000000" w:rsidR="00000000" w:rsidRPr="00000000">
      <w:rPr>
        <w:color w:val="56616e"/>
        <w:sz w:val="15"/>
        <w:szCs w:val="15"/>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1">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Reserve Bank of Australia, Review of Payments System Regulation: Issues Paper, June 2026. References to numbered questions in this submission are to the questions posed in that paper.</w:t>
      </w:r>
      <w:r w:rsidDel="00000000" w:rsidR="00000000" w:rsidRPr="00000000">
        <w:rPr>
          <w:rtl w:val="0"/>
        </w:rPr>
      </w:r>
    </w:p>
  </w:footnote>
  <w:footnote w:id="1">
    <w:p w:rsidR="00000000" w:rsidDel="00000000" w:rsidP="00000000" w:rsidRDefault="00000000" w:rsidRPr="00000000" w14:paraId="000000B2">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Regulation (EU) 2022/1925 (Digital Markets Act), Article 5(7).</w:t>
      </w:r>
      <w:r w:rsidDel="00000000" w:rsidR="00000000" w:rsidRPr="00000000">
        <w:rPr>
          <w:rtl w:val="0"/>
        </w:rPr>
      </w:r>
    </w:p>
  </w:footnote>
  <w:footnote w:id="2">
    <w:p w:rsidR="00000000" w:rsidDel="00000000" w:rsidP="00000000" w:rsidRDefault="00000000" w:rsidRPr="00000000" w14:paraId="000000B3">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RBA expectations on tokenisation of card information, May 2024, and the AusPayNet porting Standard, with compliance expected by 1 July 2026.</w:t>
      </w:r>
      <w:r w:rsidDel="00000000" w:rsidR="00000000" w:rsidRPr="00000000">
        <w:rPr>
          <w:rtl w:val="0"/>
        </w:rPr>
      </w:r>
    </w:p>
  </w:footnote>
  <w:footnote w:id="3">
    <w:p w:rsidR="00000000" w:rsidDel="00000000" w:rsidP="00000000" w:rsidRDefault="00000000" w:rsidRPr="00000000" w14:paraId="000000B4">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Principal standards as at mid-2026: Mastercard Agent Pay (April 2025), Visa Trusted Agent Protocol (October 2025), Google's Agent Payments Protocol and the OpenAI and Stripe Agentic Commerce Protocol (both September 2025), and Coinbase's x402 (May 2025).</w:t>
      </w:r>
      <w:r w:rsidDel="00000000" w:rsidR="00000000" w:rsidRPr="00000000">
        <w:rPr>
          <w:rtl w:val="0"/>
        </w:rPr>
      </w:r>
    </w:p>
  </w:footnote>
  <w:footnote w:id="4">
    <w:p w:rsidR="00000000" w:rsidDel="00000000" w:rsidP="00000000" w:rsidRDefault="00000000" w:rsidRPr="00000000" w14:paraId="000000B5">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Reported x402 network activity to April 2026; and International Monetary Fund, How Agentic AI Will Reshape Payments, IMF Notes 2026/004.</w:t>
      </w:r>
      <w:r w:rsidDel="00000000" w:rsidR="00000000" w:rsidRPr="00000000">
        <w:rPr>
          <w:rtl w:val="0"/>
        </w:rPr>
      </w:r>
    </w:p>
  </w:footnote>
  <w:footnote w:id="5">
    <w:p w:rsidR="00000000" w:rsidDel="00000000" w:rsidP="00000000" w:rsidRDefault="00000000" w:rsidRPr="00000000" w14:paraId="000000B6">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Digital Markets Act, Article 6(7); European Commission decision of 11 July 2024 accepting binding commitments from Apple in Case AT.40452; and the United Kingdom Competition and Markets Authority's strategic market status designations and associated conduct requirements applying to mobile platform operators from 2025 and 2026.</w:t>
      </w:r>
      <w:r w:rsidDel="00000000" w:rsidR="00000000" w:rsidRPr="00000000">
        <w:rPr>
          <w:rtl w:val="0"/>
        </w:rPr>
      </w:r>
    </w:p>
  </w:footnote>
  <w:footnote w:id="6">
    <w:p w:rsidR="00000000" w:rsidDel="00000000" w:rsidP="00000000" w:rsidRDefault="00000000" w:rsidRPr="00000000" w14:paraId="000000B7">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Exposure draft, Treasury Laws Amendment Bill 2026: Payments System Modernisation, released 12 March 2026, which prohibits stored value facility providers from paying interest or interest-like benefits in order to preserve the distinction between such facilities and deposit products.</w:t>
      </w:r>
      <w:r w:rsidDel="00000000" w:rsidR="00000000" w:rsidRPr="00000000">
        <w:rPr>
          <w:rtl w:val="0"/>
        </w:rPr>
      </w:r>
    </w:p>
  </w:footnote>
  <w:footnote w:id="7">
    <w:p w:rsidR="00000000" w:rsidDel="00000000" w:rsidP="00000000" w:rsidRDefault="00000000" w:rsidRPr="00000000" w14:paraId="000000B8">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Council of Financial Regulators, Potential Policy Responses to De-banking in Australia, August 2022, and the Australian Government response of 28 June 2023.</w:t>
      </w:r>
      <w:r w:rsidDel="00000000" w:rsidR="00000000" w:rsidRPr="00000000">
        <w:rPr>
          <w:rtl w:val="0"/>
        </w:rPr>
      </w:r>
    </w:p>
  </w:footnote>
  <w:footnote w:id="8">
    <w:p w:rsidR="00000000" w:rsidDel="00000000" w:rsidP="00000000" w:rsidRDefault="00000000" w:rsidRPr="00000000" w14:paraId="000000B9">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DECA, Submission to the Treasury on the Scams Prevention Framework codes and rules exposure draft, 25 June 2026.</w:t>
      </w:r>
      <w:r w:rsidDel="00000000" w:rsidR="00000000" w:rsidRPr="00000000">
        <w:rPr>
          <w:rtl w:val="0"/>
        </w:rPr>
      </w:r>
    </w:p>
  </w:footnote>
  <w:footnote w:id="9">
    <w:p w:rsidR="00000000" w:rsidDel="00000000" w:rsidP="00000000" w:rsidRDefault="00000000" w:rsidRPr="00000000" w14:paraId="000000BA">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Bank of England, revised Settlement Account Policy of 19 July 2017 and omnibus account policy of 19 April 2021; the recast Payment Services Directive and Payment Services Regulation package approved by the European Parliament's ECON Committee in May 2026; and, in the United States, the Federal Reserve's consultation on a limited-purpose payment account, the master account provisions of the GENIUS Act, and conditional national trust bank charters granted by the Office of the Comptroller of the Currency from December 2025.</w:t>
      </w:r>
      <w:r w:rsidDel="00000000" w:rsidR="00000000" w:rsidRPr="00000000">
        <w:rPr>
          <w:rtl w:val="0"/>
        </w:rPr>
      </w:r>
    </w:p>
  </w:footnote>
  <w:footnote w:id="10">
    <w:p w:rsidR="00000000" w:rsidDel="00000000" w:rsidP="00000000" w:rsidRDefault="00000000" w:rsidRPr="00000000" w14:paraId="000000BB">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Reserve Bank of Australia and Digital Finance Cooperative Research Centre, Project Acacia: Exploring the Role of Digital Money in Wholesale Tokenised Asset Markets, Final Report, May 2026.</w:t>
      </w:r>
      <w:r w:rsidDel="00000000" w:rsidR="00000000" w:rsidRPr="00000000">
        <w:rPr>
          <w:rtl w:val="0"/>
        </w:rPr>
      </w:r>
    </w:p>
  </w:footnote>
  <w:footnote w:id="11">
    <w:p w:rsidR="00000000" w:rsidDel="00000000" w:rsidP="00000000" w:rsidRDefault="00000000" w:rsidRPr="00000000" w14:paraId="000000BC">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United Kingdom Payments Initiative commercial variable recurring payments scheme, live from 2 June 2026 under a single rulebook and multilateral agreement, with Wave 1 covering approximately 75 per cent of current accounts; European Payments Initiative, Wero, and its memorandum of understanding with the EuroPA Alliance of 2 February 2026; and India's UPI and Brazil's Pix.</w:t>
      </w:r>
      <w:r w:rsidDel="00000000" w:rsidR="00000000" w:rsidRPr="00000000">
        <w:rPr>
          <w:rtl w:val="0"/>
        </w:rPr>
      </w:r>
    </w:p>
  </w:footnote>
  <w:footnote w:id="12">
    <w:p w:rsidR="00000000" w:rsidDel="00000000" w:rsidP="00000000" w:rsidRDefault="00000000" w:rsidRPr="00000000" w14:paraId="000000BD">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NIST FIPS 203, 204 and 205 (August 2024), and NIST IR 8547, which deprecates RSA and elliptic curve cryptography at the 112-bit security level after 2030 and disallows quantum-vulnerable asymmetric cryptography after 2035.</w:t>
      </w:r>
      <w:r w:rsidDel="00000000" w:rsidR="00000000" w:rsidRPr="00000000">
        <w:rPr>
          <w:rtl w:val="0"/>
        </w:rPr>
      </w:r>
    </w:p>
  </w:footnote>
  <w:footnote w:id="13">
    <w:p w:rsidR="00000000" w:rsidDel="00000000" w:rsidP="00000000" w:rsidRDefault="00000000" w:rsidRPr="00000000" w14:paraId="000000BE">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United Kingdom National Cyber Security Centre, Timelines for Migration to Post-Quantum Cryptography, March 2025; the European Union Coordinated Implementation Roadmap on post-quantum cryptography; the G7 Cyber Expert Group roadmap of January 2026; Monetary Authority of Singapore Circular MAS/TCRS/2024/01; the Hong Kong Monetary Authority Quantum Preparedness Index announced in February 2026; and United States Executive Order 14412 of 22 June 2026.</w:t>
      </w:r>
      <w:r w:rsidDel="00000000" w:rsidR="00000000" w:rsidRPr="00000000">
        <w:rPr>
          <w:rtl w:val="0"/>
        </w:rPr>
      </w:r>
    </w:p>
  </w:footnote>
  <w:footnote w:id="14">
    <w:p w:rsidR="00000000" w:rsidDel="00000000" w:rsidP="00000000" w:rsidRDefault="00000000" w:rsidRPr="00000000" w14:paraId="000000BF">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APRA Prudential Standard CPS 234 Information Security.</w:t>
      </w:r>
      <w:r w:rsidDel="00000000" w:rsidR="00000000" w:rsidRPr="00000000">
        <w:rPr>
          <w:rtl w:val="0"/>
        </w:rPr>
      </w:r>
    </w:p>
  </w:footnote>
  <w:footnote w:id="15">
    <w:p w:rsidR="00000000" w:rsidDel="00000000" w:rsidP="00000000" w:rsidRDefault="00000000" w:rsidRPr="00000000" w14:paraId="000000C0">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Strong customer authentication under the second Payment Services Directive, applied in the United Kingdom by regulation 100 of the Payment Services Regulations 2017 and continued under the PSD3 and Payment Services Regulation package.</w:t>
      </w:r>
      <w:r w:rsidDel="00000000" w:rsidR="00000000" w:rsidRPr="00000000">
        <w:rPr>
          <w:rtl w:val="0"/>
        </w:rPr>
      </w:r>
    </w:p>
  </w:footnote>
  <w:footnote w:id="16">
    <w:p w:rsidR="00000000" w:rsidDel="00000000" w:rsidP="00000000" w:rsidRDefault="00000000" w:rsidRPr="00000000" w14:paraId="000000C1">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Treasury Laws Amendment Bill 2026: Payments System Modernisation and the Payment Entities (Prudential Regulation) Bill 2026, released for consultation 12 March 2026; the Corporations Amendment (Digital Assets Framework) Act 2026 and ASIC's updated INFO 225; and the AML/CTF reforms commencing 1 July 2026, including the transition from digital currency exchange to virtual asset service provider terminology.</w:t>
      </w:r>
      <w:r w:rsidDel="00000000" w:rsidR="00000000" w:rsidRPr="00000000">
        <w:rPr>
          <w:rtl w:val="0"/>
        </w:rPr>
      </w:r>
    </w:p>
  </w:footnote>
  <w:footnote w:id="17">
    <w:p w:rsidR="00000000" w:rsidDel="00000000" w:rsidP="00000000" w:rsidRDefault="00000000" w:rsidRPr="00000000" w14:paraId="000000C2">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Financial Stability Board targets under the G20 Roadmap for Enhancing Cross-border Payments, including a global average retail cost of no more than 1 per cent with no corridor above 3 per cent; and Bank for International Settlements Innovation Hub Singapore Centre, with the Reserve Bank of Australia and regional central bank partners, Project Mandala: Streamlining Cross-border Transaction Compliance, October 2024, with a second phase announced in November 2025.</w:t>
      </w:r>
      <w:r w:rsidDel="00000000" w:rsidR="00000000" w:rsidRPr="00000000">
        <w:rPr>
          <w:rtl w:val="0"/>
        </w:rPr>
      </w:r>
    </w:p>
  </w:footnote>
  <w:footnote w:id="18">
    <w:p w:rsidR="00000000" w:rsidDel="00000000" w:rsidP="00000000" w:rsidRDefault="00000000" w:rsidRPr="00000000" w14:paraId="000000C3">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Banco Central do Brasil Resolution No. 561 of 30 April 2026.</w:t>
      </w:r>
      <w:r w:rsidDel="00000000" w:rsidR="00000000" w:rsidRPr="00000000">
        <w:rPr>
          <w:rtl w:val="0"/>
        </w:rPr>
      </w:r>
    </w:p>
  </w:footnote>
  <w:footnote w:id="19">
    <w:p w:rsidR="00000000" w:rsidDel="00000000" w:rsidP="00000000" w:rsidRDefault="00000000" w:rsidRPr="00000000" w14:paraId="000000C4">
      <w:pPr>
        <w:spacing w:after="40" w:line="240" w:lineRule="auto"/>
        <w:rPr/>
      </w:pPr>
      <w:r w:rsidDel="00000000" w:rsidR="00000000" w:rsidRPr="00000000">
        <w:rPr>
          <w:rStyle w:val="FootnoteReference"/>
          <w:vertAlign w:val="superscript"/>
        </w:rPr>
        <w:footnoteRef/>
      </w:r>
      <w:r w:rsidDel="00000000" w:rsidR="00000000" w:rsidRPr="00000000">
        <w:rPr>
          <w:color w:val="56616e"/>
          <w:sz w:val="16"/>
          <w:szCs w:val="16"/>
          <w:rtl w:val="0"/>
        </w:rPr>
        <w:t xml:space="preserve">Digital Finance Cooperative Research Centre modelling cited in DECA's 2026 Proactive Policy Paper, launched at Parliament House in May 2026, and referenced in the Project Acacia final report.</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bottom w:color="d5dce4" w:space="4" w:sz="4" w:val="single"/>
      </w:pBdr>
      <w:spacing w:after="0" w:lineRule="auto"/>
      <w:jc w:val="right"/>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-190499</wp:posOffset>
          </wp:positionV>
          <wp:extent cx="1776413" cy="403378"/>
          <wp:effectExtent b="0" l="0" r="0" t="0"/>
          <wp:wrapNone/>
          <wp:docPr id="1" name="image1.png"/>
          <a:graphic>
            <a:graphicData uri="http://schemas.openxmlformats.org/drawingml/2006/picture">
              <pic:pic>
                <pic:nvPicPr>
                  <pic:cNvPr id="0" name="image1.png"/>
                  <pic:cNvPicPr preferRelativeResize="0"/>
                </pic:nvPicPr>
                <pic:blipFill>
                  <a:blip r:embed="rId1"/>
                  <a:srcRect b="22911" l="7807" r="7807" t="21767"/>
                  <a:stretch>
                    <a:fillRect/>
                  </a:stretch>
                </pic:blipFill>
                <pic:spPr>
                  <a:xfrm>
                    <a:off x="0" y="0"/>
                    <a:ext cx="1776413" cy="40337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0" w:hanging="260"/>
      </w:pPr>
      <w:rPr/>
    </w:lvl>
    <w:lvl w:ilvl="1">
      <w:start w:val="1"/>
      <w:numFmt w:val="bullet"/>
      <w:lvlText w:val="◦"/>
      <w:lvlJc w:val="left"/>
      <w:pPr>
        <w:ind w:left="900" w:hanging="2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520" w:hanging="34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560" w:hanging="38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f2933"/>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50" w:before="340" w:line="240" w:lineRule="auto"/>
      <w:ind w:left="0" w:right="0" w:firstLine="0"/>
      <w:jc w:val="left"/>
    </w:pPr>
    <w:rPr>
      <w:rFonts w:ascii="Calibri" w:cs="Calibri" w:eastAsia="Calibri" w:hAnsi="Calibri"/>
      <w:b w:val="1"/>
      <w:bCs w:val="1"/>
      <w:i w:val="0"/>
      <w:iCs w:val="0"/>
      <w:smallCaps w:val="0"/>
      <w:strike w:val="0"/>
      <w:color w:val="0f2a47"/>
      <w:sz w:val="27"/>
      <w:szCs w:val="27"/>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240" w:line="240" w:lineRule="auto"/>
      <w:ind w:left="0" w:right="0" w:firstLine="0"/>
      <w:jc w:val="left"/>
    </w:pPr>
    <w:rPr>
      <w:rFonts w:ascii="Calibri" w:cs="Calibri" w:eastAsia="Calibri" w:hAnsi="Calibri"/>
      <w:b w:val="1"/>
      <w:bCs w:val="1"/>
      <w:i w:val="0"/>
      <w:iCs w:val="0"/>
      <w:smallCaps w:val="0"/>
      <w:strike w:val="0"/>
      <w:color w:val="0f2a47"/>
      <w:sz w:val="23"/>
      <w:szCs w:val="23"/>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180" w:line="240" w:lineRule="auto"/>
      <w:ind w:left="0" w:right="0" w:firstLine="0"/>
      <w:jc w:val="left"/>
    </w:pPr>
    <w:rPr>
      <w:rFonts w:ascii="Calibri" w:cs="Calibri" w:eastAsia="Calibri" w:hAnsi="Calibri"/>
      <w:b w:val="1"/>
      <w:bCs w:val="1"/>
      <w:i w:val="1"/>
      <w:iCs w:val="1"/>
      <w:smallCaps w:val="0"/>
      <w:strike w:val="0"/>
      <w:color w:val="56616e"/>
      <w:sz w:val="21"/>
      <w:szCs w:val="21"/>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2933"/>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numbering" Target="numbering.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W5QWCE3MWNWV-1111276950-188</_dlc_DocId>
    <_dlc_DocIdUrl xmlns="a2aa19ac-7254-4672-b5f3-36bb7be1aecc">
      <Url>https://rbaau.sharepoint.com/sites/py-rrpr/_layouts/15/DocIdRedir.aspx?ID=W5QWCE3MWNWV-1111276950-188</Url>
      <Description>W5QWCE3MWNWV-1111276950-188</Description>
    </_dlc_DocIdUrl>
  </documentManagement>
</p:properties>
</file>

<file path=customXml/itemProps1.xml><?xml version="1.0" encoding="utf-8"?>
<ds:datastoreItem xmlns:ds="http://schemas.openxmlformats.org/officeDocument/2006/customXml" ds:itemID="{243F1BFA-5C1B-4F78-9F00-50D85A9405A8}"/>
</file>

<file path=customXml/itemProps2.xml><?xml version="1.0" encoding="utf-8"?>
<ds:datastoreItem xmlns:ds="http://schemas.openxmlformats.org/officeDocument/2006/customXml" ds:itemID="{C6F5DAB0-A375-4B1E-A1EB-C44A2C06F1A9}"/>
</file>

<file path=customXml/itemProps3.xml><?xml version="1.0" encoding="utf-8"?>
<ds:datastoreItem xmlns:ds="http://schemas.openxmlformats.org/officeDocument/2006/customXml" ds:itemID="{6E42126C-1B8A-4579-AFCD-0F24D548366F}"/>
</file>

<file path=customXml/itemProps4.xml><?xml version="1.0" encoding="utf-8"?>
<ds:datastoreItem xmlns:ds="http://schemas.openxmlformats.org/officeDocument/2006/customXml" ds:itemID="{58D34CB5-0E2D-459F-A2A5-25FE2A60FDA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c19e289a-e841-4333-a076-68648f032fad</vt:lpwstr>
  </property>
</Properties>
</file>