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43732998"/>
    <w:bookmarkStart w:id="1" w:name="_Toc43733065"/>
    <w:bookmarkStart w:id="2" w:name="_Toc43733249"/>
    <w:bookmarkStart w:id="3" w:name="_Toc76374655"/>
    <w:p w14:paraId="23EFDA67" w14:textId="77777777" w:rsidR="003A3793" w:rsidRPr="00E07B4F" w:rsidRDefault="00121DF0" w:rsidP="00DC7AE7">
      <w:pPr>
        <w:spacing w:after="160" w:line="259" w:lineRule="auto"/>
        <w:rPr>
          <w:rFonts w:eastAsiaTheme="majorEastAsia" w:cstheme="majorBidi"/>
          <w:color w:val="7DC2B2" w:themeColor="accent1" w:themeShade="BF"/>
          <w:sz w:val="28"/>
          <w:szCs w:val="32"/>
        </w:rPr>
      </w:pPr>
      <w:r>
        <w:rPr>
          <w:i/>
          <w:iCs/>
          <w:noProof/>
          <w:color w:val="404040" w:themeColor="text1" w:themeTint="BF"/>
        </w:rPr>
        <mc:AlternateContent>
          <mc:Choice Requires="wps">
            <w:drawing>
              <wp:anchor distT="0" distB="0" distL="114300" distR="114300" simplePos="0" relativeHeight="251658242" behindDoc="0" locked="0" layoutInCell="1" allowOverlap="1" wp14:anchorId="20B7F852" wp14:editId="704966C5">
                <wp:simplePos x="0" y="0"/>
                <wp:positionH relativeFrom="column">
                  <wp:posOffset>4818853</wp:posOffset>
                </wp:positionH>
                <wp:positionV relativeFrom="paragraph">
                  <wp:posOffset>9267190</wp:posOffset>
                </wp:positionV>
                <wp:extent cx="1226185" cy="150495"/>
                <wp:effectExtent l="0" t="0" r="0" b="0"/>
                <wp:wrapNone/>
                <wp:docPr id="2074323505" name="Rectangle 4">
                  <a:hlinkClick xmlns:a="http://schemas.openxmlformats.org/drawingml/2006/main" r:id="rId11"/>
                </wp:docPr>
                <wp:cNvGraphicFramePr/>
                <a:graphic xmlns:a="http://schemas.openxmlformats.org/drawingml/2006/main">
                  <a:graphicData uri="http://schemas.microsoft.com/office/word/2010/wordprocessingShape">
                    <wps:wsp>
                      <wps:cNvSpPr/>
                      <wps:spPr>
                        <a:xfrm>
                          <a:off x="0" y="0"/>
                          <a:ext cx="1226185" cy="15049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6999B9" id="Rectangle 4" o:spid="_x0000_s1026" href="https://www.bankingcircle.com/" style="position:absolute;margin-left:379.45pt;margin-top:729.7pt;width:96.55pt;height:11.8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" o:button="t" filled="f" stroked="f" strokeweight="1pt">
                <v:fill o:detectmouseclick="t"/>
              </v:rect>
            </w:pict>
          </mc:Fallback>
        </mc:AlternateContent>
      </w:r>
      <w:r w:rsidR="00CE320B">
        <w:rPr>
          <w:i/>
          <w:iCs/>
          <w:noProof/>
          <w:color w:val="404040" w:themeColor="text1" w:themeTint="BF"/>
        </w:rPr>
        <mc:AlternateContent>
          <mc:Choice Requires="wps">
            <w:drawing>
              <wp:anchor distT="0" distB="0" distL="114300" distR="114300" simplePos="0" relativeHeight="251658241" behindDoc="0" locked="0" layoutInCell="1" allowOverlap="1" wp14:anchorId="4110446B" wp14:editId="26B7765C">
                <wp:simplePos x="0" y="0"/>
                <wp:positionH relativeFrom="column">
                  <wp:posOffset>-130175</wp:posOffset>
                </wp:positionH>
                <wp:positionV relativeFrom="paragraph">
                  <wp:posOffset>4450080</wp:posOffset>
                </wp:positionV>
                <wp:extent cx="6162675" cy="2318385"/>
                <wp:effectExtent l="0" t="0" r="0" b="0"/>
                <wp:wrapNone/>
                <wp:docPr id="1562749771" name="Text Box 4"/>
                <wp:cNvGraphicFramePr/>
                <a:graphic xmlns:a="http://schemas.openxmlformats.org/drawingml/2006/main">
                  <a:graphicData uri="http://schemas.microsoft.com/office/word/2010/wordprocessingShape">
                    <wps:wsp>
                      <wps:cNvSpPr txBox="1"/>
                      <wps:spPr>
                        <a:xfrm>
                          <a:off x="0" y="0"/>
                          <a:ext cx="6162675" cy="2318385"/>
                        </a:xfrm>
                        <a:prstGeom prst="rect">
                          <a:avLst/>
                        </a:prstGeom>
                        <a:noFill/>
                        <a:ln w="6350">
                          <a:noFill/>
                        </a:ln>
                      </wps:spPr>
                      <wps:txbx>
                        <w:txbxContent>
                          <w:p w14:paraId="16C71ED0" w14:textId="623BBB93" w:rsidR="004742D0" w:rsidRPr="00F2291B" w:rsidRDefault="00DD36B7" w:rsidP="004742D0">
                            <w:pPr>
                              <w:pStyle w:val="Title"/>
                            </w:pPr>
                            <w:r w:rsidRPr="00DD36B7">
                              <w:t>Review of Payments System Regulation</w:t>
                            </w:r>
                          </w:p>
                          <w:p w14:paraId="4643B7E3" w14:textId="790830CA" w:rsidR="004742D0" w:rsidRPr="00F2291B" w:rsidRDefault="009E6A7B" w:rsidP="004742D0">
                            <w:pPr>
                              <w:pStyle w:val="SubInfoBold"/>
                            </w:pPr>
                            <w:r>
                              <w:t>Banking Circle Australia</w:t>
                            </w:r>
                            <w:r w:rsidR="004742D0" w:rsidRPr="00F2291B">
                              <w:t xml:space="preserve"> </w:t>
                            </w:r>
                            <w:r w:rsidR="00DC2DD5">
                              <w:t xml:space="preserve">submission to the RBA Review of Payment Systems Regulation </w:t>
                            </w:r>
                            <w:r w:rsidR="004B5E7F">
                              <w:t>paper</w:t>
                            </w:r>
                          </w:p>
                          <w:p w14:paraId="2EF25004" w14:textId="77777777" w:rsidR="004742D0" w:rsidRPr="00F2291B" w:rsidRDefault="004742D0" w:rsidP="004742D0">
                            <w:pPr>
                              <w:pStyle w:val="SubInfoBold"/>
                            </w:pPr>
                          </w:p>
                          <w:p w14:paraId="20F4670C" w14:textId="1A32E08D" w:rsidR="00D17EA2" w:rsidRPr="00F2291B" w:rsidRDefault="009E6A7B" w:rsidP="004742D0">
                            <w:pPr>
                              <w:pStyle w:val="SubInfoBold"/>
                            </w:pPr>
                            <w:r>
                              <w:t>2</w:t>
                            </w:r>
                            <w:r w:rsidR="00B934EE">
                              <w:t>5</w:t>
                            </w:r>
                            <w:r>
                              <w:t>/07/2026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10446B" id="_x0000_t202" coordsize="21600,21600" o:spt="202" path="m,l,21600r21600,l21600,xe">
                <v:stroke joinstyle="miter"/>
                <v:path gradientshapeok="t" o:connecttype="rect"/>
              </v:shapetype>
              <v:shape id="Text Box 4" o:spid="_x0000_s1026" type="#_x0000_t202" style="position:absolute;margin-left:-10.25pt;margin-top:350.4pt;width:485.25pt;height:182.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" filled="f" stroked="f" strokeweight=".5pt">
                <v:textbox>
                  <w:txbxContent>
                    <w:p w14:paraId="16C71ED0" w14:textId="623BBB93" w:rsidR="004742D0" w:rsidRPr="00F2291B" w:rsidRDefault="00DD36B7" w:rsidP="004742D0">
                      <w:pPr>
                        <w:pStyle w:val="Title"/>
                      </w:pPr>
                      <w:r w:rsidRPr="00DD36B7">
                        <w:t>Review of Payments System Regulation</w:t>
                      </w:r>
                    </w:p>
                    <w:p w14:paraId="4643B7E3" w14:textId="790830CA" w:rsidR="004742D0" w:rsidRPr="00F2291B" w:rsidRDefault="009E6A7B" w:rsidP="004742D0">
                      <w:pPr>
                        <w:pStyle w:val="SubInfoBold"/>
                      </w:pPr>
                      <w:r>
                        <w:t>Banking Circle Australia</w:t>
                      </w:r>
                      <w:r w:rsidR="004742D0" w:rsidRPr="00F2291B">
                        <w:t xml:space="preserve"> </w:t>
                      </w:r>
                      <w:r w:rsidR="00DC2DD5">
                        <w:t xml:space="preserve">submission to the RBA Review of Payment Systems Regulation </w:t>
                      </w:r>
                      <w:r w:rsidR="004B5E7F">
                        <w:t>paper</w:t>
                      </w:r>
                    </w:p>
                    <w:p w14:paraId="2EF25004" w14:textId="77777777" w:rsidR="004742D0" w:rsidRPr="00F2291B" w:rsidRDefault="004742D0" w:rsidP="004742D0">
                      <w:pPr>
                        <w:pStyle w:val="SubInfoBold"/>
                      </w:pPr>
                    </w:p>
                    <w:p w14:paraId="20F4670C" w14:textId="1A32E08D" w:rsidR="00D17EA2" w:rsidRPr="00F2291B" w:rsidRDefault="009E6A7B" w:rsidP="004742D0">
                      <w:pPr>
                        <w:pStyle w:val="SubInfoBold"/>
                      </w:pPr>
                      <w:r>
                        <w:t>2</w:t>
                      </w:r>
                      <w:r w:rsidR="00B934EE">
                        <w:t>5</w:t>
                      </w:r>
                      <w:r>
                        <w:t>/07/2026</w:t>
                      </w:r>
                    </w:p>
                  </w:txbxContent>
                </v:textbox>
              </v:shape>
            </w:pict>
          </mc:Fallback>
        </mc:AlternateContent>
      </w:r>
      <w:r w:rsidR="00CE320B">
        <w:rPr>
          <w:i/>
          <w:iCs/>
          <w:noProof/>
          <w:color w:val="404040" w:themeColor="text1" w:themeTint="BF"/>
        </w:rPr>
        <w:drawing>
          <wp:anchor distT="0" distB="0" distL="114300" distR="114300" simplePos="0" relativeHeight="251658240" behindDoc="0" locked="0" layoutInCell="1" allowOverlap="1" wp14:anchorId="0902C57D" wp14:editId="6C5D1C67">
            <wp:simplePos x="0" y="0"/>
            <wp:positionH relativeFrom="margin">
              <wp:posOffset>2517140</wp:posOffset>
            </wp:positionH>
            <wp:positionV relativeFrom="paragraph">
              <wp:posOffset>2694305</wp:posOffset>
            </wp:positionV>
            <wp:extent cx="816610" cy="1377950"/>
            <wp:effectExtent l="0" t="0" r="0" b="6350"/>
            <wp:wrapNone/>
            <wp:docPr id="13800711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071187"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16610" cy="1377950"/>
                    </a:xfrm>
                    <a:prstGeom prst="rect">
                      <a:avLst/>
                    </a:prstGeom>
                  </pic:spPr>
                </pic:pic>
              </a:graphicData>
            </a:graphic>
            <wp14:sizeRelH relativeFrom="page">
              <wp14:pctWidth>0</wp14:pctWidth>
            </wp14:sizeRelH>
            <wp14:sizeRelV relativeFrom="page">
              <wp14:pctHeight>0</wp14:pctHeight>
            </wp14:sizeRelV>
          </wp:anchor>
        </w:drawing>
      </w:r>
      <w:r w:rsidR="00CE320B">
        <w:br w:type="page"/>
      </w:r>
      <w:bookmarkEnd w:id="0"/>
      <w:bookmarkEnd w:id="1"/>
      <w:bookmarkEnd w:id="2"/>
      <w:bookmarkEnd w:id="3"/>
    </w:p>
    <w:p w14:paraId="6926C888" w14:textId="19AE89F5" w:rsidR="004B5E7F" w:rsidRDefault="004B5E7F" w:rsidP="004B5E7F">
      <w:pPr>
        <w:pStyle w:val="Title"/>
      </w:pPr>
      <w:r w:rsidRPr="00DD36B7">
        <w:lastRenderedPageBreak/>
        <w:t>Review of Payments System Regulation</w:t>
      </w:r>
      <w:r w:rsidR="001B663A">
        <w:t xml:space="preserve"> Submission</w:t>
      </w:r>
    </w:p>
    <w:p w14:paraId="102DDA24" w14:textId="77777777" w:rsidR="001B663A" w:rsidRDefault="001B663A" w:rsidP="001B663A"/>
    <w:p w14:paraId="5473588A" w14:textId="316C3CAE" w:rsidR="001B663A" w:rsidRDefault="00360641" w:rsidP="001B663A">
      <w:pPr>
        <w:rPr>
          <w:b/>
          <w:bCs/>
          <w:sz w:val="28"/>
          <w:szCs w:val="28"/>
        </w:rPr>
      </w:pPr>
      <w:r w:rsidRPr="004D677B">
        <w:rPr>
          <w:b/>
          <w:bCs/>
          <w:sz w:val="28"/>
          <w:szCs w:val="28"/>
        </w:rPr>
        <w:t>Executive Summary:</w:t>
      </w:r>
    </w:p>
    <w:p w14:paraId="31C6EA38" w14:textId="77777777" w:rsidR="004D677B" w:rsidRPr="004D677B" w:rsidRDefault="004D677B" w:rsidP="001B663A">
      <w:pPr>
        <w:rPr>
          <w:b/>
          <w:bCs/>
          <w:sz w:val="28"/>
          <w:szCs w:val="28"/>
        </w:rPr>
      </w:pPr>
    </w:p>
    <w:p w14:paraId="440445EB" w14:textId="4AF00241" w:rsidR="00D06FD8" w:rsidRPr="00332FF5" w:rsidRDefault="00EC6ADC" w:rsidP="00D06FD8">
      <w:pPr>
        <w:rPr>
          <w:sz w:val="22"/>
          <w:lang w:val="en-AU"/>
        </w:rPr>
      </w:pPr>
      <w:r w:rsidRPr="00332FF5">
        <w:rPr>
          <w:szCs w:val="20"/>
        </w:rPr>
        <w:t>Thank you</w:t>
      </w:r>
      <w:r w:rsidR="00F0710B" w:rsidRPr="00332FF5">
        <w:rPr>
          <w:szCs w:val="20"/>
        </w:rPr>
        <w:t xml:space="preserve"> for the opportunity to respond</w:t>
      </w:r>
      <w:r w:rsidR="00F0710B" w:rsidRPr="00332FF5">
        <w:rPr>
          <w:sz w:val="22"/>
        </w:rPr>
        <w:t xml:space="preserve"> to the RBA review of payments</w:t>
      </w:r>
      <w:r w:rsidRPr="00332FF5">
        <w:rPr>
          <w:sz w:val="22"/>
        </w:rPr>
        <w:t xml:space="preserve"> Systems regulation</w:t>
      </w:r>
      <w:r w:rsidR="00D06BE7" w:rsidRPr="00332FF5">
        <w:rPr>
          <w:sz w:val="22"/>
        </w:rPr>
        <w:t>. At Banking Circle Australia, we feel a</w:t>
      </w:r>
      <w:r w:rsidR="00D06FD8" w:rsidRPr="00332FF5">
        <w:rPr>
          <w:sz w:val="22"/>
          <w:lang w:val="en-AU"/>
        </w:rPr>
        <w:t xml:space="preserve"> competitive, efficient and financially safe financial system is best supported through a </w:t>
      </w:r>
      <w:r w:rsidR="003D726D">
        <w:rPr>
          <w:sz w:val="22"/>
          <w:lang w:val="en-AU"/>
        </w:rPr>
        <w:t>proportionate</w:t>
      </w:r>
      <w:r w:rsidR="00D06FD8" w:rsidRPr="00332FF5">
        <w:rPr>
          <w:sz w:val="22"/>
          <w:lang w:val="en-AU"/>
        </w:rPr>
        <w:t xml:space="preserve"> regulatory framework that need to balance risk management with innovation and market growth. Regulation should provide strong safeguards for consumers, financial stability and system integrity, while avoiding unnecessary complexity or compliance burdens that can disproportionately affect smaller institutions and new market entrants.</w:t>
      </w:r>
    </w:p>
    <w:p w14:paraId="26EF0835" w14:textId="77777777" w:rsidR="00D06FD8" w:rsidRPr="00332FF5" w:rsidRDefault="00D06FD8" w:rsidP="00D06FD8">
      <w:pPr>
        <w:rPr>
          <w:sz w:val="22"/>
          <w:lang w:val="en-AU"/>
        </w:rPr>
      </w:pPr>
    </w:p>
    <w:p w14:paraId="5AFA67C3" w14:textId="3B1A8F6D" w:rsidR="00D06FD8" w:rsidRPr="00332FF5" w:rsidRDefault="00D06FD8" w:rsidP="00D06FD8">
      <w:pPr>
        <w:rPr>
          <w:sz w:val="22"/>
          <w:lang w:val="en-AU"/>
        </w:rPr>
      </w:pPr>
      <w:r w:rsidRPr="00332FF5">
        <w:rPr>
          <w:sz w:val="22"/>
          <w:lang w:val="en-AU"/>
        </w:rPr>
        <w:t>A principles-based and risk-proportionate approach helps ensure that regulatory requirements remain aligned to the scale and nature of activities being undertaken, enabling businesses to deploy capital more effectively, invest in new technologies and deliver improved products and services to customers.</w:t>
      </w:r>
    </w:p>
    <w:p w14:paraId="32D4A8CF" w14:textId="77777777" w:rsidR="00D06BE7" w:rsidRPr="00332FF5" w:rsidRDefault="00D06FD8" w:rsidP="00D06FD8">
      <w:pPr>
        <w:rPr>
          <w:sz w:val="22"/>
          <w:lang w:val="en-AU"/>
        </w:rPr>
      </w:pPr>
      <w:r w:rsidRPr="00332FF5">
        <w:rPr>
          <w:sz w:val="22"/>
          <w:lang w:val="en-AU"/>
        </w:rPr>
        <w:t>Promoting competition and lowering barriers to entry are critical to fostering innovation and improving outcomes across the financial ecosystem. New entrants and emerging business models drive greater choice, efficiency and technological advancement, increasing the overall resilience and competitiveness of the market.</w:t>
      </w:r>
    </w:p>
    <w:p w14:paraId="3E041D36" w14:textId="77777777" w:rsidR="00D06BE7" w:rsidRPr="00332FF5" w:rsidRDefault="00D06BE7" w:rsidP="00D06FD8">
      <w:pPr>
        <w:rPr>
          <w:sz w:val="22"/>
          <w:lang w:val="en-AU"/>
        </w:rPr>
      </w:pPr>
    </w:p>
    <w:p w14:paraId="536B979B" w14:textId="3EE1707E" w:rsidR="00D06FD8" w:rsidRPr="00332FF5" w:rsidRDefault="00D06FD8" w:rsidP="00D06FD8">
      <w:pPr>
        <w:rPr>
          <w:sz w:val="22"/>
          <w:lang w:val="en-AU"/>
        </w:rPr>
      </w:pPr>
      <w:r w:rsidRPr="00332FF5">
        <w:rPr>
          <w:sz w:val="22"/>
          <w:lang w:val="en-AU"/>
        </w:rPr>
        <w:t>Regulatory settings should therefore support innovation through clear, consistent and scalable requirements that encourage participation while maintaining appropriate safeguards. By creating an environment that enables both established institutions and new participants to compete on a level playing field, policymakers can strengthen the long-term efficiency, safety and global competitiveness of the financial system.</w:t>
      </w:r>
    </w:p>
    <w:p w14:paraId="7D6D7CE9" w14:textId="77777777" w:rsidR="00D06BE7" w:rsidRPr="00332FF5" w:rsidRDefault="00D06BE7" w:rsidP="00D06FD8">
      <w:pPr>
        <w:rPr>
          <w:sz w:val="22"/>
          <w:lang w:val="en-AU"/>
        </w:rPr>
      </w:pPr>
    </w:p>
    <w:p w14:paraId="59ADEE64" w14:textId="77777777" w:rsidR="0028453F" w:rsidRPr="0028453F" w:rsidRDefault="00CC60E4" w:rsidP="009566D2">
      <w:pPr>
        <w:rPr>
          <w:sz w:val="24"/>
          <w:szCs w:val="24"/>
        </w:rPr>
      </w:pPr>
      <w:r w:rsidRPr="00332FF5">
        <w:rPr>
          <w:sz w:val="22"/>
        </w:rPr>
        <w:t xml:space="preserve">Banking Circle </w:t>
      </w:r>
      <w:r w:rsidRPr="00667859">
        <w:rPr>
          <w:sz w:val="22"/>
        </w:rPr>
        <w:t>Australia</w:t>
      </w:r>
      <w:r w:rsidRPr="00332FF5">
        <w:rPr>
          <w:sz w:val="22"/>
        </w:rPr>
        <w:t xml:space="preserve"> </w:t>
      </w:r>
      <w:r>
        <w:rPr>
          <w:sz w:val="22"/>
        </w:rPr>
        <w:t xml:space="preserve">has </w:t>
      </w:r>
      <w:r w:rsidR="00B538D8" w:rsidRPr="00B538D8">
        <w:rPr>
          <w:sz w:val="22"/>
        </w:rPr>
        <w:t>limited</w:t>
      </w:r>
      <w:r w:rsidRPr="00667859">
        <w:rPr>
          <w:sz w:val="22"/>
        </w:rPr>
        <w:t xml:space="preserve"> its response </w:t>
      </w:r>
      <w:r w:rsidR="00B538D8" w:rsidRPr="00B538D8">
        <w:rPr>
          <w:sz w:val="22"/>
        </w:rPr>
        <w:t>to</w:t>
      </w:r>
      <w:r>
        <w:rPr>
          <w:sz w:val="22"/>
        </w:rPr>
        <w:t xml:space="preserve"> </w:t>
      </w:r>
      <w:r w:rsidRPr="00332FF5">
        <w:rPr>
          <w:sz w:val="22"/>
        </w:rPr>
        <w:t>Section 4</w:t>
      </w:r>
      <w:r w:rsidRPr="00667859">
        <w:rPr>
          <w:sz w:val="22"/>
        </w:rPr>
        <w:t>,</w:t>
      </w:r>
      <w:r w:rsidRPr="00332FF5">
        <w:rPr>
          <w:sz w:val="22"/>
        </w:rPr>
        <w:t xml:space="preserve"> Account-to-Account Payments</w:t>
      </w:r>
      <w:r w:rsidR="00B538D8" w:rsidRPr="00B538D8">
        <w:rPr>
          <w:sz w:val="22"/>
        </w:rPr>
        <w:t>,</w:t>
      </w:r>
      <w:r>
        <w:rPr>
          <w:sz w:val="22"/>
        </w:rPr>
        <w:t xml:space="preserve"> and subsection 3.1</w:t>
      </w:r>
      <w:r w:rsidR="00B538D8" w:rsidRPr="00B538D8">
        <w:rPr>
          <w:sz w:val="22"/>
        </w:rPr>
        <w:t>,</w:t>
      </w:r>
      <w:r>
        <w:rPr>
          <w:sz w:val="22"/>
        </w:rPr>
        <w:t xml:space="preserve"> Mobile </w:t>
      </w:r>
      <w:r w:rsidR="00B538D8" w:rsidRPr="00B538D8">
        <w:rPr>
          <w:sz w:val="22"/>
        </w:rPr>
        <w:t>Payments</w:t>
      </w:r>
      <w:r>
        <w:rPr>
          <w:sz w:val="22"/>
        </w:rPr>
        <w:t>.</w:t>
      </w:r>
    </w:p>
    <w:p w14:paraId="1AC78C99" w14:textId="77777777" w:rsidR="004D677B" w:rsidRDefault="004D677B">
      <w:pPr>
        <w:rPr>
          <w:b/>
          <w:bCs/>
          <w:sz w:val="22"/>
        </w:rPr>
      </w:pPr>
    </w:p>
    <w:p w14:paraId="1228497F" w14:textId="77777777" w:rsidR="004D677B" w:rsidRDefault="004D677B">
      <w:pPr>
        <w:rPr>
          <w:b/>
          <w:bCs/>
          <w:sz w:val="22"/>
        </w:rPr>
      </w:pPr>
    </w:p>
    <w:p w14:paraId="2568F0E0" w14:textId="77777777" w:rsidR="004D677B" w:rsidRDefault="004D677B">
      <w:pPr>
        <w:rPr>
          <w:b/>
          <w:bCs/>
          <w:sz w:val="22"/>
        </w:rPr>
      </w:pPr>
    </w:p>
    <w:p w14:paraId="46D8A51E" w14:textId="77777777" w:rsidR="004D677B" w:rsidRDefault="004D677B">
      <w:pPr>
        <w:rPr>
          <w:b/>
          <w:bCs/>
          <w:sz w:val="22"/>
        </w:rPr>
      </w:pPr>
    </w:p>
    <w:p w14:paraId="3281918A" w14:textId="77777777" w:rsidR="004D677B" w:rsidRDefault="004D677B">
      <w:pPr>
        <w:rPr>
          <w:b/>
          <w:bCs/>
          <w:sz w:val="22"/>
        </w:rPr>
      </w:pPr>
    </w:p>
    <w:p w14:paraId="6ABA07FC" w14:textId="77777777" w:rsidR="004D677B" w:rsidRDefault="004D677B">
      <w:pPr>
        <w:rPr>
          <w:b/>
          <w:bCs/>
          <w:sz w:val="22"/>
        </w:rPr>
      </w:pPr>
    </w:p>
    <w:p w14:paraId="5F9386C5" w14:textId="77777777" w:rsidR="004D677B" w:rsidRDefault="004D677B">
      <w:pPr>
        <w:rPr>
          <w:b/>
          <w:bCs/>
          <w:sz w:val="22"/>
        </w:rPr>
      </w:pPr>
    </w:p>
    <w:p w14:paraId="32A21D5A" w14:textId="77777777" w:rsidR="004D677B" w:rsidRDefault="004D677B">
      <w:pPr>
        <w:rPr>
          <w:b/>
          <w:bCs/>
          <w:sz w:val="22"/>
        </w:rPr>
      </w:pPr>
    </w:p>
    <w:p w14:paraId="6CC4437F" w14:textId="77777777" w:rsidR="004D677B" w:rsidRDefault="004D677B">
      <w:pPr>
        <w:rPr>
          <w:b/>
          <w:bCs/>
          <w:sz w:val="22"/>
        </w:rPr>
      </w:pPr>
    </w:p>
    <w:p w14:paraId="7C35041D" w14:textId="77777777" w:rsidR="004D677B" w:rsidRDefault="004D677B">
      <w:pPr>
        <w:rPr>
          <w:b/>
          <w:bCs/>
          <w:sz w:val="22"/>
        </w:rPr>
      </w:pPr>
    </w:p>
    <w:p w14:paraId="2670FF22" w14:textId="77777777" w:rsidR="004D677B" w:rsidRDefault="004D677B">
      <w:pPr>
        <w:rPr>
          <w:b/>
          <w:bCs/>
          <w:sz w:val="22"/>
        </w:rPr>
      </w:pPr>
    </w:p>
    <w:p w14:paraId="75697704" w14:textId="77777777" w:rsidR="004D677B" w:rsidRDefault="004D677B">
      <w:pPr>
        <w:rPr>
          <w:b/>
          <w:bCs/>
          <w:sz w:val="22"/>
        </w:rPr>
      </w:pPr>
    </w:p>
    <w:p w14:paraId="460F09E4" w14:textId="77777777" w:rsidR="004D677B" w:rsidRDefault="004D677B">
      <w:pPr>
        <w:rPr>
          <w:b/>
          <w:bCs/>
          <w:sz w:val="22"/>
        </w:rPr>
      </w:pPr>
    </w:p>
    <w:p w14:paraId="459CB571" w14:textId="77777777" w:rsidR="004D677B" w:rsidRDefault="004D677B">
      <w:pPr>
        <w:rPr>
          <w:b/>
          <w:bCs/>
          <w:sz w:val="22"/>
        </w:rPr>
      </w:pPr>
    </w:p>
    <w:p w14:paraId="47EE03E2" w14:textId="77777777" w:rsidR="004D677B" w:rsidRDefault="004D677B">
      <w:pPr>
        <w:rPr>
          <w:b/>
          <w:bCs/>
          <w:sz w:val="22"/>
        </w:rPr>
      </w:pPr>
    </w:p>
    <w:p w14:paraId="5BA6CB7C" w14:textId="163CA4CA" w:rsidR="004D677B" w:rsidRDefault="008500F7">
      <w:pPr>
        <w:rPr>
          <w:sz w:val="28"/>
          <w:szCs w:val="28"/>
          <w:u w:val="single"/>
        </w:rPr>
      </w:pPr>
      <w:r w:rsidRPr="008500F7">
        <w:rPr>
          <w:sz w:val="28"/>
          <w:szCs w:val="28"/>
          <w:u w:val="single"/>
        </w:rPr>
        <w:t xml:space="preserve">3.1. Mobile </w:t>
      </w:r>
      <w:r w:rsidR="00A05897">
        <w:rPr>
          <w:sz w:val="28"/>
          <w:szCs w:val="28"/>
          <w:u w:val="single"/>
        </w:rPr>
        <w:t>P</w:t>
      </w:r>
      <w:r w:rsidRPr="008500F7">
        <w:rPr>
          <w:sz w:val="28"/>
          <w:szCs w:val="28"/>
          <w:u w:val="single"/>
        </w:rPr>
        <w:t>ayments</w:t>
      </w:r>
      <w:r>
        <w:rPr>
          <w:sz w:val="28"/>
          <w:szCs w:val="28"/>
          <w:u w:val="single"/>
        </w:rPr>
        <w:t>:</w:t>
      </w:r>
    </w:p>
    <w:p w14:paraId="6523148F" w14:textId="77777777" w:rsidR="0028453F" w:rsidRPr="0028453F" w:rsidRDefault="00CC60E4" w:rsidP="002B73FE">
      <w:pPr>
        <w:rPr>
          <w:sz w:val="24"/>
          <w:szCs w:val="24"/>
        </w:rPr>
      </w:pPr>
      <w:r>
        <w:rPr>
          <w:sz w:val="24"/>
          <w:szCs w:val="24"/>
        </w:rPr>
        <w:t xml:space="preserve">Q7: </w:t>
      </w:r>
      <w:r w:rsidRPr="00FD2BAF">
        <w:rPr>
          <w:sz w:val="24"/>
          <w:szCs w:val="24"/>
        </w:rPr>
        <w:t xml:space="preserve">Are </w:t>
      </w:r>
      <w:r w:rsidR="00D21581" w:rsidRPr="00D21581">
        <w:rPr>
          <w:sz w:val="24"/>
          <w:szCs w:val="24"/>
        </w:rPr>
        <w:t>there</w:t>
      </w:r>
      <w:r w:rsidRPr="00FD2BAF">
        <w:rPr>
          <w:sz w:val="24"/>
          <w:szCs w:val="24"/>
        </w:rPr>
        <w:t xml:space="preserve"> competition, efficiency and/or financial safety issues relating to mobile payments? If so, are there any regulatory actions that the RBA should consider?</w:t>
      </w:r>
    </w:p>
    <w:p w14:paraId="7847E41E" w14:textId="77777777" w:rsidR="00A05897" w:rsidRPr="00FD2BAF" w:rsidRDefault="00A05897">
      <w:pPr>
        <w:rPr>
          <w:sz w:val="24"/>
          <w:szCs w:val="24"/>
        </w:rPr>
      </w:pPr>
    </w:p>
    <w:p w14:paraId="5EA6CAB1" w14:textId="77777777" w:rsidR="0028453F" w:rsidRPr="0028453F" w:rsidRDefault="00CC60E4" w:rsidP="00021920">
      <w:pPr>
        <w:rPr>
          <w:sz w:val="24"/>
          <w:szCs w:val="24"/>
        </w:rPr>
      </w:pPr>
      <w:r w:rsidRPr="00DB0EC0">
        <w:rPr>
          <w:b/>
          <w:bCs/>
          <w:szCs w:val="20"/>
        </w:rPr>
        <w:t xml:space="preserve">Financial safety </w:t>
      </w:r>
      <w:r w:rsidR="00110A0E" w:rsidRPr="00110A0E">
        <w:rPr>
          <w:b/>
          <w:bCs/>
        </w:rPr>
        <w:t xml:space="preserve">and </w:t>
      </w:r>
      <w:r w:rsidRPr="00DB0EC0">
        <w:rPr>
          <w:b/>
          <w:bCs/>
          <w:szCs w:val="20"/>
        </w:rPr>
        <w:t xml:space="preserve">stability </w:t>
      </w:r>
      <w:r w:rsidR="00110A0E" w:rsidRPr="00110A0E">
        <w:rPr>
          <w:b/>
          <w:bCs/>
        </w:rPr>
        <w:t>considerations</w:t>
      </w:r>
      <w:r>
        <w:rPr>
          <w:b/>
          <w:bCs/>
          <w:szCs w:val="20"/>
        </w:rPr>
        <w:t>:</w:t>
      </w:r>
    </w:p>
    <w:p w14:paraId="22061934" w14:textId="77777777" w:rsidR="0028453F" w:rsidRPr="0028453F" w:rsidRDefault="00D421DE" w:rsidP="00ED67F1">
      <w:pPr>
        <w:rPr>
          <w:sz w:val="24"/>
          <w:szCs w:val="24"/>
        </w:rPr>
      </w:pPr>
      <w:r w:rsidRPr="00D421DE">
        <w:t>Mobile wallet and payment platform providers now facilitate a significant volume of everyday consumer transactions. To the extent these services perform payment-related functions, consideration should be given to whether they are subject to appropriate authorisation, licensing, oversight or transparency requirements that are proportionate to the nature, scale and risk profile of the activity being undertaken.</w:t>
      </w:r>
    </w:p>
    <w:p w14:paraId="5F584F0E" w14:textId="77777777" w:rsidR="004B2232" w:rsidRPr="00DB0EC0" w:rsidRDefault="004B2232" w:rsidP="00BA0E10">
      <w:pPr>
        <w:rPr>
          <w:szCs w:val="20"/>
        </w:rPr>
      </w:pPr>
    </w:p>
    <w:p w14:paraId="0BDDF771" w14:textId="77777777" w:rsidR="0028453F" w:rsidRPr="0028453F" w:rsidRDefault="00E26987" w:rsidP="00434356">
      <w:pPr>
        <w:rPr>
          <w:sz w:val="24"/>
          <w:szCs w:val="24"/>
        </w:rPr>
      </w:pPr>
      <w:r w:rsidRPr="00E26987">
        <w:t>Mobile payment arrangements may also affect fraud monitoring, transaction visibility and compliance risk management where relevant transaction data is fragmented across multiple parties. Any regulatory response should recognise the interaction between payment system oversight and the broader payment licensing framework, including the need for clear accountability where payment services are provided through complex platform arrangements.</w:t>
      </w:r>
    </w:p>
    <w:p w14:paraId="6A67EE4E" w14:textId="77777777" w:rsidR="00B1326C" w:rsidRDefault="00B1326C">
      <w:pPr>
        <w:rPr>
          <w:b/>
          <w:bCs/>
          <w:sz w:val="22"/>
        </w:rPr>
      </w:pPr>
    </w:p>
    <w:p w14:paraId="72ECEAEB" w14:textId="77777777" w:rsidR="0028453F" w:rsidRPr="0028453F" w:rsidRDefault="00CC60E4" w:rsidP="00647715">
      <w:pPr>
        <w:rPr>
          <w:sz w:val="24"/>
          <w:szCs w:val="24"/>
        </w:rPr>
      </w:pPr>
      <w:r>
        <w:rPr>
          <w:b/>
          <w:bCs/>
          <w:sz w:val="22"/>
        </w:rPr>
        <w:t xml:space="preserve">Efficiency </w:t>
      </w:r>
      <w:r w:rsidR="00DB324B" w:rsidRPr="00DB324B">
        <w:rPr>
          <w:b/>
          <w:bCs/>
          <w:sz w:val="22"/>
        </w:rPr>
        <w:t>considerations</w:t>
      </w:r>
      <w:r>
        <w:rPr>
          <w:b/>
          <w:bCs/>
          <w:sz w:val="22"/>
        </w:rPr>
        <w:t>:</w:t>
      </w:r>
    </w:p>
    <w:p w14:paraId="063C47DF" w14:textId="77777777" w:rsidR="0028453F" w:rsidRPr="0028453F" w:rsidRDefault="00CC60E4" w:rsidP="00F60331">
      <w:pPr>
        <w:rPr>
          <w:sz w:val="24"/>
          <w:szCs w:val="24"/>
        </w:rPr>
      </w:pPr>
      <w:r w:rsidRPr="00E64ADC">
        <w:rPr>
          <w:b/>
          <w:bCs/>
        </w:rPr>
        <w:t>Additional transaction costs:</w:t>
      </w:r>
      <w:r w:rsidRPr="00E64ADC">
        <w:t xml:space="preserve"> Some </w:t>
      </w:r>
      <w:r w:rsidR="000F5E12" w:rsidRPr="000F5E12">
        <w:t>mobile wallet or payment</w:t>
      </w:r>
      <w:r w:rsidRPr="00E64ADC">
        <w:t xml:space="preserve"> platform providers may apply transaction-related charges to </w:t>
      </w:r>
      <w:r w:rsidR="000F5E12" w:rsidRPr="000F5E12">
        <w:t xml:space="preserve">payment service providers or </w:t>
      </w:r>
      <w:r w:rsidRPr="00E64ADC">
        <w:t xml:space="preserve">issuing institutions. Where these costs </w:t>
      </w:r>
      <w:r w:rsidR="000F5E12" w:rsidRPr="000F5E12">
        <w:t>are not transparent or are</w:t>
      </w:r>
      <w:r w:rsidRPr="00E64ADC">
        <w:t xml:space="preserve"> outside existing </w:t>
      </w:r>
      <w:r w:rsidR="000F5E12" w:rsidRPr="000F5E12">
        <w:t>regulatory pricing frameworks</w:t>
      </w:r>
      <w:r w:rsidRPr="00E64ADC">
        <w:t xml:space="preserve">, they </w:t>
      </w:r>
      <w:r w:rsidR="000F5E12" w:rsidRPr="000F5E12">
        <w:t>may</w:t>
      </w:r>
      <w:r w:rsidRPr="00E64ADC">
        <w:t xml:space="preserve"> place additional pressure on the economics of card-based </w:t>
      </w:r>
      <w:r w:rsidR="000F5E12" w:rsidRPr="000F5E12">
        <w:t>and mobile payment services</w:t>
      </w:r>
      <w:r w:rsidRPr="00E64ADC">
        <w:t>.</w:t>
      </w:r>
    </w:p>
    <w:p w14:paraId="1E37E951" w14:textId="77777777" w:rsidR="00B1326C" w:rsidRDefault="00B1326C" w:rsidP="00B1326C">
      <w:pPr>
        <w:rPr>
          <w:kern w:val="2"/>
          <w:szCs w:val="20"/>
          <w:lang w:val="en-AU" w:eastAsia="en-AU"/>
          <w14:ligatures w14:val="standardContextual"/>
        </w:rPr>
      </w:pPr>
    </w:p>
    <w:p w14:paraId="7CA1BDEF" w14:textId="77777777" w:rsidR="0028453F" w:rsidRPr="0028453F" w:rsidRDefault="00CC60E4" w:rsidP="004822DB">
      <w:pPr>
        <w:rPr>
          <w:sz w:val="24"/>
          <w:szCs w:val="24"/>
        </w:rPr>
      </w:pPr>
      <w:r w:rsidRPr="00DB0EC0">
        <w:rPr>
          <w:b/>
          <w:bCs/>
        </w:rPr>
        <w:t>Impact on merchant and consumer costs:</w:t>
      </w:r>
      <w:r w:rsidRPr="00DB0EC0">
        <w:t xml:space="preserve"> Higher or less transparent payment costs may be passed through the payment chain and ultimately reflected in merchant pricing or consumer surcharges. </w:t>
      </w:r>
      <w:r w:rsidR="00814108" w:rsidRPr="00814108">
        <w:t>Greater transparency and monitoring may therefore be appropriate where such costs materially affect merchant outcomes, consumer choice or the efficiency of the broader payments system.</w:t>
      </w:r>
    </w:p>
    <w:p w14:paraId="067EC06F" w14:textId="77777777" w:rsidR="00B1326C" w:rsidRDefault="00B1326C">
      <w:pPr>
        <w:rPr>
          <w:kern w:val="2"/>
          <w:szCs w:val="20"/>
          <w:lang w:val="en-AU" w:eastAsia="en-AU"/>
          <w14:ligatures w14:val="standardContextual"/>
        </w:rPr>
      </w:pPr>
    </w:p>
    <w:p w14:paraId="25D2AE97" w14:textId="77777777" w:rsidR="0028453F" w:rsidRPr="0028453F" w:rsidRDefault="00CC60E4" w:rsidP="00402C8A">
      <w:pPr>
        <w:rPr>
          <w:sz w:val="24"/>
          <w:szCs w:val="24"/>
        </w:rPr>
      </w:pPr>
      <w:r w:rsidRPr="002E19C6">
        <w:rPr>
          <w:b/>
          <w:bCs/>
          <w:kern w:val="2"/>
          <w:szCs w:val="20"/>
          <w:lang w:val="en-AU" w:eastAsia="en-AU"/>
          <w14:ligatures w14:val="standardContextual"/>
        </w:rPr>
        <w:t xml:space="preserve">Competition </w:t>
      </w:r>
      <w:r w:rsidR="004D5F83" w:rsidRPr="004D5F83">
        <w:rPr>
          <w:b/>
          <w:bCs/>
        </w:rPr>
        <w:t>considerations</w:t>
      </w:r>
      <w:r w:rsidRPr="002E19C6">
        <w:rPr>
          <w:b/>
          <w:bCs/>
          <w:kern w:val="2"/>
          <w:szCs w:val="20"/>
          <w:lang w:val="en-AU" w:eastAsia="en-AU"/>
          <w14:ligatures w14:val="standardContextual"/>
        </w:rPr>
        <w:t>:</w:t>
      </w:r>
    </w:p>
    <w:p w14:paraId="6F296344" w14:textId="77777777" w:rsidR="0028453F" w:rsidRPr="0028453F" w:rsidRDefault="00CC60E4" w:rsidP="00367ACD">
      <w:pPr>
        <w:rPr>
          <w:sz w:val="24"/>
          <w:szCs w:val="24"/>
        </w:rPr>
      </w:pPr>
      <w:r w:rsidRPr="00CD7F03">
        <w:t xml:space="preserve">Mobile payment arrangements can raise competition </w:t>
      </w:r>
      <w:r w:rsidR="004E4D19" w:rsidRPr="004E4D19">
        <w:t>issues</w:t>
      </w:r>
      <w:r w:rsidRPr="00CD7F03">
        <w:t xml:space="preserve"> where access to key device functionality</w:t>
      </w:r>
      <w:r w:rsidR="004E4D19" w:rsidRPr="004E4D19">
        <w:t>,</w:t>
      </w:r>
      <w:r w:rsidRPr="00CD7F03">
        <w:t xml:space="preserve"> payment interfaces </w:t>
      </w:r>
      <w:r w:rsidR="004E4D19" w:rsidRPr="004E4D19">
        <w:t xml:space="preserve">or customer-facing payment experiences </w:t>
      </w:r>
      <w:r w:rsidRPr="00CD7F03">
        <w:t xml:space="preserve">is controlled by a limited number of platform providers. This may </w:t>
      </w:r>
      <w:r w:rsidR="004E4D19" w:rsidRPr="004E4D19">
        <w:t>constrain</w:t>
      </w:r>
      <w:r w:rsidRPr="00CD7F03">
        <w:t xml:space="preserve"> the ability of </w:t>
      </w:r>
      <w:r w:rsidR="004E4D19" w:rsidRPr="004E4D19">
        <w:t>authorised, licensed or otherwise regulated</w:t>
      </w:r>
      <w:r w:rsidRPr="00CD7F03">
        <w:t xml:space="preserve"> payment service providers to offer </w:t>
      </w:r>
      <w:r w:rsidR="004E4D19" w:rsidRPr="004E4D19">
        <w:t xml:space="preserve">competing services on </w:t>
      </w:r>
      <w:r w:rsidRPr="00CD7F03">
        <w:t xml:space="preserve">equivalent </w:t>
      </w:r>
      <w:r w:rsidR="004E4D19" w:rsidRPr="004E4D19">
        <w:t>terms</w:t>
      </w:r>
      <w:r w:rsidRPr="00CD7F03">
        <w:t xml:space="preserve">, potentially </w:t>
      </w:r>
      <w:r w:rsidR="004E4D19" w:rsidRPr="004E4D19">
        <w:t xml:space="preserve">limiting </w:t>
      </w:r>
      <w:r w:rsidRPr="00CD7F03">
        <w:t xml:space="preserve">consumer choice and </w:t>
      </w:r>
      <w:r w:rsidR="004E4D19" w:rsidRPr="004E4D19">
        <w:t>innovation</w:t>
      </w:r>
      <w:r w:rsidRPr="00CD7F03">
        <w:t>.</w:t>
      </w:r>
    </w:p>
    <w:p w14:paraId="3A9346EB" w14:textId="77777777" w:rsidR="002E19C6" w:rsidRPr="0028453F" w:rsidRDefault="002E19C6" w:rsidP="004F6694">
      <w:pPr>
        <w:rPr>
          <w:sz w:val="24"/>
          <w:szCs w:val="24"/>
        </w:rPr>
      </w:pPr>
    </w:p>
    <w:p w14:paraId="740122D4" w14:textId="77777777" w:rsidR="0028453F" w:rsidRPr="0028453F" w:rsidRDefault="00CC60E4" w:rsidP="00302868">
      <w:pPr>
        <w:rPr>
          <w:sz w:val="24"/>
          <w:szCs w:val="24"/>
        </w:rPr>
      </w:pPr>
      <w:r w:rsidRPr="00C8467B">
        <w:t xml:space="preserve">Least-cost routing </w:t>
      </w:r>
      <w:r w:rsidR="005F6647" w:rsidRPr="005F6647">
        <w:t>may</w:t>
      </w:r>
      <w:r w:rsidRPr="00C8467B">
        <w:t xml:space="preserve"> also be affected where mobile wallet or payment platform settings limit the ability to route transactions through lower-cost available networks. </w:t>
      </w:r>
      <w:r w:rsidR="005F6647" w:rsidRPr="005F6647">
        <w:t>This can increase overall merchant costs and reduce the efficiency benefits that least-cost routing is intended to support.</w:t>
      </w:r>
    </w:p>
    <w:p w14:paraId="0831043E" w14:textId="77777777" w:rsidR="00DA59BC" w:rsidRDefault="00DA59BC" w:rsidP="00712807"/>
    <w:p w14:paraId="70A3D124" w14:textId="77777777" w:rsidR="0028453F" w:rsidRPr="0028453F" w:rsidRDefault="00CC60E4" w:rsidP="009E6637">
      <w:pPr>
        <w:rPr>
          <w:sz w:val="24"/>
          <w:szCs w:val="24"/>
        </w:rPr>
      </w:pPr>
      <w:r w:rsidRPr="00A31C38">
        <w:t xml:space="preserve">Having regard to the competition, efficiency and financial safety considerations outlined above, Banking Circle Australia considers that </w:t>
      </w:r>
      <w:r w:rsidR="005C0174" w:rsidRPr="005C0174">
        <w:t>any</w:t>
      </w:r>
      <w:r w:rsidRPr="00A31C38">
        <w:t xml:space="preserve"> regulatory </w:t>
      </w:r>
      <w:r w:rsidR="005C0174" w:rsidRPr="005C0174">
        <w:t>response should recognise the interaction between the emerging</w:t>
      </w:r>
      <w:r w:rsidRPr="00A31C38">
        <w:t xml:space="preserve"> payment </w:t>
      </w:r>
      <w:r w:rsidR="005C0174" w:rsidRPr="005C0174">
        <w:t>licensing framework</w:t>
      </w:r>
      <w:r w:rsidRPr="00A31C38">
        <w:t xml:space="preserve"> and </w:t>
      </w:r>
      <w:r w:rsidR="005C0174" w:rsidRPr="005C0174">
        <w:t>payment system</w:t>
      </w:r>
      <w:r w:rsidRPr="00A31C38">
        <w:t xml:space="preserve"> oversight. </w:t>
      </w:r>
      <w:r w:rsidR="005C0174" w:rsidRPr="005C0174">
        <w:t>Licensing or authorisation obligations should be proportionate to the nature, scale and risk profile of payment activities, while payment system access, participation arrangements and platform-related governance should continue to support competition, innovation and consumer choice without compromising security, operational resilience or financial safety.</w:t>
      </w:r>
    </w:p>
    <w:p w14:paraId="42C67F14" w14:textId="77777777" w:rsidR="006316F6" w:rsidRDefault="006316F6" w:rsidP="00F91B07"/>
    <w:p w14:paraId="6D10C7D5" w14:textId="0D708721" w:rsidR="0028453F" w:rsidRPr="0028453F" w:rsidRDefault="002F1576" w:rsidP="0067179A">
      <w:pPr>
        <w:rPr>
          <w:sz w:val="24"/>
          <w:szCs w:val="24"/>
        </w:rPr>
      </w:pPr>
      <w:r w:rsidRPr="002F1576">
        <w:t xml:space="preserve">This could include clarifying how major mobile wallet and payment platform services should be treated within the revised payments regulatory framework, including whether </w:t>
      </w:r>
      <w:r w:rsidR="00C309C0" w:rsidRPr="002F1576">
        <w:t>activities</w:t>
      </w:r>
      <w:r w:rsidRPr="002F1576">
        <w:t xml:space="preserve"> should be subject to appropriate authorisation, licensing, oversight or transparency requirements based on their function and risk profile.</w:t>
      </w:r>
    </w:p>
    <w:p w14:paraId="073A8BBD" w14:textId="77777777" w:rsidR="006316F6" w:rsidRPr="0028453F" w:rsidRDefault="006316F6" w:rsidP="00F91B07">
      <w:pPr>
        <w:rPr>
          <w:sz w:val="24"/>
          <w:szCs w:val="24"/>
        </w:rPr>
      </w:pPr>
    </w:p>
    <w:p w14:paraId="1AD09751" w14:textId="77777777" w:rsidR="0028453F" w:rsidRPr="0028453F" w:rsidRDefault="00CC60E4" w:rsidP="003B2A99">
      <w:pPr>
        <w:rPr>
          <w:sz w:val="24"/>
          <w:szCs w:val="24"/>
        </w:rPr>
      </w:pPr>
      <w:r w:rsidRPr="009C79B8">
        <w:t xml:space="preserve">Consideration could also be given to whether access to relevant device-level payment functionality should be available to appropriately </w:t>
      </w:r>
      <w:r w:rsidR="00F94AC3" w:rsidRPr="00F94AC3">
        <w:t xml:space="preserve">authorised, </w:t>
      </w:r>
      <w:r w:rsidRPr="009C79B8">
        <w:t xml:space="preserve">licensed </w:t>
      </w:r>
      <w:r w:rsidR="00F94AC3" w:rsidRPr="00F94AC3">
        <w:t>or otherwise</w:t>
      </w:r>
      <w:r w:rsidRPr="009C79B8">
        <w:t xml:space="preserve"> regulated payment service providers on fair, reasonable and non-discriminatory terms, where this would support competition, innovation and consumer choice without compromising security</w:t>
      </w:r>
      <w:r w:rsidR="00F94AC3" w:rsidRPr="00F94AC3">
        <w:t>,</w:t>
      </w:r>
      <w:r w:rsidRPr="009C79B8">
        <w:t xml:space="preserve"> operational resilience</w:t>
      </w:r>
      <w:r w:rsidR="00F94AC3" w:rsidRPr="00F94AC3">
        <w:t xml:space="preserve"> or financial safety</w:t>
      </w:r>
      <w:r w:rsidRPr="009C79B8">
        <w:t>.</w:t>
      </w:r>
    </w:p>
    <w:p w14:paraId="2C114EC4" w14:textId="77777777" w:rsidR="006316F6" w:rsidRPr="0028453F" w:rsidRDefault="006316F6" w:rsidP="009E32D0">
      <w:pPr>
        <w:rPr>
          <w:sz w:val="24"/>
          <w:szCs w:val="24"/>
        </w:rPr>
      </w:pPr>
    </w:p>
    <w:p w14:paraId="6EF2E4FB" w14:textId="08A4CECD" w:rsidR="009F3E4B" w:rsidRPr="007B6C03" w:rsidRDefault="00CC60E4">
      <w:pPr>
        <w:rPr>
          <w:sz w:val="24"/>
          <w:szCs w:val="24"/>
        </w:rPr>
      </w:pPr>
      <w:r w:rsidRPr="006316F6">
        <w:t xml:space="preserve">The RBA may also wish to assess whether transaction-related charges associated with mobile wallet or payment platform services should be subject to greater transparency, monitoring or </w:t>
      </w:r>
      <w:r w:rsidR="00875DD5" w:rsidRPr="00875DD5">
        <w:t xml:space="preserve">other appropriate </w:t>
      </w:r>
      <w:r w:rsidRPr="006316F6">
        <w:t>regulatory treatment where they materially affect merchant costs, consumer outcomes or the efficiency of the broader payments system.</w:t>
      </w:r>
    </w:p>
    <w:p w14:paraId="09B92172" w14:textId="77777777" w:rsidR="009F3E4B" w:rsidRDefault="009F3E4B">
      <w:pPr>
        <w:rPr>
          <w:b/>
          <w:bCs/>
          <w:sz w:val="22"/>
        </w:rPr>
      </w:pPr>
    </w:p>
    <w:p w14:paraId="39C797F9" w14:textId="6558947D" w:rsidR="00360641" w:rsidRPr="00A94321" w:rsidRDefault="00C25D7F" w:rsidP="001B663A">
      <w:pPr>
        <w:rPr>
          <w:sz w:val="28"/>
          <w:szCs w:val="28"/>
          <w:u w:val="single"/>
        </w:rPr>
      </w:pPr>
      <w:r w:rsidRPr="00A94321">
        <w:rPr>
          <w:sz w:val="28"/>
          <w:szCs w:val="28"/>
          <w:u w:val="single"/>
        </w:rPr>
        <w:t>Section 4: Account-to-Account Payments:</w:t>
      </w:r>
    </w:p>
    <w:p w14:paraId="6277FAC9" w14:textId="03F55906" w:rsidR="00A94321" w:rsidRDefault="00794F04" w:rsidP="001B663A">
      <w:pPr>
        <w:rPr>
          <w:sz w:val="24"/>
          <w:szCs w:val="24"/>
        </w:rPr>
      </w:pPr>
      <w:r w:rsidRPr="00A94321">
        <w:rPr>
          <w:sz w:val="24"/>
          <w:szCs w:val="24"/>
        </w:rPr>
        <w:t>Q11: What are the challenges faced by participants and end-users in the A2A payments system? Do these limit efficiency, competition or financial safety in relation to A2A transactions?</w:t>
      </w:r>
    </w:p>
    <w:p w14:paraId="181360FE" w14:textId="77777777" w:rsidR="0030311E" w:rsidRDefault="0030311E" w:rsidP="001B663A">
      <w:pPr>
        <w:rPr>
          <w:sz w:val="24"/>
          <w:szCs w:val="24"/>
        </w:rPr>
      </w:pPr>
    </w:p>
    <w:p w14:paraId="5757A0F0" w14:textId="27781292" w:rsidR="00E376B4" w:rsidRDefault="00B069D9" w:rsidP="001B663A">
      <w:pPr>
        <w:rPr>
          <w:szCs w:val="20"/>
        </w:rPr>
      </w:pPr>
      <w:r w:rsidRPr="0030311E">
        <w:rPr>
          <w:szCs w:val="20"/>
        </w:rPr>
        <w:t>B</w:t>
      </w:r>
      <w:r w:rsidR="00E376B4" w:rsidRPr="0030311E">
        <w:rPr>
          <w:szCs w:val="20"/>
        </w:rPr>
        <w:t>anking</w:t>
      </w:r>
      <w:r w:rsidRPr="0030311E">
        <w:rPr>
          <w:szCs w:val="20"/>
        </w:rPr>
        <w:t xml:space="preserve"> Circle Australia in our response has focused on BECS and NPP</w:t>
      </w:r>
      <w:r w:rsidR="0030311E" w:rsidRPr="0030311E">
        <w:rPr>
          <w:szCs w:val="20"/>
        </w:rPr>
        <w:t xml:space="preserve"> in our response.</w:t>
      </w:r>
    </w:p>
    <w:p w14:paraId="5BC2417D" w14:textId="77777777" w:rsidR="0030311E" w:rsidRPr="0030311E" w:rsidRDefault="0030311E" w:rsidP="001B663A">
      <w:pPr>
        <w:rPr>
          <w:szCs w:val="20"/>
        </w:rPr>
      </w:pPr>
    </w:p>
    <w:p w14:paraId="612A7857" w14:textId="77777777" w:rsidR="00E376B4" w:rsidRPr="00E376B4" w:rsidRDefault="00E376B4" w:rsidP="00E376B4">
      <w:pPr>
        <w:rPr>
          <w:b/>
          <w:bCs/>
          <w:szCs w:val="20"/>
          <w:lang w:val="en-AU"/>
        </w:rPr>
      </w:pPr>
      <w:r w:rsidRPr="00E376B4">
        <w:rPr>
          <w:b/>
          <w:bCs/>
          <w:szCs w:val="20"/>
          <w:lang w:val="en-AU"/>
        </w:rPr>
        <w:t>Bulk Electronic Clearing System (BECS)</w:t>
      </w:r>
    </w:p>
    <w:p w14:paraId="355788DC" w14:textId="77777777" w:rsidR="00E376B4" w:rsidRPr="00E376B4" w:rsidRDefault="00E376B4" w:rsidP="00E376B4">
      <w:pPr>
        <w:rPr>
          <w:b/>
          <w:bCs/>
          <w:szCs w:val="20"/>
          <w:lang w:val="en-AU"/>
        </w:rPr>
      </w:pPr>
      <w:r w:rsidRPr="00E376B4">
        <w:rPr>
          <w:b/>
          <w:bCs/>
          <w:szCs w:val="20"/>
          <w:lang w:val="en-AU"/>
        </w:rPr>
        <w:t>Current State</w:t>
      </w:r>
    </w:p>
    <w:p w14:paraId="7A2A1EEF" w14:textId="77777777" w:rsidR="00E376B4" w:rsidRPr="00E376B4" w:rsidRDefault="00E376B4" w:rsidP="00E376B4">
      <w:pPr>
        <w:rPr>
          <w:szCs w:val="20"/>
          <w:lang w:val="en-AU"/>
        </w:rPr>
      </w:pPr>
      <w:r w:rsidRPr="00E376B4">
        <w:rPr>
          <w:szCs w:val="20"/>
          <w:lang w:val="en-AU"/>
        </w:rPr>
        <w:t>BECS remains a mature and effective payment system that continues to support a significant volume of domestic account-to-account transactions. The onboarding framework is well established, industry processes are generally understood by participants, and the scheme has provided a stable foundation for Australian payments for many years.</w:t>
      </w:r>
    </w:p>
    <w:p w14:paraId="3CF1ADD0" w14:textId="77777777" w:rsidR="00E376B4" w:rsidRDefault="00E376B4" w:rsidP="00E376B4">
      <w:pPr>
        <w:rPr>
          <w:szCs w:val="20"/>
          <w:lang w:val="en-AU"/>
        </w:rPr>
      </w:pPr>
      <w:r w:rsidRPr="00E376B4">
        <w:rPr>
          <w:szCs w:val="20"/>
          <w:lang w:val="en-AU"/>
        </w:rPr>
        <w:t>While the framework functions effectively overall, there are several areas where operational and administrative requirements can create unnecessary barriers for participants and reduce industry agility.</w:t>
      </w:r>
    </w:p>
    <w:p w14:paraId="1B99C2A1" w14:textId="77777777" w:rsidR="0030311E" w:rsidRPr="00E376B4" w:rsidRDefault="0030311E" w:rsidP="00E376B4">
      <w:pPr>
        <w:rPr>
          <w:szCs w:val="20"/>
          <w:lang w:val="en-AU"/>
        </w:rPr>
      </w:pPr>
    </w:p>
    <w:p w14:paraId="1EA5C920" w14:textId="77777777" w:rsidR="00E376B4" w:rsidRDefault="00E376B4" w:rsidP="00E376B4">
      <w:pPr>
        <w:rPr>
          <w:b/>
          <w:bCs/>
          <w:szCs w:val="20"/>
          <w:lang w:val="en-AU"/>
        </w:rPr>
      </w:pPr>
      <w:r w:rsidRPr="00E376B4">
        <w:rPr>
          <w:b/>
          <w:bCs/>
          <w:szCs w:val="20"/>
          <w:lang w:val="en-AU"/>
        </w:rPr>
        <w:t>Access to BSB Information</w:t>
      </w:r>
    </w:p>
    <w:p w14:paraId="59218BD1" w14:textId="77777777" w:rsidR="00E376B4" w:rsidRDefault="00E376B4" w:rsidP="00E376B4">
      <w:pPr>
        <w:rPr>
          <w:szCs w:val="20"/>
          <w:lang w:val="en-AU"/>
        </w:rPr>
      </w:pPr>
      <w:r w:rsidRPr="00E376B4">
        <w:rPr>
          <w:szCs w:val="20"/>
          <w:lang w:val="en-AU"/>
        </w:rPr>
        <w:t>Access to BSB ownership and routing information remains limited in some circumstances. Greater transparency and more efficient access mechanisms would assist participants in managing operational processes, improving customer outcomes and supporting innovation across the industry.</w:t>
      </w:r>
    </w:p>
    <w:p w14:paraId="33A8F1DD" w14:textId="77777777" w:rsidR="00014099" w:rsidRPr="00E376B4" w:rsidRDefault="00014099" w:rsidP="00E376B4">
      <w:pPr>
        <w:rPr>
          <w:szCs w:val="20"/>
          <w:lang w:val="en-AU"/>
        </w:rPr>
      </w:pPr>
    </w:p>
    <w:p w14:paraId="76FDBDCB" w14:textId="77777777" w:rsidR="00E376B4" w:rsidRDefault="00E376B4" w:rsidP="00E376B4">
      <w:pPr>
        <w:rPr>
          <w:szCs w:val="20"/>
          <w:lang w:val="en-AU"/>
        </w:rPr>
      </w:pPr>
      <w:r w:rsidRPr="00E376B4">
        <w:rPr>
          <w:szCs w:val="20"/>
          <w:lang w:val="en-AU"/>
        </w:rPr>
        <w:t>Improved accessibility of BSB-related information would also support greater competition by reducing informational barriers that can disproportionately affect newer market participants.</w:t>
      </w:r>
    </w:p>
    <w:p w14:paraId="638C0C4C" w14:textId="77777777" w:rsidR="00014099" w:rsidRDefault="00014099" w:rsidP="00E376B4">
      <w:pPr>
        <w:rPr>
          <w:szCs w:val="20"/>
          <w:lang w:val="en-AU"/>
        </w:rPr>
      </w:pPr>
    </w:p>
    <w:p w14:paraId="5C0851D3" w14:textId="26AF0A04" w:rsidR="0028453F" w:rsidRPr="0028453F" w:rsidRDefault="00CC60E4" w:rsidP="00252491">
      <w:pPr>
        <w:rPr>
          <w:sz w:val="24"/>
          <w:szCs w:val="24"/>
        </w:rPr>
      </w:pPr>
      <w:r>
        <w:rPr>
          <w:szCs w:val="20"/>
          <w:lang w:val="en-AU"/>
        </w:rPr>
        <w:t xml:space="preserve">We acknowledge that steps </w:t>
      </w:r>
      <w:r w:rsidR="00674A20" w:rsidRPr="00674A20">
        <w:t xml:space="preserve">are already </w:t>
      </w:r>
      <w:r>
        <w:rPr>
          <w:szCs w:val="20"/>
          <w:lang w:val="en-AU"/>
        </w:rPr>
        <w:t xml:space="preserve">being taken to address some of </w:t>
      </w:r>
      <w:r w:rsidR="00674A20" w:rsidRPr="00674A20">
        <w:t xml:space="preserve">the matters outlined </w:t>
      </w:r>
      <w:r>
        <w:rPr>
          <w:szCs w:val="20"/>
          <w:lang w:val="en-AU"/>
        </w:rPr>
        <w:t>above</w:t>
      </w:r>
      <w:r w:rsidR="00674A20" w:rsidRPr="00674A20">
        <w:t>,</w:t>
      </w:r>
      <w:r>
        <w:rPr>
          <w:szCs w:val="20"/>
          <w:lang w:val="en-AU"/>
        </w:rPr>
        <w:t xml:space="preserve"> which should assist</w:t>
      </w:r>
      <w:r w:rsidR="00674A20" w:rsidRPr="00674A20">
        <w:t xml:space="preserve"> in improving access, transparency, and operational efficiency</w:t>
      </w:r>
      <w:r>
        <w:rPr>
          <w:szCs w:val="20"/>
          <w:lang w:val="en-AU"/>
        </w:rPr>
        <w:t>.</w:t>
      </w:r>
    </w:p>
    <w:p w14:paraId="69943814" w14:textId="77777777" w:rsidR="00072CC2" w:rsidRPr="00E376B4" w:rsidRDefault="00072CC2" w:rsidP="00E376B4">
      <w:pPr>
        <w:rPr>
          <w:szCs w:val="20"/>
          <w:lang w:val="en-AU"/>
        </w:rPr>
      </w:pPr>
    </w:p>
    <w:p w14:paraId="7F671206" w14:textId="30DB12D7" w:rsidR="00E376B4" w:rsidRDefault="00E376B4" w:rsidP="00E376B4">
      <w:pPr>
        <w:rPr>
          <w:b/>
          <w:bCs/>
          <w:szCs w:val="20"/>
          <w:lang w:val="en-AU"/>
        </w:rPr>
      </w:pPr>
      <w:r w:rsidRPr="00E376B4">
        <w:rPr>
          <w:b/>
          <w:bCs/>
          <w:szCs w:val="20"/>
          <w:lang w:val="en-AU"/>
        </w:rPr>
        <w:t>BSB Registration and Maintenance</w:t>
      </w:r>
    </w:p>
    <w:p w14:paraId="69B73151" w14:textId="77777777" w:rsidR="00072CC2" w:rsidRPr="00E376B4" w:rsidRDefault="00072CC2" w:rsidP="00E376B4">
      <w:pPr>
        <w:rPr>
          <w:b/>
          <w:bCs/>
          <w:szCs w:val="20"/>
          <w:lang w:val="en-AU"/>
        </w:rPr>
      </w:pPr>
    </w:p>
    <w:p w14:paraId="302B64FF" w14:textId="4CE4B49E" w:rsidR="00E376B4" w:rsidRPr="00E376B4" w:rsidRDefault="00E376B4" w:rsidP="00E376B4">
      <w:pPr>
        <w:rPr>
          <w:szCs w:val="20"/>
          <w:lang w:val="en-AU"/>
        </w:rPr>
      </w:pPr>
      <w:r w:rsidRPr="00E376B4">
        <w:rPr>
          <w:szCs w:val="20"/>
          <w:lang w:val="en-AU"/>
        </w:rPr>
        <w:t xml:space="preserve">The ongoing administration associated with BSB registration and maintenance may create challenges for participants, particularly as organisations grow, introduce new </w:t>
      </w:r>
      <w:r w:rsidR="00674A20" w:rsidRPr="00E376B4">
        <w:rPr>
          <w:szCs w:val="20"/>
          <w:lang w:val="en-AU"/>
        </w:rPr>
        <w:t>products,</w:t>
      </w:r>
      <w:r w:rsidRPr="00E376B4">
        <w:rPr>
          <w:szCs w:val="20"/>
          <w:lang w:val="en-AU"/>
        </w:rPr>
        <w:t xml:space="preserve"> or expand service offerings.</w:t>
      </w:r>
    </w:p>
    <w:p w14:paraId="2DEBDD08" w14:textId="77777777" w:rsidR="0028453F" w:rsidRPr="0028453F" w:rsidRDefault="00CC60E4" w:rsidP="00C22536">
      <w:pPr>
        <w:rPr>
          <w:sz w:val="24"/>
          <w:szCs w:val="24"/>
        </w:rPr>
      </w:pPr>
      <w:r w:rsidRPr="00E376B4">
        <w:rPr>
          <w:szCs w:val="20"/>
          <w:lang w:val="en-AU"/>
        </w:rPr>
        <w:t xml:space="preserve">While governance and oversight remain important, existing processes </w:t>
      </w:r>
      <w:r w:rsidR="00C43CC6" w:rsidRPr="00C43CC6">
        <w:t>should be reviewed to ensure they</w:t>
      </w:r>
      <w:r w:rsidRPr="00E376B4">
        <w:rPr>
          <w:szCs w:val="20"/>
          <w:lang w:val="en-AU"/>
        </w:rPr>
        <w:t xml:space="preserve"> appropriately </w:t>
      </w:r>
      <w:r w:rsidR="00C43CC6" w:rsidRPr="00C43CC6">
        <w:t>balance</w:t>
      </w:r>
      <w:r w:rsidRPr="00E376B4">
        <w:rPr>
          <w:szCs w:val="20"/>
          <w:lang w:val="en-AU"/>
        </w:rPr>
        <w:t xml:space="preserve"> regulatory objectives </w:t>
      </w:r>
      <w:r w:rsidR="00C43CC6" w:rsidRPr="00C43CC6">
        <w:t>with</w:t>
      </w:r>
      <w:r w:rsidRPr="00E376B4">
        <w:rPr>
          <w:szCs w:val="20"/>
          <w:lang w:val="en-AU"/>
        </w:rPr>
        <w:t xml:space="preserve"> operational efficiency.</w:t>
      </w:r>
    </w:p>
    <w:p w14:paraId="01A06044" w14:textId="0E51B1C2" w:rsidR="0028453F" w:rsidRPr="0028453F" w:rsidRDefault="00CC60E4" w:rsidP="00B97775">
      <w:pPr>
        <w:rPr>
          <w:sz w:val="24"/>
          <w:szCs w:val="24"/>
        </w:rPr>
      </w:pPr>
      <w:r w:rsidRPr="00E376B4">
        <w:rPr>
          <w:szCs w:val="20"/>
          <w:lang w:val="en-AU"/>
        </w:rPr>
        <w:t xml:space="preserve">The review provides an opportunity to </w:t>
      </w:r>
      <w:r w:rsidR="0032474F" w:rsidRPr="0032474F">
        <w:t>consider</w:t>
      </w:r>
      <w:r w:rsidRPr="00E376B4">
        <w:rPr>
          <w:szCs w:val="20"/>
          <w:lang w:val="en-AU"/>
        </w:rPr>
        <w:t xml:space="preserve"> whether administrative requirements </w:t>
      </w:r>
      <w:r w:rsidR="0032474F" w:rsidRPr="0032474F">
        <w:t>can</w:t>
      </w:r>
      <w:r w:rsidRPr="00E376B4">
        <w:rPr>
          <w:szCs w:val="20"/>
          <w:lang w:val="en-AU"/>
        </w:rPr>
        <w:t xml:space="preserve"> be streamlined without compromising the integrity of the </w:t>
      </w:r>
      <w:r w:rsidR="0032474F" w:rsidRPr="0032474F">
        <w:t>payment’s</w:t>
      </w:r>
      <w:r w:rsidRPr="00E376B4">
        <w:rPr>
          <w:szCs w:val="20"/>
          <w:lang w:val="en-AU"/>
        </w:rPr>
        <w:t xml:space="preserve"> ecosystem.</w:t>
      </w:r>
    </w:p>
    <w:p w14:paraId="68136805" w14:textId="77777777" w:rsidR="00072CC2" w:rsidRPr="00E376B4" w:rsidRDefault="00072CC2" w:rsidP="00E376B4">
      <w:pPr>
        <w:rPr>
          <w:szCs w:val="20"/>
          <w:lang w:val="en-AU"/>
        </w:rPr>
      </w:pPr>
    </w:p>
    <w:p w14:paraId="688FC895" w14:textId="77777777" w:rsidR="00E376B4" w:rsidRPr="00E376B4" w:rsidRDefault="00E376B4" w:rsidP="00E376B4">
      <w:pPr>
        <w:rPr>
          <w:b/>
          <w:bCs/>
          <w:szCs w:val="20"/>
          <w:lang w:val="en-AU"/>
        </w:rPr>
      </w:pPr>
      <w:r w:rsidRPr="00E376B4">
        <w:rPr>
          <w:b/>
          <w:bCs/>
          <w:szCs w:val="20"/>
          <w:lang w:val="en-AU"/>
        </w:rPr>
        <w:t>Change Management and Industry Agility</w:t>
      </w:r>
    </w:p>
    <w:p w14:paraId="6F0EECD2" w14:textId="7694E3A3" w:rsidR="00E376B4" w:rsidRPr="00E376B4" w:rsidRDefault="00E376B4" w:rsidP="00E376B4">
      <w:pPr>
        <w:rPr>
          <w:szCs w:val="20"/>
          <w:lang w:val="en-AU"/>
        </w:rPr>
      </w:pPr>
      <w:r w:rsidRPr="00E376B4">
        <w:rPr>
          <w:szCs w:val="20"/>
          <w:lang w:val="en-AU"/>
        </w:rPr>
        <w:lastRenderedPageBreak/>
        <w:t>Industry change</w:t>
      </w:r>
      <w:r w:rsidR="00072CC2">
        <w:rPr>
          <w:szCs w:val="20"/>
          <w:lang w:val="en-AU"/>
        </w:rPr>
        <w:t xml:space="preserve"> date</w:t>
      </w:r>
      <w:r w:rsidRPr="00E376B4">
        <w:rPr>
          <w:szCs w:val="20"/>
          <w:lang w:val="en-AU"/>
        </w:rPr>
        <w:t xml:space="preserve"> windows and implementation cycles can limit the speed at which participants are able to respond to customer needs, implement new functionality or bring innovative products to market.</w:t>
      </w:r>
    </w:p>
    <w:p w14:paraId="2AA02C53" w14:textId="77777777" w:rsidR="00E376B4" w:rsidRPr="00E376B4" w:rsidRDefault="00E376B4" w:rsidP="00E376B4">
      <w:pPr>
        <w:rPr>
          <w:szCs w:val="20"/>
          <w:lang w:val="en-AU"/>
        </w:rPr>
      </w:pPr>
      <w:r w:rsidRPr="00E376B4">
        <w:rPr>
          <w:szCs w:val="20"/>
          <w:lang w:val="en-AU"/>
        </w:rPr>
        <w:t>While coordinated industry change processes are necessary to maintain stability and reduce risk, there may be opportunities to introduce more flexible approaches that better support innovation and responsiveness.</w:t>
      </w:r>
    </w:p>
    <w:p w14:paraId="5DD145B1" w14:textId="77777777" w:rsidR="00E376B4" w:rsidRDefault="00E376B4" w:rsidP="00E376B4">
      <w:pPr>
        <w:rPr>
          <w:szCs w:val="20"/>
          <w:lang w:val="en-AU"/>
        </w:rPr>
      </w:pPr>
      <w:r w:rsidRPr="00E376B4">
        <w:rPr>
          <w:szCs w:val="20"/>
          <w:lang w:val="en-AU"/>
        </w:rPr>
        <w:t>A review of industry change governance frameworks should consider whether existing processes remain fit for purpose in an increasingly digital and rapidly evolving payments environment.</w:t>
      </w:r>
    </w:p>
    <w:p w14:paraId="0E9E9EF1" w14:textId="77777777" w:rsidR="00072CC2" w:rsidRDefault="00072CC2" w:rsidP="00E376B4">
      <w:pPr>
        <w:rPr>
          <w:szCs w:val="20"/>
          <w:lang w:val="en-AU"/>
        </w:rPr>
      </w:pPr>
    </w:p>
    <w:p w14:paraId="4145AA1A" w14:textId="77777777" w:rsidR="00E376B4" w:rsidRDefault="003146DD" w:rsidP="00D25E96">
      <w:r w:rsidRPr="003146DD">
        <w:rPr>
          <w:b/>
          <w:bCs/>
        </w:rPr>
        <w:t>Importance of the A2A Roadmap:</w:t>
      </w:r>
      <w:r w:rsidRPr="003146DD">
        <w:t xml:space="preserve"> The A2A Roadmap, due in Q1 2027, will be critical to the issues outlined above. It should provide greater clarity on the future direction of BECS, including its expected role, transition pathway and potential lifespan within Australia’s payments ecosystem.</w:t>
      </w:r>
    </w:p>
    <w:p w14:paraId="406B7376" w14:textId="77777777" w:rsidR="00E376B4" w:rsidRPr="00E376B4" w:rsidRDefault="00000000" w:rsidP="00E376B4">
      <w:pPr>
        <w:rPr>
          <w:szCs w:val="20"/>
          <w:lang w:val="en-AU"/>
        </w:rPr>
      </w:pPr>
      <w:r>
        <w:rPr>
          <w:szCs w:val="20"/>
          <w:lang w:val="en-AU"/>
        </w:rPr>
        <w:pict w14:anchorId="4DA68F82">
          <v:rect id="_x0000_i1026" style="width:0;height:1.5pt" o:hralign="center" o:hrstd="t" o:hr="t" fillcolor="#a0a0a0" stroked="f"/>
        </w:pict>
      </w:r>
    </w:p>
    <w:p w14:paraId="75395FBD" w14:textId="687101D9" w:rsidR="00E376B4" w:rsidRDefault="00E376B4" w:rsidP="00E376B4">
      <w:pPr>
        <w:rPr>
          <w:b/>
          <w:bCs/>
          <w:szCs w:val="20"/>
          <w:lang w:val="en-AU"/>
        </w:rPr>
      </w:pPr>
      <w:r w:rsidRPr="00E376B4">
        <w:rPr>
          <w:b/>
          <w:bCs/>
          <w:szCs w:val="20"/>
          <w:lang w:val="en-AU"/>
        </w:rPr>
        <w:t>New Payments Platform (NPP)</w:t>
      </w:r>
    </w:p>
    <w:p w14:paraId="043B13B8" w14:textId="77777777" w:rsidR="00072CC2" w:rsidRPr="00E376B4" w:rsidRDefault="00072CC2" w:rsidP="00E376B4">
      <w:pPr>
        <w:rPr>
          <w:b/>
          <w:bCs/>
          <w:szCs w:val="20"/>
          <w:lang w:val="en-AU"/>
        </w:rPr>
      </w:pPr>
    </w:p>
    <w:p w14:paraId="351AC8C0" w14:textId="77777777" w:rsidR="00E376B4" w:rsidRPr="00E376B4" w:rsidRDefault="00E376B4" w:rsidP="00E376B4">
      <w:pPr>
        <w:rPr>
          <w:b/>
          <w:bCs/>
          <w:szCs w:val="20"/>
          <w:lang w:val="en-AU"/>
        </w:rPr>
      </w:pPr>
      <w:r w:rsidRPr="00E376B4">
        <w:rPr>
          <w:b/>
          <w:bCs/>
          <w:szCs w:val="20"/>
          <w:lang w:val="en-AU"/>
        </w:rPr>
        <w:t>Streamlined and Proportionate Participation</w:t>
      </w:r>
    </w:p>
    <w:p w14:paraId="5F944796" w14:textId="77777777" w:rsidR="00E376B4" w:rsidRPr="00E376B4" w:rsidRDefault="00E376B4" w:rsidP="00E376B4">
      <w:pPr>
        <w:rPr>
          <w:szCs w:val="20"/>
          <w:lang w:val="en-AU"/>
        </w:rPr>
      </w:pPr>
      <w:r w:rsidRPr="00E376B4">
        <w:rPr>
          <w:szCs w:val="20"/>
          <w:lang w:val="en-AU"/>
        </w:rPr>
        <w:t>The NPP has significantly enhanced Australia's payments capabilities and continues to play an important role in supporting innovation and real-time payments.</w:t>
      </w:r>
    </w:p>
    <w:p w14:paraId="568B3D87" w14:textId="77777777" w:rsidR="00E376B4" w:rsidRPr="00E376B4" w:rsidRDefault="00E376B4" w:rsidP="00E376B4">
      <w:pPr>
        <w:rPr>
          <w:szCs w:val="20"/>
          <w:lang w:val="en-AU"/>
        </w:rPr>
      </w:pPr>
      <w:r w:rsidRPr="00E376B4">
        <w:rPr>
          <w:szCs w:val="20"/>
          <w:lang w:val="en-AU"/>
        </w:rPr>
        <w:t>However, onboarding and ongoing participation requirements can create substantial cost, complexity and implementation burdens, particularly for newer entrants and sponsored institutions.</w:t>
      </w:r>
    </w:p>
    <w:p w14:paraId="36C43D6F" w14:textId="77777777" w:rsidR="00E376B4" w:rsidRPr="00E376B4" w:rsidRDefault="00E376B4" w:rsidP="00E376B4">
      <w:pPr>
        <w:rPr>
          <w:szCs w:val="20"/>
          <w:lang w:val="en-AU"/>
        </w:rPr>
      </w:pPr>
      <w:r w:rsidRPr="00E376B4">
        <w:rPr>
          <w:szCs w:val="20"/>
          <w:lang w:val="en-AU"/>
        </w:rPr>
        <w:t>Banking Circle Australia supports a framework that maintains mandatory compliance obligations while providing a more streamlined onboarding pathway for participants whose services, transaction profiles and risk characteristics differ from those of larger incumbent institutions.</w:t>
      </w:r>
    </w:p>
    <w:p w14:paraId="2175998D" w14:textId="77777777" w:rsidR="00E376B4" w:rsidRDefault="00E376B4" w:rsidP="00E376B4">
      <w:pPr>
        <w:rPr>
          <w:szCs w:val="20"/>
          <w:lang w:val="en-AU"/>
        </w:rPr>
      </w:pPr>
      <w:r w:rsidRPr="00E376B4">
        <w:rPr>
          <w:szCs w:val="20"/>
          <w:lang w:val="en-AU"/>
        </w:rPr>
        <w:t>Participation requirements should be proportionate, risk-based and aligned to the nature of the services being provided.</w:t>
      </w:r>
    </w:p>
    <w:p w14:paraId="28A6248F" w14:textId="77777777" w:rsidR="002C0ABA" w:rsidRPr="00E376B4" w:rsidRDefault="002C0ABA" w:rsidP="00E376B4">
      <w:pPr>
        <w:rPr>
          <w:szCs w:val="20"/>
          <w:lang w:val="en-AU"/>
        </w:rPr>
      </w:pPr>
    </w:p>
    <w:p w14:paraId="379081FA" w14:textId="77777777" w:rsidR="00E376B4" w:rsidRPr="00E376B4" w:rsidRDefault="00E376B4" w:rsidP="00E376B4">
      <w:pPr>
        <w:rPr>
          <w:b/>
          <w:bCs/>
          <w:szCs w:val="20"/>
          <w:lang w:val="en-AU"/>
        </w:rPr>
      </w:pPr>
      <w:r w:rsidRPr="00E376B4">
        <w:rPr>
          <w:b/>
          <w:bCs/>
          <w:szCs w:val="20"/>
          <w:lang w:val="en-AU"/>
        </w:rPr>
        <w:t>Flexible Participation Models</w:t>
      </w:r>
    </w:p>
    <w:p w14:paraId="3B40A60D" w14:textId="6A66CAF7" w:rsidR="00E376B4" w:rsidRDefault="002651C3" w:rsidP="007A1D2D">
      <w:r w:rsidRPr="00E376B4">
        <w:rPr>
          <w:szCs w:val="20"/>
          <w:lang w:val="en-AU"/>
        </w:rPr>
        <w:t xml:space="preserve">Not all NPP participants require </w:t>
      </w:r>
      <w:r w:rsidR="00FE1D4D" w:rsidRPr="00FE1D4D">
        <w:t xml:space="preserve">access to </w:t>
      </w:r>
      <w:r w:rsidRPr="00E376B4">
        <w:rPr>
          <w:szCs w:val="20"/>
          <w:lang w:val="en-AU"/>
        </w:rPr>
        <w:t xml:space="preserve">the full suite of </w:t>
      </w:r>
      <w:r w:rsidR="00FE1D4D" w:rsidRPr="00FE1D4D">
        <w:t xml:space="preserve">platform </w:t>
      </w:r>
      <w:r w:rsidRPr="00E376B4">
        <w:rPr>
          <w:szCs w:val="20"/>
          <w:lang w:val="en-AU"/>
        </w:rPr>
        <w:t>functionality</w:t>
      </w:r>
      <w:r w:rsidR="00FE1D4D" w:rsidRPr="00FE1D4D">
        <w:t>, and we acknowledge</w:t>
      </w:r>
      <w:r>
        <w:rPr>
          <w:szCs w:val="20"/>
          <w:lang w:val="en-AU"/>
        </w:rPr>
        <w:t xml:space="preserve"> that work </w:t>
      </w:r>
      <w:r w:rsidR="00FE1D4D" w:rsidRPr="00FE1D4D">
        <w:t>is already underway to</w:t>
      </w:r>
      <w:r>
        <w:rPr>
          <w:szCs w:val="20"/>
          <w:lang w:val="en-AU"/>
        </w:rPr>
        <w:t xml:space="preserve"> address this in some for</w:t>
      </w:r>
      <w:r w:rsidR="00FE1D4D">
        <w:rPr>
          <w:szCs w:val="20"/>
          <w:lang w:val="en-AU"/>
        </w:rPr>
        <w:t>m we believe there is more work required.</w:t>
      </w:r>
    </w:p>
    <w:p w14:paraId="00EBB5FF" w14:textId="77777777" w:rsidR="00E376B4" w:rsidRPr="00E376B4" w:rsidRDefault="00E376B4" w:rsidP="00E376B4">
      <w:pPr>
        <w:rPr>
          <w:szCs w:val="20"/>
          <w:lang w:val="en-AU"/>
        </w:rPr>
      </w:pPr>
      <w:r w:rsidRPr="00E376B4">
        <w:rPr>
          <w:szCs w:val="20"/>
          <w:lang w:val="en-AU"/>
        </w:rPr>
        <w:t>A more flexible participation framework would allow institutions to access specific services and capabilities that align with their business model and customer requirements without incurring the full cost and complexity associated with broader participation obligations.</w:t>
      </w:r>
    </w:p>
    <w:p w14:paraId="6DB1A5CA" w14:textId="77777777" w:rsidR="00E376B4" w:rsidRDefault="00E376B4" w:rsidP="00E376B4">
      <w:pPr>
        <w:rPr>
          <w:szCs w:val="20"/>
          <w:lang w:val="en-AU"/>
        </w:rPr>
      </w:pPr>
      <w:r w:rsidRPr="00E376B4">
        <w:rPr>
          <w:szCs w:val="20"/>
          <w:lang w:val="en-AU"/>
        </w:rPr>
        <w:t>Such an approach would encourage greater participation, increase competition and support innovation while maintaining appropriate risk controls.</w:t>
      </w:r>
    </w:p>
    <w:p w14:paraId="3CE43495" w14:textId="77777777" w:rsidR="00FE1D4D" w:rsidRPr="00E376B4" w:rsidRDefault="00FE1D4D" w:rsidP="00E376B4">
      <w:pPr>
        <w:rPr>
          <w:szCs w:val="20"/>
          <w:lang w:val="en-AU"/>
        </w:rPr>
      </w:pPr>
    </w:p>
    <w:p w14:paraId="53323264" w14:textId="77777777" w:rsidR="00E376B4" w:rsidRPr="00E376B4" w:rsidRDefault="00E376B4" w:rsidP="00E376B4">
      <w:pPr>
        <w:rPr>
          <w:b/>
          <w:bCs/>
          <w:szCs w:val="20"/>
          <w:lang w:val="en-AU"/>
        </w:rPr>
      </w:pPr>
      <w:r w:rsidRPr="00E376B4">
        <w:rPr>
          <w:b/>
          <w:bCs/>
          <w:szCs w:val="20"/>
          <w:lang w:val="en-AU"/>
        </w:rPr>
        <w:t>Certification, Testing and Implementation Requirements</w:t>
      </w:r>
    </w:p>
    <w:p w14:paraId="47C3FD05" w14:textId="77777777" w:rsidR="00E376B4" w:rsidRPr="00E376B4" w:rsidRDefault="00E376B4" w:rsidP="00E376B4">
      <w:pPr>
        <w:rPr>
          <w:szCs w:val="20"/>
          <w:lang w:val="en-AU"/>
        </w:rPr>
      </w:pPr>
      <w:r w:rsidRPr="00E376B4">
        <w:rPr>
          <w:szCs w:val="20"/>
          <w:lang w:val="en-AU"/>
        </w:rPr>
        <w:t>Certification and testing requirements are essential to maintaining the safety, security and reliability of the NPP.</w:t>
      </w:r>
    </w:p>
    <w:p w14:paraId="44CE88BA" w14:textId="77777777" w:rsidR="00E376B4" w:rsidRPr="00E376B4" w:rsidRDefault="00E376B4" w:rsidP="00E376B4">
      <w:pPr>
        <w:rPr>
          <w:szCs w:val="20"/>
          <w:lang w:val="en-AU"/>
        </w:rPr>
      </w:pPr>
      <w:r w:rsidRPr="00E376B4">
        <w:rPr>
          <w:szCs w:val="20"/>
          <w:lang w:val="en-AU"/>
        </w:rPr>
        <w:t>However, current approaches can create significant implementation costs and time-to-market delays, particularly where requirements are applied uniformly across all participants regardless of their size, risk profile or use case.</w:t>
      </w:r>
    </w:p>
    <w:p w14:paraId="42600E3A" w14:textId="77777777" w:rsidR="00E376B4" w:rsidRPr="00E376B4" w:rsidRDefault="00E376B4" w:rsidP="00E376B4">
      <w:pPr>
        <w:rPr>
          <w:szCs w:val="20"/>
          <w:lang w:val="en-AU"/>
        </w:rPr>
      </w:pPr>
      <w:r w:rsidRPr="00E376B4">
        <w:rPr>
          <w:szCs w:val="20"/>
          <w:lang w:val="en-AU"/>
        </w:rPr>
        <w:t>A more graduated framework that aligns testing and certification requirements with participant risk characteristics would reduce unnecessary costs while maintaining confidence in the network.</w:t>
      </w:r>
    </w:p>
    <w:p w14:paraId="7A0EABEC" w14:textId="77777777" w:rsidR="00E376B4" w:rsidRDefault="00E376B4" w:rsidP="00E376B4">
      <w:pPr>
        <w:rPr>
          <w:szCs w:val="20"/>
          <w:lang w:val="en-AU"/>
        </w:rPr>
      </w:pPr>
      <w:r w:rsidRPr="00E376B4">
        <w:rPr>
          <w:szCs w:val="20"/>
          <w:lang w:val="en-AU"/>
        </w:rPr>
        <w:t>This approach would be particularly beneficial for fintechs, sponsored institutions and specialised participants whose operational models differ significantly from those of major financial institutions.</w:t>
      </w:r>
    </w:p>
    <w:p w14:paraId="4197B28A" w14:textId="77777777" w:rsidR="00FE1D4D" w:rsidRPr="00E376B4" w:rsidRDefault="00FE1D4D" w:rsidP="00E376B4">
      <w:pPr>
        <w:rPr>
          <w:szCs w:val="20"/>
          <w:lang w:val="en-AU"/>
        </w:rPr>
      </w:pPr>
    </w:p>
    <w:p w14:paraId="1FE6694F" w14:textId="77777777" w:rsidR="00E376B4" w:rsidRPr="00E376B4" w:rsidRDefault="00E376B4" w:rsidP="00E376B4">
      <w:pPr>
        <w:rPr>
          <w:b/>
          <w:bCs/>
          <w:szCs w:val="20"/>
          <w:lang w:val="en-AU"/>
        </w:rPr>
      </w:pPr>
      <w:r w:rsidRPr="00E376B4">
        <w:rPr>
          <w:b/>
          <w:bCs/>
          <w:szCs w:val="20"/>
          <w:lang w:val="en-AU"/>
        </w:rPr>
        <w:t>Ongoing Compliance Costs</w:t>
      </w:r>
    </w:p>
    <w:p w14:paraId="6562B6D1" w14:textId="77777777" w:rsidR="00E376B4" w:rsidRPr="00E376B4" w:rsidRDefault="00E376B4" w:rsidP="00E376B4">
      <w:pPr>
        <w:rPr>
          <w:szCs w:val="20"/>
          <w:lang w:val="en-AU"/>
        </w:rPr>
      </w:pPr>
      <w:r w:rsidRPr="00E376B4">
        <w:rPr>
          <w:szCs w:val="20"/>
          <w:lang w:val="en-AU"/>
        </w:rPr>
        <w:t>In addition to onboarding requirements, ongoing mandatory obligations can represent a considerable operational and financial burden.</w:t>
      </w:r>
    </w:p>
    <w:p w14:paraId="170C55D5" w14:textId="77777777" w:rsidR="00E376B4" w:rsidRPr="00E376B4" w:rsidRDefault="00E376B4" w:rsidP="00E376B4">
      <w:pPr>
        <w:rPr>
          <w:szCs w:val="20"/>
          <w:lang w:val="en-AU"/>
        </w:rPr>
      </w:pPr>
      <w:r w:rsidRPr="00E376B4">
        <w:rPr>
          <w:szCs w:val="20"/>
          <w:lang w:val="en-AU"/>
        </w:rPr>
        <w:t>These costs are ultimately reflected in the services provided to customers and can reduce the ability of smaller institutions to compete effectively.</w:t>
      </w:r>
    </w:p>
    <w:p w14:paraId="4F45810E" w14:textId="77777777" w:rsidR="00E376B4" w:rsidRDefault="00E376B4" w:rsidP="00E376B4">
      <w:pPr>
        <w:rPr>
          <w:szCs w:val="20"/>
          <w:lang w:val="en-AU"/>
        </w:rPr>
      </w:pPr>
      <w:r w:rsidRPr="00E376B4">
        <w:rPr>
          <w:szCs w:val="20"/>
          <w:lang w:val="en-AU"/>
        </w:rPr>
        <w:t>The Review presents an opportunity to reassess whether all ongoing obligations remain necessary, and whether compliance requirements can be simplified while continuing to achieve the desired regulatory and risk-management outcomes.</w:t>
      </w:r>
    </w:p>
    <w:p w14:paraId="3B2023F3" w14:textId="77777777" w:rsidR="00FE1D4D" w:rsidRPr="00E376B4" w:rsidRDefault="00FE1D4D" w:rsidP="00E376B4">
      <w:pPr>
        <w:rPr>
          <w:szCs w:val="20"/>
          <w:lang w:val="en-AU"/>
        </w:rPr>
      </w:pPr>
    </w:p>
    <w:p w14:paraId="3874C429" w14:textId="77777777" w:rsidR="00E376B4" w:rsidRPr="00E376B4" w:rsidRDefault="00E376B4" w:rsidP="00E376B4">
      <w:pPr>
        <w:rPr>
          <w:b/>
          <w:bCs/>
          <w:szCs w:val="20"/>
          <w:lang w:val="en-AU"/>
        </w:rPr>
      </w:pPr>
      <w:r w:rsidRPr="00E376B4">
        <w:rPr>
          <w:b/>
          <w:bCs/>
          <w:szCs w:val="20"/>
          <w:lang w:val="en-AU"/>
        </w:rPr>
        <w:t>Supporting Competition and Innovation</w:t>
      </w:r>
    </w:p>
    <w:p w14:paraId="72963D12" w14:textId="77777777" w:rsidR="00E376B4" w:rsidRPr="00E376B4" w:rsidRDefault="00E376B4" w:rsidP="00E376B4">
      <w:pPr>
        <w:rPr>
          <w:szCs w:val="20"/>
          <w:lang w:val="en-AU"/>
        </w:rPr>
      </w:pPr>
      <w:r w:rsidRPr="00E376B4">
        <w:rPr>
          <w:szCs w:val="20"/>
          <w:lang w:val="en-AU"/>
        </w:rPr>
        <w:t>The current participation framework can create barriers to entry for new participants and may inadvertently favour larger incumbents that possess greater scale, resources and implementation capability.</w:t>
      </w:r>
    </w:p>
    <w:p w14:paraId="08B1D620" w14:textId="77777777" w:rsidR="00E376B4" w:rsidRPr="00E376B4" w:rsidRDefault="00E376B4" w:rsidP="00E376B4">
      <w:pPr>
        <w:rPr>
          <w:szCs w:val="20"/>
          <w:lang w:val="en-AU"/>
        </w:rPr>
      </w:pPr>
      <w:r w:rsidRPr="00E376B4">
        <w:rPr>
          <w:szCs w:val="20"/>
          <w:lang w:val="en-AU"/>
        </w:rPr>
        <w:t>To promote competition and encourage innovation, regulatory and scheme requirements should be designed in a way that supports diverse participant types while maintaining consistent standards of security, resilience and financial safety.</w:t>
      </w:r>
    </w:p>
    <w:p w14:paraId="29704365" w14:textId="77777777" w:rsidR="00E376B4" w:rsidRPr="00E376B4" w:rsidRDefault="00E376B4" w:rsidP="00E376B4">
      <w:pPr>
        <w:rPr>
          <w:szCs w:val="20"/>
          <w:lang w:val="en-AU"/>
        </w:rPr>
      </w:pPr>
      <w:r w:rsidRPr="00E376B4">
        <w:rPr>
          <w:szCs w:val="20"/>
          <w:lang w:val="en-AU"/>
        </w:rPr>
        <w:t>A proportionate regulatory framework will help ensure that the benefits of real-time payments are accessible to a broader range of participants and end users.</w:t>
      </w:r>
    </w:p>
    <w:p w14:paraId="52D65541" w14:textId="77777777" w:rsidR="00E376B4" w:rsidRPr="00E376B4" w:rsidRDefault="00000000" w:rsidP="00E376B4">
      <w:pPr>
        <w:rPr>
          <w:szCs w:val="20"/>
          <w:lang w:val="en-AU"/>
        </w:rPr>
      </w:pPr>
      <w:r>
        <w:rPr>
          <w:szCs w:val="20"/>
          <w:lang w:val="en-AU"/>
        </w:rPr>
        <w:pict w14:anchorId="09DC3D5B">
          <v:rect id="_x0000_i1027" style="width:0;height:1.5pt" o:hralign="center" o:hrstd="t" o:hr="t" fillcolor="#a0a0a0" stroked="f"/>
        </w:pict>
      </w:r>
    </w:p>
    <w:p w14:paraId="791EB318" w14:textId="77777777" w:rsidR="00284703" w:rsidRDefault="00284703" w:rsidP="00E376B4">
      <w:pPr>
        <w:rPr>
          <w:b/>
          <w:bCs/>
          <w:szCs w:val="20"/>
          <w:lang w:val="en-AU"/>
        </w:rPr>
      </w:pPr>
    </w:p>
    <w:p w14:paraId="0391771C" w14:textId="03AC03E9" w:rsidR="00E376B4" w:rsidRPr="00E376B4" w:rsidRDefault="00E376B4" w:rsidP="00E376B4">
      <w:pPr>
        <w:rPr>
          <w:b/>
          <w:bCs/>
          <w:szCs w:val="20"/>
          <w:lang w:val="en-AU"/>
        </w:rPr>
      </w:pPr>
      <w:r w:rsidRPr="00E376B4">
        <w:rPr>
          <w:b/>
          <w:bCs/>
          <w:szCs w:val="20"/>
          <w:lang w:val="en-AU"/>
        </w:rPr>
        <w:t>Conclusion</w:t>
      </w:r>
    </w:p>
    <w:p w14:paraId="752699FA" w14:textId="5F2DB70C" w:rsidR="00060DCC" w:rsidRPr="00060DCC" w:rsidRDefault="00060DCC" w:rsidP="00060DCC">
      <w:pPr>
        <w:rPr>
          <w:szCs w:val="20"/>
          <w:lang w:val="en-AU"/>
        </w:rPr>
      </w:pPr>
      <w:r w:rsidRPr="00060DCC">
        <w:rPr>
          <w:szCs w:val="20"/>
          <w:lang w:val="en-AU"/>
        </w:rPr>
        <w:t xml:space="preserve">Banking Circle Australia supports continued investment in Australia’s account-to-account payment infrastructure and recognises the important role that both BECS and the NPP play within the broader </w:t>
      </w:r>
      <w:proofErr w:type="gramStart"/>
      <w:r w:rsidRPr="00060DCC">
        <w:rPr>
          <w:szCs w:val="20"/>
          <w:lang w:val="en-AU"/>
        </w:rPr>
        <w:t>payments</w:t>
      </w:r>
      <w:proofErr w:type="gramEnd"/>
      <w:r w:rsidRPr="00060DCC">
        <w:rPr>
          <w:szCs w:val="20"/>
          <w:lang w:val="en-AU"/>
        </w:rPr>
        <w:t xml:space="preserve"> ecosystem, including the need for clarity on BECS’ future role.</w:t>
      </w:r>
    </w:p>
    <w:p w14:paraId="6E792FFC" w14:textId="77777777" w:rsidR="00D41FA7" w:rsidRPr="00E376B4" w:rsidRDefault="00D41FA7" w:rsidP="00E376B4">
      <w:pPr>
        <w:rPr>
          <w:szCs w:val="20"/>
          <w:lang w:val="en-AU"/>
        </w:rPr>
      </w:pPr>
    </w:p>
    <w:p w14:paraId="6A9251EB" w14:textId="77777777" w:rsidR="00E376B4" w:rsidRPr="00E376B4" w:rsidRDefault="00E376B4" w:rsidP="00E376B4">
      <w:pPr>
        <w:rPr>
          <w:szCs w:val="20"/>
          <w:lang w:val="en-AU"/>
        </w:rPr>
      </w:pPr>
      <w:r w:rsidRPr="00E376B4">
        <w:rPr>
          <w:szCs w:val="20"/>
          <w:lang w:val="en-AU"/>
        </w:rPr>
        <w:t>We encourage consideration of reforms that:</w:t>
      </w:r>
    </w:p>
    <w:p w14:paraId="0A5D924B" w14:textId="77777777" w:rsidR="00E376B4" w:rsidRPr="00E376B4" w:rsidRDefault="00E376B4" w:rsidP="00E376B4">
      <w:pPr>
        <w:numPr>
          <w:ilvl w:val="0"/>
          <w:numId w:val="17"/>
        </w:numPr>
        <w:rPr>
          <w:szCs w:val="20"/>
          <w:lang w:val="en-AU"/>
        </w:rPr>
      </w:pPr>
      <w:r w:rsidRPr="00E376B4">
        <w:rPr>
          <w:szCs w:val="20"/>
          <w:lang w:val="en-AU"/>
        </w:rPr>
        <w:t>Reduce unnecessary barriers to participation.</w:t>
      </w:r>
    </w:p>
    <w:p w14:paraId="42C20CA1" w14:textId="77777777" w:rsidR="00E376B4" w:rsidRPr="00E376B4" w:rsidRDefault="00E376B4" w:rsidP="00E376B4">
      <w:pPr>
        <w:numPr>
          <w:ilvl w:val="0"/>
          <w:numId w:val="17"/>
        </w:numPr>
        <w:rPr>
          <w:szCs w:val="20"/>
          <w:lang w:val="en-AU"/>
        </w:rPr>
      </w:pPr>
      <w:r w:rsidRPr="00E376B4">
        <w:rPr>
          <w:szCs w:val="20"/>
          <w:lang w:val="en-AU"/>
        </w:rPr>
        <w:t>Promote proportionate and risk-based regulatory obligations.</w:t>
      </w:r>
    </w:p>
    <w:p w14:paraId="296B5DF9" w14:textId="77777777" w:rsidR="00E376B4" w:rsidRPr="00E376B4" w:rsidRDefault="00E376B4" w:rsidP="00E376B4">
      <w:pPr>
        <w:numPr>
          <w:ilvl w:val="0"/>
          <w:numId w:val="17"/>
        </w:numPr>
        <w:rPr>
          <w:szCs w:val="20"/>
          <w:lang w:val="en-AU"/>
        </w:rPr>
      </w:pPr>
      <w:r w:rsidRPr="00E376B4">
        <w:rPr>
          <w:szCs w:val="20"/>
          <w:lang w:val="en-AU"/>
        </w:rPr>
        <w:t>Improve operational flexibility and speed to market.</w:t>
      </w:r>
    </w:p>
    <w:p w14:paraId="1700D900" w14:textId="77777777" w:rsidR="00E376B4" w:rsidRPr="00E376B4" w:rsidRDefault="00E376B4" w:rsidP="00E376B4">
      <w:pPr>
        <w:numPr>
          <w:ilvl w:val="0"/>
          <w:numId w:val="17"/>
        </w:numPr>
        <w:rPr>
          <w:szCs w:val="20"/>
          <w:lang w:val="en-AU"/>
        </w:rPr>
      </w:pPr>
      <w:r w:rsidRPr="00E376B4">
        <w:rPr>
          <w:szCs w:val="20"/>
          <w:lang w:val="en-AU"/>
        </w:rPr>
        <w:t>Encourage competition and innovation.</w:t>
      </w:r>
    </w:p>
    <w:p w14:paraId="169189AD" w14:textId="77777777" w:rsidR="00E376B4" w:rsidRDefault="00E376B4" w:rsidP="00E376B4">
      <w:pPr>
        <w:numPr>
          <w:ilvl w:val="0"/>
          <w:numId w:val="17"/>
        </w:numPr>
        <w:rPr>
          <w:szCs w:val="20"/>
          <w:lang w:val="en-AU"/>
        </w:rPr>
      </w:pPr>
      <w:r w:rsidRPr="00E376B4">
        <w:rPr>
          <w:szCs w:val="20"/>
          <w:lang w:val="en-AU"/>
        </w:rPr>
        <w:t>Maintain strong standards of security, resilience and financial safety.</w:t>
      </w:r>
    </w:p>
    <w:p w14:paraId="1996EDE9" w14:textId="77777777" w:rsidR="00D41FA7" w:rsidRPr="00E376B4" w:rsidRDefault="00D41FA7" w:rsidP="0028453F">
      <w:pPr>
        <w:ind w:left="720"/>
        <w:rPr>
          <w:szCs w:val="20"/>
          <w:lang w:val="en-AU"/>
        </w:rPr>
      </w:pPr>
    </w:p>
    <w:p w14:paraId="64FA56CA" w14:textId="78012C86" w:rsidR="00E376B4" w:rsidRPr="007B6C03" w:rsidRDefault="00E376B4" w:rsidP="001B663A">
      <w:pPr>
        <w:rPr>
          <w:szCs w:val="20"/>
          <w:lang w:val="en-AU"/>
        </w:rPr>
      </w:pPr>
      <w:r w:rsidRPr="00E376B4">
        <w:rPr>
          <w:szCs w:val="20"/>
          <w:lang w:val="en-AU"/>
        </w:rPr>
        <w:t>By adopting a more flexible and proportionate approach, Australia can continue to foster a competitive payments environment that delivers improved outcomes for consumers, businesses and the broader economy.</w:t>
      </w:r>
    </w:p>
    <w:p w14:paraId="4C13AA48" w14:textId="77777777" w:rsidR="0028453F" w:rsidRDefault="0028453F" w:rsidP="001B663A">
      <w:pPr>
        <w:rPr>
          <w:szCs w:val="20"/>
        </w:rPr>
      </w:pPr>
    </w:p>
    <w:p w14:paraId="0CB10502" w14:textId="591AFE78" w:rsidR="0028453F" w:rsidRDefault="0028453F" w:rsidP="001B663A">
      <w:pPr>
        <w:rPr>
          <w:sz w:val="24"/>
          <w:szCs w:val="24"/>
        </w:rPr>
      </w:pPr>
      <w:r w:rsidRPr="0028453F">
        <w:rPr>
          <w:sz w:val="24"/>
          <w:szCs w:val="24"/>
        </w:rPr>
        <w:t>Q12: Is there a case for the RBA to take any regulatory action in relation to A2A payments to support efficiency, competition or financial safety, or control risk to the financial system? If so, what regulatory actions should be considered?</w:t>
      </w:r>
    </w:p>
    <w:p w14:paraId="1D61693B" w14:textId="77777777" w:rsidR="00122AF1" w:rsidRDefault="00122AF1" w:rsidP="001B663A">
      <w:pPr>
        <w:rPr>
          <w:sz w:val="24"/>
          <w:szCs w:val="24"/>
        </w:rPr>
      </w:pPr>
    </w:p>
    <w:p w14:paraId="424713D0" w14:textId="06382D55" w:rsidR="00122AF1" w:rsidRDefault="00122AF1" w:rsidP="00122AF1">
      <w:pPr>
        <w:rPr>
          <w:szCs w:val="20"/>
          <w:lang w:val="en-AU"/>
        </w:rPr>
      </w:pPr>
      <w:r w:rsidRPr="00122AF1">
        <w:rPr>
          <w:szCs w:val="20"/>
          <w:lang w:val="en-AU"/>
        </w:rPr>
        <w:t xml:space="preserve">Banking Circle Australia considers that there is </w:t>
      </w:r>
      <w:proofErr w:type="spellStart"/>
      <w:proofErr w:type="gramStart"/>
      <w:r w:rsidRPr="00122AF1">
        <w:rPr>
          <w:szCs w:val="20"/>
          <w:lang w:val="en-AU"/>
        </w:rPr>
        <w:t>a</w:t>
      </w:r>
      <w:proofErr w:type="spellEnd"/>
      <w:proofErr w:type="gramEnd"/>
      <w:r w:rsidRPr="00122AF1">
        <w:rPr>
          <w:szCs w:val="20"/>
          <w:lang w:val="en-AU"/>
        </w:rPr>
        <w:t xml:space="preserve"> </w:t>
      </w:r>
      <w:r w:rsidR="00550B45">
        <w:rPr>
          <w:szCs w:val="20"/>
          <w:lang w:val="en-AU"/>
        </w:rPr>
        <w:t>opportunity</w:t>
      </w:r>
      <w:r w:rsidRPr="00122AF1">
        <w:rPr>
          <w:szCs w:val="20"/>
          <w:lang w:val="en-AU"/>
        </w:rPr>
        <w:t xml:space="preserve"> for the RBA to take a targeted and proportionate role in relation to account-to-account payments</w:t>
      </w:r>
      <w:r w:rsidR="00550B45">
        <w:rPr>
          <w:szCs w:val="20"/>
          <w:lang w:val="en-AU"/>
        </w:rPr>
        <w:t xml:space="preserve"> or at least continue to monitor and review moving ahead. P</w:t>
      </w:r>
      <w:r w:rsidRPr="00122AF1">
        <w:rPr>
          <w:szCs w:val="20"/>
          <w:lang w:val="en-AU"/>
        </w:rPr>
        <w:t>articularly where industry-led arrangements alone may not be sufficient to deliver timely improvements in efficiency, competition, financial safety and systemic resilience. Any regulatory action should be outcomes-based, risk-proportionate and technology-neutral, and should avoid imposing unnecessary compliance complexity or cost on smaller participants, sponsored institutions or emerging payment service providers.</w:t>
      </w:r>
    </w:p>
    <w:p w14:paraId="268379CB" w14:textId="77777777" w:rsidR="00550B45" w:rsidRPr="00122AF1" w:rsidRDefault="00550B45" w:rsidP="00122AF1">
      <w:pPr>
        <w:rPr>
          <w:szCs w:val="20"/>
          <w:lang w:val="en-AU"/>
        </w:rPr>
      </w:pPr>
    </w:p>
    <w:p w14:paraId="792BB1BE" w14:textId="0A409F72" w:rsidR="00772961" w:rsidRPr="00122AF1" w:rsidRDefault="00122AF1" w:rsidP="00122AF1">
      <w:pPr>
        <w:rPr>
          <w:szCs w:val="20"/>
          <w:lang w:val="en-AU"/>
        </w:rPr>
      </w:pPr>
      <w:r w:rsidRPr="00122AF1">
        <w:rPr>
          <w:szCs w:val="20"/>
          <w:lang w:val="en-AU"/>
        </w:rPr>
        <w:t xml:space="preserve">The RBA’s role should not necessarily be to prescribe detailed technical solutions. Rather, it should focus on establishing clear expectations for the outcomes the A2A payments system should deliver, supporting transparent industry governance, and ensuring that access, participation and risk-management arrangements are aligned with the public interest. This approach would allow industry to continue innovating and investing in appropriate solutions, while providing regulatory clarity </w:t>
      </w:r>
      <w:proofErr w:type="gramStart"/>
      <w:r w:rsidRPr="00122AF1">
        <w:rPr>
          <w:szCs w:val="20"/>
          <w:lang w:val="en-AU"/>
        </w:rPr>
        <w:t>where</w:t>
      </w:r>
      <w:proofErr w:type="gramEnd"/>
      <w:r w:rsidRPr="00122AF1">
        <w:rPr>
          <w:szCs w:val="20"/>
          <w:lang w:val="en-AU"/>
        </w:rPr>
        <w:t xml:space="preserve"> coordination, standardisation or market incentives may otherwise be insufficient.</w:t>
      </w:r>
    </w:p>
    <w:p w14:paraId="484212C3" w14:textId="77777777" w:rsidR="00880C27" w:rsidRDefault="00880C27" w:rsidP="006A37E6">
      <w:pPr>
        <w:rPr>
          <w:b/>
          <w:bCs/>
          <w:szCs w:val="20"/>
          <w:lang w:val="en-AU"/>
        </w:rPr>
      </w:pPr>
    </w:p>
    <w:p w14:paraId="6A42D50A" w14:textId="7AFC9DE3" w:rsidR="0028453F" w:rsidRPr="0028453F" w:rsidRDefault="002651C3" w:rsidP="006A37E6">
      <w:pPr>
        <w:rPr>
          <w:sz w:val="24"/>
          <w:szCs w:val="24"/>
        </w:rPr>
      </w:pPr>
      <w:r w:rsidRPr="00122AF1">
        <w:rPr>
          <w:b/>
          <w:bCs/>
          <w:szCs w:val="20"/>
          <w:lang w:val="en-AU"/>
        </w:rPr>
        <w:t xml:space="preserve">Recommended </w:t>
      </w:r>
      <w:r w:rsidR="00602C03" w:rsidRPr="00602C03">
        <w:rPr>
          <w:b/>
          <w:bCs/>
        </w:rPr>
        <w:t xml:space="preserve">areas for </w:t>
      </w:r>
      <w:r w:rsidRPr="00122AF1">
        <w:rPr>
          <w:b/>
          <w:bCs/>
          <w:szCs w:val="20"/>
          <w:lang w:val="en-AU"/>
        </w:rPr>
        <w:t xml:space="preserve">regulatory </w:t>
      </w:r>
      <w:r>
        <w:rPr>
          <w:b/>
          <w:bCs/>
          <w:szCs w:val="20"/>
          <w:lang w:val="en-AU"/>
        </w:rPr>
        <w:t xml:space="preserve">oversight </w:t>
      </w:r>
      <w:r w:rsidR="00602C03" w:rsidRPr="00602C03">
        <w:rPr>
          <w:b/>
          <w:bCs/>
        </w:rPr>
        <w:t>and</w:t>
      </w:r>
      <w:r>
        <w:rPr>
          <w:b/>
          <w:bCs/>
          <w:szCs w:val="20"/>
          <w:lang w:val="en-AU"/>
        </w:rPr>
        <w:t xml:space="preserve"> potential </w:t>
      </w:r>
      <w:r w:rsidR="00602C03" w:rsidRPr="00602C03">
        <w:rPr>
          <w:b/>
          <w:bCs/>
        </w:rPr>
        <w:t xml:space="preserve">future </w:t>
      </w:r>
      <w:r w:rsidRPr="00122AF1">
        <w:rPr>
          <w:b/>
          <w:bCs/>
          <w:szCs w:val="20"/>
          <w:lang w:val="en-AU"/>
        </w:rPr>
        <w:t>action</w:t>
      </w:r>
    </w:p>
    <w:p w14:paraId="31F2A92C" w14:textId="77777777" w:rsidR="00122AF1" w:rsidRPr="00122AF1" w:rsidRDefault="00122AF1" w:rsidP="00122AF1">
      <w:pPr>
        <w:rPr>
          <w:szCs w:val="20"/>
          <w:lang w:val="en-AU"/>
        </w:rPr>
      </w:pPr>
      <w:r w:rsidRPr="00122AF1">
        <w:rPr>
          <w:szCs w:val="20"/>
          <w:lang w:val="en-AU"/>
        </w:rPr>
        <w:t>Banking Circle Australia recommends that the RBA consider the following actions:</w:t>
      </w:r>
    </w:p>
    <w:p w14:paraId="4550DCE5" w14:textId="77777777" w:rsidR="00122AF1" w:rsidRPr="00122AF1" w:rsidRDefault="00122AF1" w:rsidP="00122AF1">
      <w:pPr>
        <w:numPr>
          <w:ilvl w:val="0"/>
          <w:numId w:val="18"/>
        </w:numPr>
        <w:rPr>
          <w:szCs w:val="20"/>
          <w:lang w:val="en-AU"/>
        </w:rPr>
      </w:pPr>
      <w:r w:rsidRPr="00122AF1">
        <w:rPr>
          <w:b/>
          <w:bCs/>
          <w:szCs w:val="20"/>
          <w:lang w:val="en-AU"/>
        </w:rPr>
        <w:t>Support a clear and time-bound A2A roadmap:</w:t>
      </w:r>
      <w:r w:rsidRPr="00122AF1">
        <w:rPr>
          <w:szCs w:val="20"/>
          <w:lang w:val="en-AU"/>
        </w:rPr>
        <w:t xml:space="preserve"> The RBA should continue to play an active role in the development and oversight of the A2A Roadmap. The roadmap should provide clear direction on the future roles of BECS and the NPP, including the transition pathway, expected timing, investment </w:t>
      </w:r>
      <w:r w:rsidRPr="00122AF1">
        <w:rPr>
          <w:szCs w:val="20"/>
          <w:lang w:val="en-AU"/>
        </w:rPr>
        <w:lastRenderedPageBreak/>
        <w:t>requirements, risk controls and any dependencies that must be addressed before material changes are made to existing A2A infrastructure.</w:t>
      </w:r>
    </w:p>
    <w:p w14:paraId="4A3703D9" w14:textId="77777777" w:rsidR="00122AF1" w:rsidRPr="00122AF1" w:rsidRDefault="00122AF1" w:rsidP="00122AF1">
      <w:pPr>
        <w:numPr>
          <w:ilvl w:val="0"/>
          <w:numId w:val="18"/>
        </w:numPr>
        <w:rPr>
          <w:szCs w:val="20"/>
          <w:lang w:val="en-AU"/>
        </w:rPr>
      </w:pPr>
      <w:r w:rsidRPr="00122AF1">
        <w:rPr>
          <w:b/>
          <w:bCs/>
          <w:szCs w:val="20"/>
          <w:lang w:val="en-AU"/>
        </w:rPr>
        <w:t>Promote proportionate access and participation frameworks:</w:t>
      </w:r>
      <w:r w:rsidRPr="00122AF1">
        <w:rPr>
          <w:szCs w:val="20"/>
          <w:lang w:val="en-AU"/>
        </w:rPr>
        <w:t xml:space="preserve"> The RBA should encourage scheme operators and industry bodies to develop participation models that are proportionate to the nature, scale and risk profile of different participants. This should include clearer and more flexible pathways for smaller institutions, sponsored participants, fintechs and specialist payment service providers where their service models do not require access to the full suite of platform functionality.</w:t>
      </w:r>
    </w:p>
    <w:p w14:paraId="3B9B80B0" w14:textId="77777777" w:rsidR="00122AF1" w:rsidRPr="00122AF1" w:rsidRDefault="00122AF1" w:rsidP="00122AF1">
      <w:pPr>
        <w:numPr>
          <w:ilvl w:val="0"/>
          <w:numId w:val="18"/>
        </w:numPr>
        <w:rPr>
          <w:szCs w:val="20"/>
          <w:lang w:val="en-AU"/>
        </w:rPr>
      </w:pPr>
      <w:r w:rsidRPr="00122AF1">
        <w:rPr>
          <w:b/>
          <w:bCs/>
          <w:szCs w:val="20"/>
          <w:lang w:val="en-AU"/>
        </w:rPr>
        <w:t>Improve transparency of access, onboarding and ongoing obligations:</w:t>
      </w:r>
      <w:r w:rsidRPr="00122AF1">
        <w:rPr>
          <w:szCs w:val="20"/>
          <w:lang w:val="en-AU"/>
        </w:rPr>
        <w:t xml:space="preserve"> The RBA should consider setting expectations for greater transparency around participation requirements, onboarding processes, certification and testing obligations, ongoing compliance costs and indirect access arrangements. Greater transparency would support competition by enabling prospective participants to better assess the cost, timing and operational implications of entering or expanding within the A2A payments ecosystem.</w:t>
      </w:r>
    </w:p>
    <w:p w14:paraId="57A4A625" w14:textId="77777777" w:rsidR="00122AF1" w:rsidRPr="00122AF1" w:rsidRDefault="00122AF1" w:rsidP="00122AF1">
      <w:pPr>
        <w:numPr>
          <w:ilvl w:val="0"/>
          <w:numId w:val="18"/>
        </w:numPr>
        <w:rPr>
          <w:szCs w:val="20"/>
          <w:lang w:val="en-AU"/>
        </w:rPr>
      </w:pPr>
      <w:r w:rsidRPr="00122AF1">
        <w:rPr>
          <w:b/>
          <w:bCs/>
          <w:szCs w:val="20"/>
          <w:lang w:val="en-AU"/>
        </w:rPr>
        <w:t>Encourage streamlined certification and testing requirements:</w:t>
      </w:r>
      <w:r w:rsidRPr="00122AF1">
        <w:rPr>
          <w:szCs w:val="20"/>
          <w:lang w:val="en-AU"/>
        </w:rPr>
        <w:t xml:space="preserve"> Certification and testing remain essential to maintaining security, resilience and reliability. However, requirements should be calibrated to participant risk, service scope and use case. The RBA should consider whether industry frameworks could be made more graduated and efficient, reducing unnecessary duplication and time-to-market delays without weakening financial safety or operational resilience.</w:t>
      </w:r>
    </w:p>
    <w:p w14:paraId="6286BAD9" w14:textId="77777777" w:rsidR="00122AF1" w:rsidRPr="00122AF1" w:rsidRDefault="00122AF1" w:rsidP="00122AF1">
      <w:pPr>
        <w:numPr>
          <w:ilvl w:val="0"/>
          <w:numId w:val="18"/>
        </w:numPr>
        <w:rPr>
          <w:szCs w:val="20"/>
          <w:lang w:val="en-AU"/>
        </w:rPr>
      </w:pPr>
      <w:r w:rsidRPr="00122AF1">
        <w:rPr>
          <w:b/>
          <w:bCs/>
          <w:szCs w:val="20"/>
          <w:lang w:val="en-AU"/>
        </w:rPr>
        <w:t>Strengthen governance, consultation and accountability:</w:t>
      </w:r>
      <w:r w:rsidRPr="00122AF1">
        <w:rPr>
          <w:szCs w:val="20"/>
          <w:lang w:val="en-AU"/>
        </w:rPr>
        <w:t xml:space="preserve"> The RBA should support governance arrangements that ensure a broad range of participant and end-user perspectives are appropriately considered in A2A decision-making. This is particularly important where changes to BECS, NPP participation requirements or future infrastructure investment may have different impacts across large incumbents, smaller participants, sponsored institutions, payment service providers, businesses and government end users.</w:t>
      </w:r>
    </w:p>
    <w:p w14:paraId="65BAF5C4" w14:textId="77777777" w:rsidR="00122AF1" w:rsidRPr="00122AF1" w:rsidRDefault="00122AF1" w:rsidP="00122AF1">
      <w:pPr>
        <w:numPr>
          <w:ilvl w:val="0"/>
          <w:numId w:val="18"/>
        </w:numPr>
        <w:rPr>
          <w:szCs w:val="20"/>
          <w:lang w:val="en-AU"/>
        </w:rPr>
      </w:pPr>
      <w:r w:rsidRPr="00122AF1">
        <w:rPr>
          <w:b/>
          <w:bCs/>
          <w:szCs w:val="20"/>
          <w:lang w:val="en-AU"/>
        </w:rPr>
        <w:t>Promote interoperability and standardisation where it supports competition and resilience:</w:t>
      </w:r>
      <w:r w:rsidRPr="00122AF1">
        <w:rPr>
          <w:szCs w:val="20"/>
          <w:lang w:val="en-AU"/>
        </w:rPr>
        <w:t xml:space="preserve"> The RBA should consider whether clearer expectations are needed for interoperability, common standards and consistent service outcomes across A2A payment rails. Appropriate standardisation can reduce complexity, lower barriers to entry, improve end-user experience and support resilience by making it easier for participants and end users to adopt alternative payment options where appropriate.</w:t>
      </w:r>
    </w:p>
    <w:p w14:paraId="50733F5D" w14:textId="77777777" w:rsidR="00122AF1" w:rsidRDefault="00122AF1" w:rsidP="00122AF1">
      <w:pPr>
        <w:numPr>
          <w:ilvl w:val="0"/>
          <w:numId w:val="18"/>
        </w:numPr>
        <w:rPr>
          <w:szCs w:val="20"/>
          <w:lang w:val="en-AU"/>
        </w:rPr>
      </w:pPr>
      <w:r w:rsidRPr="00122AF1">
        <w:rPr>
          <w:b/>
          <w:bCs/>
          <w:szCs w:val="20"/>
          <w:lang w:val="en-AU"/>
        </w:rPr>
        <w:t>Maintain strong resilience and financial safety expectations:</w:t>
      </w:r>
      <w:r w:rsidRPr="00122AF1">
        <w:rPr>
          <w:szCs w:val="20"/>
          <w:lang w:val="en-AU"/>
        </w:rPr>
        <w:t xml:space="preserve"> Any regulatory action should preserve the reliability and safety of the A2A payments system. This includes ensuring appropriate contingency arrangements, operational resilience requirements, outage management processes, fraud controls, security standards and clear accountability across payment system operators and participants.</w:t>
      </w:r>
    </w:p>
    <w:p w14:paraId="45FBE590" w14:textId="77777777" w:rsidR="00602C03" w:rsidRPr="00122AF1" w:rsidRDefault="00602C03" w:rsidP="00602C03">
      <w:pPr>
        <w:ind w:left="720"/>
        <w:rPr>
          <w:szCs w:val="20"/>
          <w:lang w:val="en-AU"/>
        </w:rPr>
      </w:pPr>
    </w:p>
    <w:p w14:paraId="7052A07C" w14:textId="77777777" w:rsidR="00122AF1" w:rsidRPr="00122AF1" w:rsidRDefault="00122AF1" w:rsidP="00122AF1">
      <w:pPr>
        <w:rPr>
          <w:szCs w:val="20"/>
          <w:lang w:val="en-AU"/>
        </w:rPr>
      </w:pPr>
      <w:r w:rsidRPr="00122AF1">
        <w:rPr>
          <w:b/>
          <w:bCs/>
          <w:szCs w:val="20"/>
          <w:lang w:val="en-AU"/>
        </w:rPr>
        <w:t>Overall position</w:t>
      </w:r>
    </w:p>
    <w:p w14:paraId="2CE39CC0" w14:textId="77777777" w:rsidR="00122AF1" w:rsidRDefault="00122AF1" w:rsidP="00122AF1">
      <w:pPr>
        <w:rPr>
          <w:szCs w:val="20"/>
          <w:lang w:val="en-AU"/>
        </w:rPr>
      </w:pPr>
      <w:r w:rsidRPr="00122AF1">
        <w:rPr>
          <w:szCs w:val="20"/>
          <w:lang w:val="en-AU"/>
        </w:rPr>
        <w:t>Banking Circle Australia supports regulatory action where it is targeted at removing unnecessary barriers, improving transparency, strengthening governance and ensuring that A2A payments continue to evolve in a way that supports competition, innovation and financial safety. The most effective approach would be for the RBA to set clear public-interest expectations and monitor delivery through the A2A Roadmap, while allowing industry participants to determine the most effective and commercially viable implementation pathways.</w:t>
      </w:r>
    </w:p>
    <w:p w14:paraId="57E5F6AB" w14:textId="77777777" w:rsidR="00602C03" w:rsidRPr="00122AF1" w:rsidRDefault="00602C03" w:rsidP="00122AF1">
      <w:pPr>
        <w:rPr>
          <w:szCs w:val="20"/>
          <w:lang w:val="en-AU"/>
        </w:rPr>
      </w:pPr>
    </w:p>
    <w:p w14:paraId="33013436" w14:textId="77777777" w:rsidR="00122AF1" w:rsidRPr="00122AF1" w:rsidRDefault="00122AF1" w:rsidP="00122AF1">
      <w:pPr>
        <w:rPr>
          <w:szCs w:val="20"/>
          <w:lang w:val="en-AU"/>
        </w:rPr>
      </w:pPr>
      <w:r w:rsidRPr="00122AF1">
        <w:rPr>
          <w:szCs w:val="20"/>
          <w:lang w:val="en-AU"/>
        </w:rPr>
        <w:t>This would support a more competitive and resilient A2A payments ecosystem, provide greater certainty to participants and end users, and help ensure that Australia’s account-to-account payment infrastructure remains efficient, safe and fit for future use.</w:t>
      </w:r>
    </w:p>
    <w:p w14:paraId="783D06C7" w14:textId="77777777" w:rsidR="00122AF1" w:rsidRDefault="00122AF1" w:rsidP="001B663A">
      <w:pPr>
        <w:rPr>
          <w:sz w:val="24"/>
          <w:szCs w:val="24"/>
        </w:rPr>
      </w:pPr>
    </w:p>
    <w:p w14:paraId="535C25B5" w14:textId="77777777" w:rsidR="009F3EC4" w:rsidRDefault="009F3EC4" w:rsidP="001B663A">
      <w:pPr>
        <w:rPr>
          <w:sz w:val="24"/>
          <w:szCs w:val="24"/>
        </w:rPr>
      </w:pPr>
    </w:p>
    <w:p w14:paraId="7D96B765" w14:textId="77777777" w:rsidR="009F3EC4" w:rsidRDefault="009F3EC4" w:rsidP="001B663A">
      <w:pPr>
        <w:rPr>
          <w:sz w:val="24"/>
          <w:szCs w:val="24"/>
        </w:rPr>
      </w:pPr>
    </w:p>
    <w:p w14:paraId="0B65860C" w14:textId="66AA0E78" w:rsidR="009F3EC4" w:rsidRDefault="009F3EC4" w:rsidP="001B663A">
      <w:pPr>
        <w:rPr>
          <w:sz w:val="24"/>
          <w:szCs w:val="24"/>
        </w:rPr>
      </w:pPr>
      <w:r>
        <w:rPr>
          <w:sz w:val="24"/>
          <w:szCs w:val="24"/>
        </w:rPr>
        <w:t>Ying Zhuo</w:t>
      </w:r>
    </w:p>
    <w:p w14:paraId="7921CD99" w14:textId="67BD56DD" w:rsidR="007B6C03" w:rsidRDefault="007B6C03" w:rsidP="007B6C03">
      <w:pPr>
        <w:rPr>
          <w:sz w:val="24"/>
          <w:szCs w:val="24"/>
        </w:rPr>
      </w:pPr>
      <w:r>
        <w:rPr>
          <w:sz w:val="24"/>
          <w:szCs w:val="24"/>
        </w:rPr>
        <w:t>Banking Circle - Head of Product APAC</w:t>
      </w:r>
    </w:p>
    <w:sectPr w:rsidR="007B6C03" w:rsidSect="0036032F">
      <w:headerReference w:type="default" r:id="rId13"/>
      <w:footerReference w:type="even" r:id="rId14"/>
      <w:footerReference w:type="default" r:id="rId15"/>
      <w:headerReference w:type="first" r:id="rId16"/>
      <w:pgSz w:w="11906" w:h="16838"/>
      <w:pgMar w:top="1304" w:right="1388" w:bottom="1304" w:left="1304" w:header="57" w:footer="38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12158" w14:textId="77777777" w:rsidR="008B4FAA" w:rsidRDefault="008B4FAA" w:rsidP="00BF6366">
      <w:pPr>
        <w:spacing w:line="240" w:lineRule="auto"/>
      </w:pPr>
      <w:r>
        <w:separator/>
      </w:r>
    </w:p>
  </w:endnote>
  <w:endnote w:type="continuationSeparator" w:id="0">
    <w:p w14:paraId="2218338B" w14:textId="77777777" w:rsidR="008B4FAA" w:rsidRDefault="008B4FAA" w:rsidP="00BF6366">
      <w:pPr>
        <w:spacing w:line="240" w:lineRule="auto"/>
      </w:pPr>
      <w:r>
        <w:continuationSeparator/>
      </w:r>
    </w:p>
  </w:endnote>
  <w:endnote w:type="continuationNotice" w:id="1">
    <w:p w14:paraId="237B10D1" w14:textId="77777777" w:rsidR="008B4FAA" w:rsidRDefault="008B4FA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DIN Next Rounded LT Pro Light">
    <w:altName w:val="Calibri"/>
    <w:charset w:val="4D"/>
    <w:family w:val="swiss"/>
    <w:pitch w:val="variable"/>
    <w:sig w:usb0="A000002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42456257"/>
      <w:docPartObj>
        <w:docPartGallery w:val="Page Numbers (Bottom of Page)"/>
        <w:docPartUnique/>
      </w:docPartObj>
    </w:sdtPr>
    <w:sdtContent>
      <w:p w14:paraId="028A5A3C" w14:textId="1CE8957D" w:rsidR="008D4C8A" w:rsidRDefault="00D60EDE" w:rsidP="007E6A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0B4532B" w14:textId="77777777" w:rsidR="00BB10D0" w:rsidRDefault="00BB10D0" w:rsidP="008D4C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41331283"/>
      <w:docPartObj>
        <w:docPartGallery w:val="Page Numbers (Bottom of Page)"/>
        <w:docPartUnique/>
      </w:docPartObj>
    </w:sdtPr>
    <w:sdtContent>
      <w:p w14:paraId="72D85558" w14:textId="77777777" w:rsidR="007E6A03" w:rsidRDefault="007E6A03" w:rsidP="00D961AA">
        <w:pPr>
          <w:pStyle w:val="Footer"/>
          <w:framePr w:w="153" w:h="198" w:hRule="exact" w:wrap="notBeside" w:vAnchor="text" w:hAnchor="page" w:x="10712" w:y="256" w:anchorLock="1"/>
          <w:jc w:val="right"/>
          <w:rPr>
            <w:rStyle w:val="PageNumber"/>
          </w:rPr>
        </w:pPr>
        <w:r w:rsidRPr="007E6A03">
          <w:rPr>
            <w:rStyle w:val="PageNumber"/>
            <w:szCs w:val="16"/>
          </w:rPr>
          <w:fldChar w:fldCharType="begin"/>
        </w:r>
        <w:r w:rsidRPr="007E6A03">
          <w:rPr>
            <w:rStyle w:val="PageNumber"/>
            <w:szCs w:val="16"/>
          </w:rPr>
          <w:instrText xml:space="preserve"> PAGE </w:instrText>
        </w:r>
        <w:r w:rsidRPr="007E6A03">
          <w:rPr>
            <w:rStyle w:val="PageNumber"/>
            <w:szCs w:val="16"/>
          </w:rPr>
          <w:fldChar w:fldCharType="separate"/>
        </w:r>
        <w:r w:rsidRPr="007E6A03">
          <w:rPr>
            <w:rStyle w:val="PageNumber"/>
            <w:noProof/>
            <w:szCs w:val="16"/>
          </w:rPr>
          <w:t>1</w:t>
        </w:r>
        <w:r w:rsidRPr="007E6A03">
          <w:rPr>
            <w:rStyle w:val="PageNumber"/>
            <w:szCs w:val="16"/>
          </w:rPr>
          <w:fldChar w:fldCharType="end"/>
        </w:r>
      </w:p>
    </w:sdtContent>
  </w:sdt>
  <w:p w14:paraId="704EF8BE" w14:textId="77777777" w:rsidR="00C90A74" w:rsidRPr="002B5D42" w:rsidRDefault="007C2679" w:rsidP="002B5D42">
    <w:pPr>
      <w:ind w:right="360"/>
      <w:rPr>
        <w:rFonts w:ascii="DIN Next Rounded LT Pro Light" w:hAnsi="DIN Next Rounded LT Pro Light"/>
        <w:b/>
        <w:bCs/>
        <w:sz w:val="16"/>
        <w:szCs w:val="16"/>
      </w:rPr>
    </w:pPr>
    <w:r>
      <w:rPr>
        <w:rFonts w:ascii="DIN Next Rounded LT Pro Light" w:hAnsi="DIN Next Rounded LT Pro Light"/>
        <w:b/>
        <w:bCs/>
        <w:noProof/>
        <w:sz w:val="16"/>
        <w:szCs w:val="16"/>
      </w:rPr>
      <w:drawing>
        <wp:inline distT="0" distB="0" distL="0" distR="0" wp14:anchorId="542DA541" wp14:editId="4A106C76">
          <wp:extent cx="263525" cy="263525"/>
          <wp:effectExtent l="0" t="0" r="3175" b="3175"/>
          <wp:docPr id="11675836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669306" name="Picture 1920669306"/>
                  <pic:cNvPicPr/>
                </pic:nvPicPr>
                <pic:blipFill>
                  <a:blip r:embed="rId1">
                    <a:extLst>
                      <a:ext uri="{28A0092B-C50C-407E-A947-70E740481C1C}">
                        <a14:useLocalDpi xmlns:a14="http://schemas.microsoft.com/office/drawing/2010/main" val="0"/>
                      </a:ext>
                    </a:extLst>
                  </a:blip>
                  <a:stretch>
                    <a:fillRect/>
                  </a:stretch>
                </pic:blipFill>
                <pic:spPr>
                  <a:xfrm>
                    <a:off x="0" y="0"/>
                    <a:ext cx="263525" cy="263525"/>
                  </a:xfrm>
                  <a:prstGeom prst="rect">
                    <a:avLst/>
                  </a:prstGeom>
                </pic:spPr>
              </pic:pic>
            </a:graphicData>
          </a:graphic>
        </wp:inline>
      </w:drawing>
    </w:r>
    <w:r w:rsidR="00C25CAF">
      <w:rPr>
        <w:rFonts w:ascii="DIN Next Rounded LT Pro Light" w:hAnsi="DIN Next Rounded LT Pro Light"/>
        <w:b/>
        <w:bCs/>
        <w:sz w:val="16"/>
        <w:szCs w:val="16"/>
      </w:rPr>
      <w:tab/>
    </w:r>
    <w:r w:rsidR="00C25CAF">
      <w:rPr>
        <w:rFonts w:ascii="DIN Next Rounded LT Pro Light" w:hAnsi="DIN Next Rounded LT Pro Light"/>
        <w:b/>
        <w:bCs/>
        <w:sz w:val="16"/>
        <w:szCs w:val="16"/>
      </w:rPr>
      <w:tab/>
    </w:r>
    <w:r w:rsidR="00C25CAF">
      <w:rPr>
        <w:rFonts w:ascii="DIN Next Rounded LT Pro Light" w:hAnsi="DIN Next Rounded LT Pro Light"/>
        <w:b/>
        <w:bCs/>
        <w:sz w:val="16"/>
        <w:szCs w:val="16"/>
      </w:rPr>
      <w:tab/>
    </w:r>
    <w:r w:rsidR="00C25CAF">
      <w:rPr>
        <w:rFonts w:ascii="DIN Next Rounded LT Pro Light" w:hAnsi="DIN Next Rounded LT Pro Light"/>
        <w:b/>
        <w:bCs/>
        <w:sz w:val="16"/>
        <w:szCs w:val="16"/>
      </w:rPr>
      <w:tab/>
    </w:r>
    <w:r w:rsidR="00C25CAF">
      <w:rPr>
        <w:rFonts w:ascii="DIN Next Rounded LT Pro Light" w:hAnsi="DIN Next Rounded LT Pro Light"/>
        <w:b/>
        <w:bCs/>
        <w:sz w:val="16"/>
        <w:szCs w:val="16"/>
      </w:rPr>
      <w:tab/>
    </w:r>
    <w:r w:rsidR="00C25CAF">
      <w:rPr>
        <w:rFonts w:ascii="DIN Next Rounded LT Pro Light" w:hAnsi="DIN Next Rounded LT Pro Light"/>
        <w:b/>
        <w:bCs/>
        <w:sz w:val="16"/>
        <w:szCs w:val="16"/>
      </w:rPr>
      <w:tab/>
    </w:r>
    <w:r w:rsidR="006544B0">
      <w:rPr>
        <w:rFonts w:ascii="DIN Next Rounded LT Pro Light" w:hAnsi="DIN Next Rounded LT Pro Light"/>
        <w:b/>
        <w:bCs/>
        <w:sz w:val="16"/>
        <w:szCs w:val="16"/>
      </w:rPr>
      <w:tab/>
    </w:r>
    <w:r w:rsidR="006544B0">
      <w:rPr>
        <w:rFonts w:ascii="DIN Next Rounded LT Pro Light" w:hAnsi="DIN Next Rounded LT Pro Light"/>
        <w:b/>
        <w:bCs/>
        <w:sz w:val="16"/>
        <w:szCs w:val="16"/>
      </w:rPr>
      <w:tab/>
    </w:r>
    <w:r w:rsidR="009D0FC2">
      <w:rPr>
        <w:rFonts w:ascii="DIN Next Rounded LT Pro Light" w:hAnsi="DIN Next Rounded LT Pro Light"/>
        <w:b/>
        <w:bCs/>
        <w:sz w:val="16"/>
        <w:szCs w:val="16"/>
      </w:rPr>
      <w:tab/>
    </w:r>
    <w:r w:rsidR="009D0FC2">
      <w:rPr>
        <w:rFonts w:ascii="DIN Next Rounded LT Pro Light" w:hAnsi="DIN Next Rounded LT Pro Light"/>
        <w:b/>
        <w:bCs/>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165CE" w14:textId="77777777" w:rsidR="008B4FAA" w:rsidRDefault="008B4FAA" w:rsidP="00BF6366">
      <w:pPr>
        <w:spacing w:line="240" w:lineRule="auto"/>
      </w:pPr>
      <w:r>
        <w:separator/>
      </w:r>
    </w:p>
  </w:footnote>
  <w:footnote w:type="continuationSeparator" w:id="0">
    <w:p w14:paraId="30C78A35" w14:textId="77777777" w:rsidR="008B4FAA" w:rsidRDefault="008B4FAA" w:rsidP="00BF6366">
      <w:pPr>
        <w:spacing w:line="240" w:lineRule="auto"/>
      </w:pPr>
      <w:r>
        <w:continuationSeparator/>
      </w:r>
    </w:p>
  </w:footnote>
  <w:footnote w:type="continuationNotice" w:id="1">
    <w:p w14:paraId="18E37F33" w14:textId="77777777" w:rsidR="008B4FAA" w:rsidRDefault="008B4FA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F7C9" w14:textId="77777777" w:rsidR="00C90A74" w:rsidRDefault="00C90A74">
    <w:r>
      <w:rPr>
        <w:noProof/>
        <w:lang w:eastAsia="en-GB"/>
      </w:rPr>
      <mc:AlternateContent>
        <mc:Choice Requires="wps">
          <w:drawing>
            <wp:anchor distT="0" distB="0" distL="114300" distR="114300" simplePos="0" relativeHeight="251658240" behindDoc="0" locked="0" layoutInCell="1" allowOverlap="1" wp14:anchorId="6DBF2D36" wp14:editId="14C51835">
              <wp:simplePos x="0" y="0"/>
              <wp:positionH relativeFrom="page">
                <wp:posOffset>0</wp:posOffset>
              </wp:positionH>
              <wp:positionV relativeFrom="paragraph">
                <wp:posOffset>-32608</wp:posOffset>
              </wp:positionV>
              <wp:extent cx="7614920" cy="204470"/>
              <wp:effectExtent l="0" t="0" r="5080" b="5080"/>
              <wp:wrapNone/>
              <wp:docPr id="4" name="Rectangle 4"/>
              <wp:cNvGraphicFramePr/>
              <a:graphic xmlns:a="http://schemas.openxmlformats.org/drawingml/2006/main">
                <a:graphicData uri="http://schemas.microsoft.com/office/word/2010/wordprocessingShape">
                  <wps:wsp>
                    <wps:cNvSpPr/>
                    <wps:spPr>
                      <a:xfrm>
                        <a:off x="0" y="0"/>
                        <a:ext cx="7614920" cy="204470"/>
                      </a:xfrm>
                      <a:prstGeom prst="rect">
                        <a:avLst/>
                      </a:prstGeom>
                      <a:solidFill>
                        <a:srgbClr val="C7E5D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C0F67" id="Rectangle 4" o:spid="_x0000_s1026" style="position:absolute;margin-left:0;margin-top:-2.55pt;width:599.6pt;height:16.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" fillcolor="#c7e5de" stroked="f" strokeweight="1pt">
              <w10:wrap anchorx="page"/>
            </v:rect>
          </w:pict>
        </mc:Fallback>
      </mc:AlternateContent>
    </w:r>
  </w:p>
  <w:p w14:paraId="6A4BB2F5" w14:textId="77777777" w:rsidR="00C90A74" w:rsidRDefault="00C90A74" w:rsidP="007B260E"/>
  <w:p w14:paraId="751D5225" w14:textId="77777777" w:rsidR="00C90A74" w:rsidRDefault="00C90A74" w:rsidP="008D4C8A">
    <w:pPr>
      <w:tabs>
        <w:tab w:val="left" w:pos="9298"/>
      </w:tabs>
    </w:pPr>
  </w:p>
  <w:p w14:paraId="00E539ED" w14:textId="77777777" w:rsidR="00C90A74" w:rsidRDefault="00C90A74"/>
  <w:p w14:paraId="74EBDC89" w14:textId="77777777" w:rsidR="00C90A74" w:rsidRDefault="00C90A7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28C03" w14:textId="77777777" w:rsidR="008E6BC7" w:rsidRDefault="009A6D52">
    <w:r>
      <w:rPr>
        <w:noProof/>
        <w:color w:val="005D83" w:themeColor="accent5"/>
        <w:sz w:val="40"/>
        <w:szCs w:val="28"/>
      </w:rPr>
      <w:drawing>
        <wp:anchor distT="0" distB="0" distL="114300" distR="114300" simplePos="0" relativeHeight="251660289" behindDoc="1" locked="0" layoutInCell="1" allowOverlap="1" wp14:anchorId="4906A6A5" wp14:editId="122CDF79">
          <wp:simplePos x="0" y="0"/>
          <wp:positionH relativeFrom="column">
            <wp:posOffset>-850265</wp:posOffset>
          </wp:positionH>
          <wp:positionV relativeFrom="paragraph">
            <wp:posOffset>161452</wp:posOffset>
          </wp:positionV>
          <wp:extent cx="7614285" cy="10490600"/>
          <wp:effectExtent l="0" t="0" r="5715" b="0"/>
          <wp:wrapNone/>
          <wp:docPr id="1149954897" name="Picture 5" descr="A blue and white striped ribb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954897" name="Picture 5" descr="A blue and white striped ribbon&#10;&#10;AI-generated content may be incorrect."/>
                  <pic:cNvPicPr/>
                </pic:nvPicPr>
                <pic:blipFill rotWithShape="1">
                  <a:blip r:embed="rId1" cstate="print">
                    <a:extLst>
                      <a:ext uri="{28A0092B-C50C-407E-A947-70E740481C1C}">
                        <a14:useLocalDpi xmlns:a14="http://schemas.microsoft.com/office/drawing/2010/main" val="0"/>
                      </a:ext>
                    </a:extLst>
                  </a:blip>
                  <a:srcRect t="2596"/>
                  <a:stretch>
                    <a:fillRect/>
                  </a:stretch>
                </pic:blipFill>
                <pic:spPr bwMode="auto">
                  <a:xfrm>
                    <a:off x="0" y="0"/>
                    <a:ext cx="7614285" cy="10490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E6BC7">
      <w:rPr>
        <w:noProof/>
        <w:lang w:eastAsia="en-GB"/>
      </w:rPr>
      <mc:AlternateContent>
        <mc:Choice Requires="wps">
          <w:drawing>
            <wp:anchor distT="0" distB="0" distL="114300" distR="114300" simplePos="0" relativeHeight="251658241" behindDoc="1" locked="0" layoutInCell="1" allowOverlap="1" wp14:anchorId="4466EBC4" wp14:editId="081C6BA9">
              <wp:simplePos x="0" y="0"/>
              <wp:positionH relativeFrom="page">
                <wp:posOffset>-22034</wp:posOffset>
              </wp:positionH>
              <wp:positionV relativeFrom="paragraph">
                <wp:posOffset>-36195</wp:posOffset>
              </wp:positionV>
              <wp:extent cx="7614920" cy="204470"/>
              <wp:effectExtent l="0" t="0" r="5080" b="0"/>
              <wp:wrapNone/>
              <wp:docPr id="671092718" name="Rectangle 671092718"/>
              <wp:cNvGraphicFramePr/>
              <a:graphic xmlns:a="http://schemas.openxmlformats.org/drawingml/2006/main">
                <a:graphicData uri="http://schemas.microsoft.com/office/word/2010/wordprocessingShape">
                  <wps:wsp>
                    <wps:cNvSpPr/>
                    <wps:spPr>
                      <a:xfrm>
                        <a:off x="0" y="0"/>
                        <a:ext cx="7614920" cy="204470"/>
                      </a:xfrm>
                      <a:prstGeom prst="rect">
                        <a:avLst/>
                      </a:prstGeom>
                      <a:solidFill>
                        <a:srgbClr val="C7E5D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E637E" id="Rectangle 671092718" o:spid="_x0000_s1026" style="position:absolute;margin-left:-1.75pt;margin-top:-2.85pt;width:599.6pt;height:16.1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" fillcolor="#c7e5de" stroked="f"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0B7F85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pt;height:50.5pt" o:bullet="t">
        <v:imagedata r:id="rId1" o:title="arrow_bullet"/>
      </v:shape>
    </w:pict>
  </w:numPicBullet>
  <w:abstractNum w:abstractNumId="0" w15:restartNumberingAfterBreak="0">
    <w:nsid w:val="FFFFFF7E"/>
    <w:multiLevelType w:val="singleLevel"/>
    <w:tmpl w:val="C59A319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FF32DE00"/>
    <w:lvl w:ilvl="0">
      <w:start w:val="1"/>
      <w:numFmt w:val="decimal"/>
      <w:pStyle w:val="ListNumber2"/>
      <w:lvlText w:val="%1."/>
      <w:lvlJc w:val="left"/>
      <w:pPr>
        <w:tabs>
          <w:tab w:val="num" w:pos="643"/>
        </w:tabs>
        <w:ind w:left="643" w:hanging="360"/>
      </w:pPr>
    </w:lvl>
  </w:abstractNum>
  <w:abstractNum w:abstractNumId="2" w15:restartNumberingAfterBreak="0">
    <w:nsid w:val="FFFFFF82"/>
    <w:multiLevelType w:val="singleLevel"/>
    <w:tmpl w:val="9AA09458"/>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3ACF4E8"/>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0A26CC42"/>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AE86DCA8"/>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93D174D"/>
    <w:multiLevelType w:val="hybridMultilevel"/>
    <w:tmpl w:val="D32823A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7338F8"/>
    <w:multiLevelType w:val="hybridMultilevel"/>
    <w:tmpl w:val="53125DB8"/>
    <w:lvl w:ilvl="0" w:tplc="0809000F">
      <w:start w:val="1"/>
      <w:numFmt w:val="decimal"/>
      <w:lvlText w:val="%1."/>
      <w:lvlJc w:val="left"/>
      <w:pPr>
        <w:ind w:left="720" w:hanging="360"/>
      </w:pPr>
      <w:rPr>
        <w:rFonts w:hint="default"/>
      </w:rPr>
    </w:lvl>
    <w:lvl w:ilvl="1" w:tplc="6E58BC32">
      <w:start w:val="1"/>
      <w:numFmt w:val="lowerLetter"/>
      <w:pStyle w:val="NumberedList-2ndlevel"/>
      <w:lvlText w:val="%2."/>
      <w:lvlJc w:val="left"/>
      <w:pPr>
        <w:ind w:left="1440" w:hanging="360"/>
      </w:pPr>
    </w:lvl>
    <w:lvl w:ilvl="2" w:tplc="D07E2CDE">
      <w:start w:val="1"/>
      <w:numFmt w:val="lowerRoman"/>
      <w:pStyle w:val="NumberedList-3rdlevel"/>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1F7CFF"/>
    <w:multiLevelType w:val="hybridMultilevel"/>
    <w:tmpl w:val="C96004AE"/>
    <w:lvl w:ilvl="0" w:tplc="FFFFFFFF">
      <w:start w:val="1"/>
      <w:numFmt w:val="bullet"/>
      <w:lvlText w:val=""/>
      <w:lvlJc w:val="left"/>
      <w:pPr>
        <w:ind w:left="2064" w:hanging="264"/>
      </w:pPr>
      <w:rPr>
        <w:rFonts w:ascii="Symbol" w:hAnsi="Symbol" w:hint="default"/>
      </w:rPr>
    </w:lvl>
    <w:lvl w:ilvl="1" w:tplc="3E06DDA4">
      <w:start w:val="1"/>
      <w:numFmt w:val="bullet"/>
      <w:pStyle w:val="BulletPoint"/>
      <w:lvlText w:val=""/>
      <w:lvlJc w:val="left"/>
      <w:pPr>
        <w:ind w:left="2160" w:hanging="360"/>
      </w:pPr>
      <w:rPr>
        <w:rFonts w:ascii="Symbol" w:hAnsi="Symbol" w:hint="default"/>
      </w:rPr>
    </w:lvl>
    <w:lvl w:ilvl="2" w:tplc="03A2B81E">
      <w:start w:val="1"/>
      <w:numFmt w:val="bullet"/>
      <w:pStyle w:val="Bulletpoint-2ndlevel"/>
      <w:lvlText w:val=""/>
      <w:lvlJc w:val="left"/>
      <w:pPr>
        <w:ind w:left="2880" w:hanging="360"/>
      </w:pPr>
      <w:rPr>
        <w:rFonts w:ascii="Wingdings" w:hAnsi="Wingdings" w:hint="default"/>
      </w:rPr>
    </w:lvl>
    <w:lvl w:ilvl="3" w:tplc="3C7E0C66">
      <w:start w:val="1"/>
      <w:numFmt w:val="bullet"/>
      <w:pStyle w:val="Bulletpoint-3rdlevel"/>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28EE5C9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A4251EB"/>
    <w:multiLevelType w:val="hybridMultilevel"/>
    <w:tmpl w:val="4FFAA8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8477A7"/>
    <w:multiLevelType w:val="multilevel"/>
    <w:tmpl w:val="805E2F90"/>
    <w:styleLink w:val="Style1"/>
    <w:lvl w:ilvl="0">
      <w:start w:val="1"/>
      <w:numFmt w:val="bullet"/>
      <w:lvlText w:val=""/>
      <w:lvlPicBulletId w:val="0"/>
      <w:lvlJc w:val="left"/>
      <w:pPr>
        <w:ind w:left="4253" w:hanging="1418"/>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33696DF1"/>
    <w:multiLevelType w:val="multilevel"/>
    <w:tmpl w:val="F070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885461"/>
    <w:multiLevelType w:val="hybridMultilevel"/>
    <w:tmpl w:val="FCCA9B8A"/>
    <w:lvl w:ilvl="0" w:tplc="4D6C9A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364F40"/>
    <w:multiLevelType w:val="hybridMultilevel"/>
    <w:tmpl w:val="D32823A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A794D06"/>
    <w:multiLevelType w:val="hybridMultilevel"/>
    <w:tmpl w:val="AA72526E"/>
    <w:lvl w:ilvl="0" w:tplc="CB32D612">
      <w:start w:val="1"/>
      <w:numFmt w:val="decimal"/>
      <w:pStyle w:val="NumberedList"/>
      <w:lvlText w:val="%1."/>
      <w:lvlJc w:val="left"/>
      <w:pPr>
        <w:ind w:left="624" w:hanging="26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7F06A58"/>
    <w:multiLevelType w:val="hybridMultilevel"/>
    <w:tmpl w:val="EFAA04A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7" w15:restartNumberingAfterBreak="0">
    <w:nsid w:val="626E6659"/>
    <w:multiLevelType w:val="multilevel"/>
    <w:tmpl w:val="83F60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3932DD"/>
    <w:multiLevelType w:val="multilevel"/>
    <w:tmpl w:val="F178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1174357">
    <w:abstractNumId w:val="11"/>
  </w:num>
  <w:num w:numId="2" w16cid:durableId="169566403">
    <w:abstractNumId w:val="8"/>
  </w:num>
  <w:num w:numId="3" w16cid:durableId="296106377">
    <w:abstractNumId w:val="15"/>
  </w:num>
  <w:num w:numId="4" w16cid:durableId="2050953611">
    <w:abstractNumId w:val="13"/>
  </w:num>
  <w:num w:numId="5" w16cid:durableId="1051810260">
    <w:abstractNumId w:val="7"/>
  </w:num>
  <w:num w:numId="6" w16cid:durableId="2080663562">
    <w:abstractNumId w:val="10"/>
  </w:num>
  <w:num w:numId="7" w16cid:durableId="1398701201">
    <w:abstractNumId w:val="9"/>
  </w:num>
  <w:num w:numId="8" w16cid:durableId="499734911">
    <w:abstractNumId w:val="6"/>
  </w:num>
  <w:num w:numId="9" w16cid:durableId="361903005">
    <w:abstractNumId w:val="14"/>
  </w:num>
  <w:num w:numId="10" w16cid:durableId="875040507">
    <w:abstractNumId w:val="16"/>
  </w:num>
  <w:num w:numId="11" w16cid:durableId="652488543">
    <w:abstractNumId w:val="4"/>
  </w:num>
  <w:num w:numId="12" w16cid:durableId="803816085">
    <w:abstractNumId w:val="1"/>
  </w:num>
  <w:num w:numId="13" w16cid:durableId="297535563">
    <w:abstractNumId w:val="0"/>
  </w:num>
  <w:num w:numId="14" w16cid:durableId="1511869403">
    <w:abstractNumId w:val="5"/>
  </w:num>
  <w:num w:numId="15" w16cid:durableId="1962034696">
    <w:abstractNumId w:val="3"/>
  </w:num>
  <w:num w:numId="16" w16cid:durableId="1763598017">
    <w:abstractNumId w:val="2"/>
  </w:num>
  <w:num w:numId="17" w16cid:durableId="1425419121">
    <w:abstractNumId w:val="18"/>
  </w:num>
  <w:num w:numId="18" w16cid:durableId="445929084">
    <w:abstractNumId w:val="12"/>
  </w:num>
  <w:num w:numId="19" w16cid:durableId="845050098">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FAA"/>
    <w:rsid w:val="000059B0"/>
    <w:rsid w:val="00006E41"/>
    <w:rsid w:val="00007003"/>
    <w:rsid w:val="00007B43"/>
    <w:rsid w:val="00011221"/>
    <w:rsid w:val="00014099"/>
    <w:rsid w:val="00015F20"/>
    <w:rsid w:val="00017D5B"/>
    <w:rsid w:val="0002050B"/>
    <w:rsid w:val="00024016"/>
    <w:rsid w:val="000270E5"/>
    <w:rsid w:val="00031203"/>
    <w:rsid w:val="000333BA"/>
    <w:rsid w:val="00034A2B"/>
    <w:rsid w:val="0003571E"/>
    <w:rsid w:val="00035789"/>
    <w:rsid w:val="00036A10"/>
    <w:rsid w:val="00036E57"/>
    <w:rsid w:val="000371AF"/>
    <w:rsid w:val="000374CD"/>
    <w:rsid w:val="000406F6"/>
    <w:rsid w:val="0004504A"/>
    <w:rsid w:val="000450C8"/>
    <w:rsid w:val="00051CD4"/>
    <w:rsid w:val="000525FB"/>
    <w:rsid w:val="00052DA4"/>
    <w:rsid w:val="00060DCC"/>
    <w:rsid w:val="000662FC"/>
    <w:rsid w:val="000669E3"/>
    <w:rsid w:val="00072CC2"/>
    <w:rsid w:val="00074E90"/>
    <w:rsid w:val="00075D0A"/>
    <w:rsid w:val="00081A13"/>
    <w:rsid w:val="0008370E"/>
    <w:rsid w:val="0008679E"/>
    <w:rsid w:val="000935D2"/>
    <w:rsid w:val="00097185"/>
    <w:rsid w:val="000B1D5B"/>
    <w:rsid w:val="000B5903"/>
    <w:rsid w:val="000B674C"/>
    <w:rsid w:val="000C146F"/>
    <w:rsid w:val="000D2832"/>
    <w:rsid w:val="000D3984"/>
    <w:rsid w:val="000D4A64"/>
    <w:rsid w:val="000E4213"/>
    <w:rsid w:val="000F162A"/>
    <w:rsid w:val="000F2A0C"/>
    <w:rsid w:val="000F3026"/>
    <w:rsid w:val="000F5E12"/>
    <w:rsid w:val="00101063"/>
    <w:rsid w:val="00103EFA"/>
    <w:rsid w:val="0010538B"/>
    <w:rsid w:val="00110A0E"/>
    <w:rsid w:val="00121DF0"/>
    <w:rsid w:val="00122AF1"/>
    <w:rsid w:val="00123910"/>
    <w:rsid w:val="00124359"/>
    <w:rsid w:val="0012712D"/>
    <w:rsid w:val="00127725"/>
    <w:rsid w:val="00141528"/>
    <w:rsid w:val="00145560"/>
    <w:rsid w:val="0014711D"/>
    <w:rsid w:val="00150AE9"/>
    <w:rsid w:val="00153EFC"/>
    <w:rsid w:val="001555F6"/>
    <w:rsid w:val="00157126"/>
    <w:rsid w:val="00160BEA"/>
    <w:rsid w:val="00163821"/>
    <w:rsid w:val="00175E2F"/>
    <w:rsid w:val="0017747E"/>
    <w:rsid w:val="00180B4A"/>
    <w:rsid w:val="00180E1F"/>
    <w:rsid w:val="00181521"/>
    <w:rsid w:val="0018184A"/>
    <w:rsid w:val="001849BF"/>
    <w:rsid w:val="00190A2B"/>
    <w:rsid w:val="00191C5C"/>
    <w:rsid w:val="0019275F"/>
    <w:rsid w:val="00194B9B"/>
    <w:rsid w:val="001962EE"/>
    <w:rsid w:val="0019676B"/>
    <w:rsid w:val="001A287B"/>
    <w:rsid w:val="001A4C30"/>
    <w:rsid w:val="001A5697"/>
    <w:rsid w:val="001B1E7E"/>
    <w:rsid w:val="001B28FF"/>
    <w:rsid w:val="001B451D"/>
    <w:rsid w:val="001B663A"/>
    <w:rsid w:val="001C0281"/>
    <w:rsid w:val="001C147D"/>
    <w:rsid w:val="001C3B2B"/>
    <w:rsid w:val="001C4DF1"/>
    <w:rsid w:val="001C54C8"/>
    <w:rsid w:val="001D6560"/>
    <w:rsid w:val="001F16BA"/>
    <w:rsid w:val="001F38ED"/>
    <w:rsid w:val="001F5C2A"/>
    <w:rsid w:val="00206951"/>
    <w:rsid w:val="00206BF3"/>
    <w:rsid w:val="00210910"/>
    <w:rsid w:val="002117BB"/>
    <w:rsid w:val="00211E86"/>
    <w:rsid w:val="002135FB"/>
    <w:rsid w:val="002146EE"/>
    <w:rsid w:val="00214AD3"/>
    <w:rsid w:val="0021692F"/>
    <w:rsid w:val="00222616"/>
    <w:rsid w:val="00225FE5"/>
    <w:rsid w:val="00231CA6"/>
    <w:rsid w:val="00240B4E"/>
    <w:rsid w:val="00244B90"/>
    <w:rsid w:val="0025271F"/>
    <w:rsid w:val="0025362F"/>
    <w:rsid w:val="00253896"/>
    <w:rsid w:val="002560FD"/>
    <w:rsid w:val="00257356"/>
    <w:rsid w:val="002613B1"/>
    <w:rsid w:val="0026247B"/>
    <w:rsid w:val="0026497C"/>
    <w:rsid w:val="002651C3"/>
    <w:rsid w:val="00266A95"/>
    <w:rsid w:val="00266DF1"/>
    <w:rsid w:val="00267855"/>
    <w:rsid w:val="00276098"/>
    <w:rsid w:val="00276145"/>
    <w:rsid w:val="0028453F"/>
    <w:rsid w:val="00284703"/>
    <w:rsid w:val="002847C7"/>
    <w:rsid w:val="00284D5A"/>
    <w:rsid w:val="00285071"/>
    <w:rsid w:val="00295663"/>
    <w:rsid w:val="00295919"/>
    <w:rsid w:val="00295EC2"/>
    <w:rsid w:val="00297348"/>
    <w:rsid w:val="002A1572"/>
    <w:rsid w:val="002A33B3"/>
    <w:rsid w:val="002A6984"/>
    <w:rsid w:val="002A76FE"/>
    <w:rsid w:val="002B08D7"/>
    <w:rsid w:val="002B1450"/>
    <w:rsid w:val="002B5D42"/>
    <w:rsid w:val="002C029A"/>
    <w:rsid w:val="002C047C"/>
    <w:rsid w:val="002C0ABA"/>
    <w:rsid w:val="002C4EB9"/>
    <w:rsid w:val="002C74C8"/>
    <w:rsid w:val="002C77A7"/>
    <w:rsid w:val="002D62A4"/>
    <w:rsid w:val="002E0D1E"/>
    <w:rsid w:val="002E140E"/>
    <w:rsid w:val="002E1738"/>
    <w:rsid w:val="002E19C6"/>
    <w:rsid w:val="002E3CE0"/>
    <w:rsid w:val="002F1576"/>
    <w:rsid w:val="002F328A"/>
    <w:rsid w:val="002F4A0D"/>
    <w:rsid w:val="002F6E65"/>
    <w:rsid w:val="002F7828"/>
    <w:rsid w:val="0030311E"/>
    <w:rsid w:val="00307E3E"/>
    <w:rsid w:val="00310D73"/>
    <w:rsid w:val="003139FD"/>
    <w:rsid w:val="00313A07"/>
    <w:rsid w:val="003146DD"/>
    <w:rsid w:val="0032474F"/>
    <w:rsid w:val="00330E99"/>
    <w:rsid w:val="00332FF5"/>
    <w:rsid w:val="00335842"/>
    <w:rsid w:val="00337825"/>
    <w:rsid w:val="00341642"/>
    <w:rsid w:val="00346836"/>
    <w:rsid w:val="00347C68"/>
    <w:rsid w:val="00351E69"/>
    <w:rsid w:val="003540D4"/>
    <w:rsid w:val="0035467D"/>
    <w:rsid w:val="0036032F"/>
    <w:rsid w:val="00360641"/>
    <w:rsid w:val="00360DC7"/>
    <w:rsid w:val="00362286"/>
    <w:rsid w:val="00367F46"/>
    <w:rsid w:val="003726D7"/>
    <w:rsid w:val="003744D3"/>
    <w:rsid w:val="003759EA"/>
    <w:rsid w:val="00377D89"/>
    <w:rsid w:val="00380D8C"/>
    <w:rsid w:val="00383AE5"/>
    <w:rsid w:val="00385075"/>
    <w:rsid w:val="0038522C"/>
    <w:rsid w:val="00387C27"/>
    <w:rsid w:val="00395F18"/>
    <w:rsid w:val="00396759"/>
    <w:rsid w:val="003A188C"/>
    <w:rsid w:val="003A3793"/>
    <w:rsid w:val="003A5375"/>
    <w:rsid w:val="003B703B"/>
    <w:rsid w:val="003C08A9"/>
    <w:rsid w:val="003C2F2F"/>
    <w:rsid w:val="003C6B86"/>
    <w:rsid w:val="003C6C05"/>
    <w:rsid w:val="003C7BC4"/>
    <w:rsid w:val="003D36C1"/>
    <w:rsid w:val="003D60AA"/>
    <w:rsid w:val="003D64F8"/>
    <w:rsid w:val="003D726D"/>
    <w:rsid w:val="003F4B6D"/>
    <w:rsid w:val="003F783D"/>
    <w:rsid w:val="003F7B0A"/>
    <w:rsid w:val="00400510"/>
    <w:rsid w:val="004060C6"/>
    <w:rsid w:val="00407091"/>
    <w:rsid w:val="00417CBB"/>
    <w:rsid w:val="00420158"/>
    <w:rsid w:val="00421FE8"/>
    <w:rsid w:val="00423225"/>
    <w:rsid w:val="00423C5A"/>
    <w:rsid w:val="00424443"/>
    <w:rsid w:val="0043510D"/>
    <w:rsid w:val="00435501"/>
    <w:rsid w:val="00441824"/>
    <w:rsid w:val="004428BE"/>
    <w:rsid w:val="00444EF7"/>
    <w:rsid w:val="00446B04"/>
    <w:rsid w:val="004541F4"/>
    <w:rsid w:val="004564A8"/>
    <w:rsid w:val="00465125"/>
    <w:rsid w:val="00467C9C"/>
    <w:rsid w:val="00471494"/>
    <w:rsid w:val="00472CA0"/>
    <w:rsid w:val="0047339C"/>
    <w:rsid w:val="004742D0"/>
    <w:rsid w:val="00477BBE"/>
    <w:rsid w:val="00485A54"/>
    <w:rsid w:val="00485B7B"/>
    <w:rsid w:val="004875FF"/>
    <w:rsid w:val="00496E66"/>
    <w:rsid w:val="004A2D4A"/>
    <w:rsid w:val="004A3748"/>
    <w:rsid w:val="004A6105"/>
    <w:rsid w:val="004B2232"/>
    <w:rsid w:val="004B3AE8"/>
    <w:rsid w:val="004B49AF"/>
    <w:rsid w:val="004B5E7F"/>
    <w:rsid w:val="004B5FE2"/>
    <w:rsid w:val="004B6DD4"/>
    <w:rsid w:val="004C101F"/>
    <w:rsid w:val="004C3EFC"/>
    <w:rsid w:val="004C5289"/>
    <w:rsid w:val="004C5A3D"/>
    <w:rsid w:val="004D45DE"/>
    <w:rsid w:val="004D5F83"/>
    <w:rsid w:val="004D677B"/>
    <w:rsid w:val="004D6B7B"/>
    <w:rsid w:val="004D6CBE"/>
    <w:rsid w:val="004D7D90"/>
    <w:rsid w:val="004E167D"/>
    <w:rsid w:val="004E1731"/>
    <w:rsid w:val="004E1B7D"/>
    <w:rsid w:val="004E4D19"/>
    <w:rsid w:val="004E53C1"/>
    <w:rsid w:val="0050604C"/>
    <w:rsid w:val="005068A6"/>
    <w:rsid w:val="00513D2B"/>
    <w:rsid w:val="00520CAA"/>
    <w:rsid w:val="005263DF"/>
    <w:rsid w:val="00526868"/>
    <w:rsid w:val="00533C74"/>
    <w:rsid w:val="00534B25"/>
    <w:rsid w:val="00542F44"/>
    <w:rsid w:val="00544BC5"/>
    <w:rsid w:val="00550B45"/>
    <w:rsid w:val="005528CF"/>
    <w:rsid w:val="00561316"/>
    <w:rsid w:val="0056499E"/>
    <w:rsid w:val="00567973"/>
    <w:rsid w:val="005715BF"/>
    <w:rsid w:val="0057181F"/>
    <w:rsid w:val="0057191D"/>
    <w:rsid w:val="00581F13"/>
    <w:rsid w:val="0058543A"/>
    <w:rsid w:val="005A3DB7"/>
    <w:rsid w:val="005B12D3"/>
    <w:rsid w:val="005B2F30"/>
    <w:rsid w:val="005B3753"/>
    <w:rsid w:val="005B75DE"/>
    <w:rsid w:val="005C0174"/>
    <w:rsid w:val="005C372D"/>
    <w:rsid w:val="005C46EC"/>
    <w:rsid w:val="005D380C"/>
    <w:rsid w:val="005D53FD"/>
    <w:rsid w:val="005D76FB"/>
    <w:rsid w:val="005E26CE"/>
    <w:rsid w:val="005E3D5D"/>
    <w:rsid w:val="005E6A15"/>
    <w:rsid w:val="005F1C33"/>
    <w:rsid w:val="005F22AB"/>
    <w:rsid w:val="005F6647"/>
    <w:rsid w:val="00602C03"/>
    <w:rsid w:val="00604248"/>
    <w:rsid w:val="00605B25"/>
    <w:rsid w:val="00615633"/>
    <w:rsid w:val="00624B2D"/>
    <w:rsid w:val="00627A36"/>
    <w:rsid w:val="006316F6"/>
    <w:rsid w:val="00634DA6"/>
    <w:rsid w:val="00635A84"/>
    <w:rsid w:val="00642735"/>
    <w:rsid w:val="00642ADB"/>
    <w:rsid w:val="0064457B"/>
    <w:rsid w:val="0065075B"/>
    <w:rsid w:val="006520BC"/>
    <w:rsid w:val="00653053"/>
    <w:rsid w:val="00653321"/>
    <w:rsid w:val="0065380D"/>
    <w:rsid w:val="0065423A"/>
    <w:rsid w:val="006544B0"/>
    <w:rsid w:val="006548FB"/>
    <w:rsid w:val="006555FB"/>
    <w:rsid w:val="00660B9A"/>
    <w:rsid w:val="00664465"/>
    <w:rsid w:val="00666B50"/>
    <w:rsid w:val="00667859"/>
    <w:rsid w:val="006713D7"/>
    <w:rsid w:val="00671639"/>
    <w:rsid w:val="006732FE"/>
    <w:rsid w:val="00674A20"/>
    <w:rsid w:val="006824B6"/>
    <w:rsid w:val="0068268B"/>
    <w:rsid w:val="0068379C"/>
    <w:rsid w:val="00685346"/>
    <w:rsid w:val="006866D0"/>
    <w:rsid w:val="006914EA"/>
    <w:rsid w:val="00694D48"/>
    <w:rsid w:val="00695F29"/>
    <w:rsid w:val="00695FE9"/>
    <w:rsid w:val="00696ED5"/>
    <w:rsid w:val="006A2993"/>
    <w:rsid w:val="006A2E07"/>
    <w:rsid w:val="006A5CB5"/>
    <w:rsid w:val="006C0D91"/>
    <w:rsid w:val="006C1FAC"/>
    <w:rsid w:val="006C4CDC"/>
    <w:rsid w:val="006D0159"/>
    <w:rsid w:val="006D0C1B"/>
    <w:rsid w:val="006D3B07"/>
    <w:rsid w:val="006D55ED"/>
    <w:rsid w:val="006D584F"/>
    <w:rsid w:val="006D7917"/>
    <w:rsid w:val="006E0989"/>
    <w:rsid w:val="006E0A0C"/>
    <w:rsid w:val="006E10B0"/>
    <w:rsid w:val="006E1F88"/>
    <w:rsid w:val="006E3A06"/>
    <w:rsid w:val="006E5589"/>
    <w:rsid w:val="006E706B"/>
    <w:rsid w:val="006F1E65"/>
    <w:rsid w:val="006F615B"/>
    <w:rsid w:val="006F67AA"/>
    <w:rsid w:val="006F6D81"/>
    <w:rsid w:val="007009B7"/>
    <w:rsid w:val="007039AF"/>
    <w:rsid w:val="00705941"/>
    <w:rsid w:val="00707D63"/>
    <w:rsid w:val="007112EF"/>
    <w:rsid w:val="00711F5F"/>
    <w:rsid w:val="00716C59"/>
    <w:rsid w:val="00721833"/>
    <w:rsid w:val="007244DC"/>
    <w:rsid w:val="00725312"/>
    <w:rsid w:val="0072676F"/>
    <w:rsid w:val="007365EA"/>
    <w:rsid w:val="007378FE"/>
    <w:rsid w:val="00740EE1"/>
    <w:rsid w:val="0074148C"/>
    <w:rsid w:val="00750A14"/>
    <w:rsid w:val="00751743"/>
    <w:rsid w:val="007535DF"/>
    <w:rsid w:val="00756A0F"/>
    <w:rsid w:val="00766DD3"/>
    <w:rsid w:val="00770A84"/>
    <w:rsid w:val="00772961"/>
    <w:rsid w:val="00775291"/>
    <w:rsid w:val="00776261"/>
    <w:rsid w:val="0078085F"/>
    <w:rsid w:val="00794F04"/>
    <w:rsid w:val="00797208"/>
    <w:rsid w:val="007A2371"/>
    <w:rsid w:val="007A2BF8"/>
    <w:rsid w:val="007A6D20"/>
    <w:rsid w:val="007A7704"/>
    <w:rsid w:val="007B20C6"/>
    <w:rsid w:val="007B260E"/>
    <w:rsid w:val="007B34F1"/>
    <w:rsid w:val="007B3AB0"/>
    <w:rsid w:val="007B6C03"/>
    <w:rsid w:val="007C2679"/>
    <w:rsid w:val="007C2962"/>
    <w:rsid w:val="007D0D68"/>
    <w:rsid w:val="007D11AC"/>
    <w:rsid w:val="007D18D7"/>
    <w:rsid w:val="007D5C87"/>
    <w:rsid w:val="007D6960"/>
    <w:rsid w:val="007E6A03"/>
    <w:rsid w:val="007E6EEB"/>
    <w:rsid w:val="007F2144"/>
    <w:rsid w:val="007F62F5"/>
    <w:rsid w:val="007F7EC6"/>
    <w:rsid w:val="00800C42"/>
    <w:rsid w:val="008101E5"/>
    <w:rsid w:val="00814108"/>
    <w:rsid w:val="008178D3"/>
    <w:rsid w:val="0082097B"/>
    <w:rsid w:val="00820FC7"/>
    <w:rsid w:val="00824575"/>
    <w:rsid w:val="00824D8F"/>
    <w:rsid w:val="0083360E"/>
    <w:rsid w:val="00841340"/>
    <w:rsid w:val="008500F7"/>
    <w:rsid w:val="0085068F"/>
    <w:rsid w:val="00850B42"/>
    <w:rsid w:val="008547F1"/>
    <w:rsid w:val="008554CC"/>
    <w:rsid w:val="00857B62"/>
    <w:rsid w:val="008601D8"/>
    <w:rsid w:val="00863BA2"/>
    <w:rsid w:val="00865842"/>
    <w:rsid w:val="008671AE"/>
    <w:rsid w:val="00867F59"/>
    <w:rsid w:val="00870C80"/>
    <w:rsid w:val="00874C27"/>
    <w:rsid w:val="00875DD5"/>
    <w:rsid w:val="008771BF"/>
    <w:rsid w:val="00880C27"/>
    <w:rsid w:val="00881869"/>
    <w:rsid w:val="00882ED1"/>
    <w:rsid w:val="00890B91"/>
    <w:rsid w:val="00890EB2"/>
    <w:rsid w:val="0089442A"/>
    <w:rsid w:val="00894D1C"/>
    <w:rsid w:val="008A4970"/>
    <w:rsid w:val="008A6368"/>
    <w:rsid w:val="008B36AE"/>
    <w:rsid w:val="008B3C5A"/>
    <w:rsid w:val="008B4965"/>
    <w:rsid w:val="008B4FAA"/>
    <w:rsid w:val="008B54F7"/>
    <w:rsid w:val="008B5A9B"/>
    <w:rsid w:val="008C49CB"/>
    <w:rsid w:val="008D3C71"/>
    <w:rsid w:val="008D4C8A"/>
    <w:rsid w:val="008D7BC4"/>
    <w:rsid w:val="008E0089"/>
    <w:rsid w:val="008E1153"/>
    <w:rsid w:val="008E38A6"/>
    <w:rsid w:val="008E5A6F"/>
    <w:rsid w:val="008E69B3"/>
    <w:rsid w:val="008E6BC7"/>
    <w:rsid w:val="008E7C03"/>
    <w:rsid w:val="008F1968"/>
    <w:rsid w:val="00901184"/>
    <w:rsid w:val="009073F1"/>
    <w:rsid w:val="00916D6F"/>
    <w:rsid w:val="0092046D"/>
    <w:rsid w:val="009274B3"/>
    <w:rsid w:val="009277AD"/>
    <w:rsid w:val="00932724"/>
    <w:rsid w:val="009336CF"/>
    <w:rsid w:val="00935665"/>
    <w:rsid w:val="00935E1F"/>
    <w:rsid w:val="0094211D"/>
    <w:rsid w:val="00942B65"/>
    <w:rsid w:val="00945578"/>
    <w:rsid w:val="00946B41"/>
    <w:rsid w:val="0095085D"/>
    <w:rsid w:val="00951109"/>
    <w:rsid w:val="009522F4"/>
    <w:rsid w:val="00952771"/>
    <w:rsid w:val="00953D44"/>
    <w:rsid w:val="00955473"/>
    <w:rsid w:val="00955F00"/>
    <w:rsid w:val="009561B1"/>
    <w:rsid w:val="00960673"/>
    <w:rsid w:val="0096104B"/>
    <w:rsid w:val="00961E4C"/>
    <w:rsid w:val="00963B85"/>
    <w:rsid w:val="00966081"/>
    <w:rsid w:val="009817CA"/>
    <w:rsid w:val="00981CD8"/>
    <w:rsid w:val="00986208"/>
    <w:rsid w:val="00986A70"/>
    <w:rsid w:val="00987D95"/>
    <w:rsid w:val="0099302A"/>
    <w:rsid w:val="0099334F"/>
    <w:rsid w:val="00994250"/>
    <w:rsid w:val="009956AF"/>
    <w:rsid w:val="00996A00"/>
    <w:rsid w:val="009A0361"/>
    <w:rsid w:val="009A31AC"/>
    <w:rsid w:val="009A538E"/>
    <w:rsid w:val="009A6B8B"/>
    <w:rsid w:val="009A6D52"/>
    <w:rsid w:val="009B35FD"/>
    <w:rsid w:val="009C3610"/>
    <w:rsid w:val="009C51D6"/>
    <w:rsid w:val="009C79B8"/>
    <w:rsid w:val="009D0FC2"/>
    <w:rsid w:val="009D2C8C"/>
    <w:rsid w:val="009D3A41"/>
    <w:rsid w:val="009D4606"/>
    <w:rsid w:val="009E2545"/>
    <w:rsid w:val="009E2699"/>
    <w:rsid w:val="009E2778"/>
    <w:rsid w:val="009E561C"/>
    <w:rsid w:val="009E6A7B"/>
    <w:rsid w:val="009E6E54"/>
    <w:rsid w:val="009E7684"/>
    <w:rsid w:val="009F3E4B"/>
    <w:rsid w:val="009F3EC4"/>
    <w:rsid w:val="009F607A"/>
    <w:rsid w:val="009F6A11"/>
    <w:rsid w:val="00A0233E"/>
    <w:rsid w:val="00A035C7"/>
    <w:rsid w:val="00A04D5B"/>
    <w:rsid w:val="00A05897"/>
    <w:rsid w:val="00A10A41"/>
    <w:rsid w:val="00A10E1E"/>
    <w:rsid w:val="00A13220"/>
    <w:rsid w:val="00A241FF"/>
    <w:rsid w:val="00A2624D"/>
    <w:rsid w:val="00A26E00"/>
    <w:rsid w:val="00A314C9"/>
    <w:rsid w:val="00A31C38"/>
    <w:rsid w:val="00A31FDC"/>
    <w:rsid w:val="00A32480"/>
    <w:rsid w:val="00A33F19"/>
    <w:rsid w:val="00A418FE"/>
    <w:rsid w:val="00A438E8"/>
    <w:rsid w:val="00A47370"/>
    <w:rsid w:val="00A47EC2"/>
    <w:rsid w:val="00A50F21"/>
    <w:rsid w:val="00A52766"/>
    <w:rsid w:val="00A56ED9"/>
    <w:rsid w:val="00A67369"/>
    <w:rsid w:val="00A70056"/>
    <w:rsid w:val="00A704E9"/>
    <w:rsid w:val="00A7226F"/>
    <w:rsid w:val="00A72782"/>
    <w:rsid w:val="00A755C0"/>
    <w:rsid w:val="00A75BFD"/>
    <w:rsid w:val="00A76613"/>
    <w:rsid w:val="00A767D1"/>
    <w:rsid w:val="00A80C92"/>
    <w:rsid w:val="00A83178"/>
    <w:rsid w:val="00A834A7"/>
    <w:rsid w:val="00A85DE0"/>
    <w:rsid w:val="00A862C9"/>
    <w:rsid w:val="00A873A4"/>
    <w:rsid w:val="00A94321"/>
    <w:rsid w:val="00AA1DFE"/>
    <w:rsid w:val="00AA3740"/>
    <w:rsid w:val="00AB68B9"/>
    <w:rsid w:val="00AB6A6D"/>
    <w:rsid w:val="00AB7B6C"/>
    <w:rsid w:val="00AC06CC"/>
    <w:rsid w:val="00AC2257"/>
    <w:rsid w:val="00AC4924"/>
    <w:rsid w:val="00AC506E"/>
    <w:rsid w:val="00AC5C1B"/>
    <w:rsid w:val="00AC6577"/>
    <w:rsid w:val="00AD131E"/>
    <w:rsid w:val="00AD1F5D"/>
    <w:rsid w:val="00AD3097"/>
    <w:rsid w:val="00AD6F26"/>
    <w:rsid w:val="00AD795F"/>
    <w:rsid w:val="00AE14D6"/>
    <w:rsid w:val="00AE34F0"/>
    <w:rsid w:val="00AE4E95"/>
    <w:rsid w:val="00AF0316"/>
    <w:rsid w:val="00AF1CCA"/>
    <w:rsid w:val="00AF2AC7"/>
    <w:rsid w:val="00AF3E95"/>
    <w:rsid w:val="00AF4482"/>
    <w:rsid w:val="00AF7EEC"/>
    <w:rsid w:val="00B04E65"/>
    <w:rsid w:val="00B05D90"/>
    <w:rsid w:val="00B069D9"/>
    <w:rsid w:val="00B06B97"/>
    <w:rsid w:val="00B06F9F"/>
    <w:rsid w:val="00B07942"/>
    <w:rsid w:val="00B1006F"/>
    <w:rsid w:val="00B111F3"/>
    <w:rsid w:val="00B1326C"/>
    <w:rsid w:val="00B1427F"/>
    <w:rsid w:val="00B1518B"/>
    <w:rsid w:val="00B1633F"/>
    <w:rsid w:val="00B203CD"/>
    <w:rsid w:val="00B25468"/>
    <w:rsid w:val="00B256D9"/>
    <w:rsid w:val="00B26A6B"/>
    <w:rsid w:val="00B302C1"/>
    <w:rsid w:val="00B30C58"/>
    <w:rsid w:val="00B343E2"/>
    <w:rsid w:val="00B36DF7"/>
    <w:rsid w:val="00B43C8C"/>
    <w:rsid w:val="00B43CE6"/>
    <w:rsid w:val="00B43F69"/>
    <w:rsid w:val="00B51305"/>
    <w:rsid w:val="00B51D31"/>
    <w:rsid w:val="00B538D8"/>
    <w:rsid w:val="00B54D7F"/>
    <w:rsid w:val="00B556BC"/>
    <w:rsid w:val="00B60C17"/>
    <w:rsid w:val="00B66293"/>
    <w:rsid w:val="00B66EA1"/>
    <w:rsid w:val="00B67F87"/>
    <w:rsid w:val="00B70695"/>
    <w:rsid w:val="00B82835"/>
    <w:rsid w:val="00B8501B"/>
    <w:rsid w:val="00B90282"/>
    <w:rsid w:val="00B934EE"/>
    <w:rsid w:val="00B979E9"/>
    <w:rsid w:val="00BA23F4"/>
    <w:rsid w:val="00BA27F3"/>
    <w:rsid w:val="00BA497C"/>
    <w:rsid w:val="00BB0DFF"/>
    <w:rsid w:val="00BB10D0"/>
    <w:rsid w:val="00BB22A5"/>
    <w:rsid w:val="00BB5548"/>
    <w:rsid w:val="00BB620E"/>
    <w:rsid w:val="00BB6B7E"/>
    <w:rsid w:val="00BC7701"/>
    <w:rsid w:val="00BD602A"/>
    <w:rsid w:val="00BD75A8"/>
    <w:rsid w:val="00BE17C7"/>
    <w:rsid w:val="00BF3A8E"/>
    <w:rsid w:val="00BF6366"/>
    <w:rsid w:val="00C00DBD"/>
    <w:rsid w:val="00C04AB5"/>
    <w:rsid w:val="00C04F27"/>
    <w:rsid w:val="00C12D36"/>
    <w:rsid w:val="00C22D02"/>
    <w:rsid w:val="00C25CAF"/>
    <w:rsid w:val="00C25D7F"/>
    <w:rsid w:val="00C309C0"/>
    <w:rsid w:val="00C3428B"/>
    <w:rsid w:val="00C34606"/>
    <w:rsid w:val="00C3725F"/>
    <w:rsid w:val="00C43CC6"/>
    <w:rsid w:val="00C46E65"/>
    <w:rsid w:val="00C47BF7"/>
    <w:rsid w:val="00C50B6C"/>
    <w:rsid w:val="00C54E4B"/>
    <w:rsid w:val="00C553F5"/>
    <w:rsid w:val="00C57A26"/>
    <w:rsid w:val="00C64F8B"/>
    <w:rsid w:val="00C66DDA"/>
    <w:rsid w:val="00C67F10"/>
    <w:rsid w:val="00C72159"/>
    <w:rsid w:val="00C746C5"/>
    <w:rsid w:val="00C81A72"/>
    <w:rsid w:val="00C828EF"/>
    <w:rsid w:val="00C8467B"/>
    <w:rsid w:val="00C90A74"/>
    <w:rsid w:val="00C94A2A"/>
    <w:rsid w:val="00C951DC"/>
    <w:rsid w:val="00C95811"/>
    <w:rsid w:val="00CA11AC"/>
    <w:rsid w:val="00CA11E1"/>
    <w:rsid w:val="00CB07FD"/>
    <w:rsid w:val="00CB1490"/>
    <w:rsid w:val="00CB3D3A"/>
    <w:rsid w:val="00CB5B72"/>
    <w:rsid w:val="00CB646D"/>
    <w:rsid w:val="00CC2876"/>
    <w:rsid w:val="00CC60E4"/>
    <w:rsid w:val="00CD01B7"/>
    <w:rsid w:val="00CD2263"/>
    <w:rsid w:val="00CD3344"/>
    <w:rsid w:val="00CD7F03"/>
    <w:rsid w:val="00CE087D"/>
    <w:rsid w:val="00CE1CB4"/>
    <w:rsid w:val="00CE1CD1"/>
    <w:rsid w:val="00CE320B"/>
    <w:rsid w:val="00CE4369"/>
    <w:rsid w:val="00CE5574"/>
    <w:rsid w:val="00CE6748"/>
    <w:rsid w:val="00CE6AB9"/>
    <w:rsid w:val="00CE6C23"/>
    <w:rsid w:val="00CF213F"/>
    <w:rsid w:val="00CF356C"/>
    <w:rsid w:val="00CF66AC"/>
    <w:rsid w:val="00CF6B09"/>
    <w:rsid w:val="00D01809"/>
    <w:rsid w:val="00D03C3A"/>
    <w:rsid w:val="00D06BE7"/>
    <w:rsid w:val="00D06FD8"/>
    <w:rsid w:val="00D176CF"/>
    <w:rsid w:val="00D17EA2"/>
    <w:rsid w:val="00D21581"/>
    <w:rsid w:val="00D22D30"/>
    <w:rsid w:val="00D252AA"/>
    <w:rsid w:val="00D265CE"/>
    <w:rsid w:val="00D27448"/>
    <w:rsid w:val="00D41176"/>
    <w:rsid w:val="00D41334"/>
    <w:rsid w:val="00D41FA7"/>
    <w:rsid w:val="00D421DE"/>
    <w:rsid w:val="00D427FA"/>
    <w:rsid w:val="00D450DF"/>
    <w:rsid w:val="00D4605D"/>
    <w:rsid w:val="00D477E5"/>
    <w:rsid w:val="00D47FAA"/>
    <w:rsid w:val="00D50703"/>
    <w:rsid w:val="00D60D16"/>
    <w:rsid w:val="00D60EDE"/>
    <w:rsid w:val="00D739B8"/>
    <w:rsid w:val="00D73F35"/>
    <w:rsid w:val="00D745D8"/>
    <w:rsid w:val="00D84D11"/>
    <w:rsid w:val="00D855B9"/>
    <w:rsid w:val="00D85B40"/>
    <w:rsid w:val="00D86918"/>
    <w:rsid w:val="00D9031F"/>
    <w:rsid w:val="00D9101C"/>
    <w:rsid w:val="00D91DBE"/>
    <w:rsid w:val="00D93284"/>
    <w:rsid w:val="00D94174"/>
    <w:rsid w:val="00D95A9C"/>
    <w:rsid w:val="00D961AA"/>
    <w:rsid w:val="00D96DE1"/>
    <w:rsid w:val="00D9708A"/>
    <w:rsid w:val="00DA52DB"/>
    <w:rsid w:val="00DA59BC"/>
    <w:rsid w:val="00DA7129"/>
    <w:rsid w:val="00DB0EC0"/>
    <w:rsid w:val="00DB324B"/>
    <w:rsid w:val="00DB6AB0"/>
    <w:rsid w:val="00DC2BE2"/>
    <w:rsid w:val="00DC2DD5"/>
    <w:rsid w:val="00DC3E5C"/>
    <w:rsid w:val="00DC5C58"/>
    <w:rsid w:val="00DC7AE7"/>
    <w:rsid w:val="00DD09C9"/>
    <w:rsid w:val="00DD13F1"/>
    <w:rsid w:val="00DD36B7"/>
    <w:rsid w:val="00DD41CF"/>
    <w:rsid w:val="00DD5F44"/>
    <w:rsid w:val="00DE61C2"/>
    <w:rsid w:val="00E02ABD"/>
    <w:rsid w:val="00E02F93"/>
    <w:rsid w:val="00E040A4"/>
    <w:rsid w:val="00E04C84"/>
    <w:rsid w:val="00E07B4F"/>
    <w:rsid w:val="00E133AD"/>
    <w:rsid w:val="00E14A6E"/>
    <w:rsid w:val="00E24EB7"/>
    <w:rsid w:val="00E26987"/>
    <w:rsid w:val="00E319CC"/>
    <w:rsid w:val="00E3507D"/>
    <w:rsid w:val="00E376B4"/>
    <w:rsid w:val="00E528C9"/>
    <w:rsid w:val="00E54103"/>
    <w:rsid w:val="00E54CB8"/>
    <w:rsid w:val="00E55C7D"/>
    <w:rsid w:val="00E6389E"/>
    <w:rsid w:val="00E64ADC"/>
    <w:rsid w:val="00E71104"/>
    <w:rsid w:val="00E76428"/>
    <w:rsid w:val="00E801B7"/>
    <w:rsid w:val="00E83662"/>
    <w:rsid w:val="00E94514"/>
    <w:rsid w:val="00E96067"/>
    <w:rsid w:val="00EA3F02"/>
    <w:rsid w:val="00EB39C4"/>
    <w:rsid w:val="00EB3EEE"/>
    <w:rsid w:val="00EC3B56"/>
    <w:rsid w:val="00EC6ADC"/>
    <w:rsid w:val="00ED09A4"/>
    <w:rsid w:val="00EE11C5"/>
    <w:rsid w:val="00EE3521"/>
    <w:rsid w:val="00EE618F"/>
    <w:rsid w:val="00EF0406"/>
    <w:rsid w:val="00EF0CCB"/>
    <w:rsid w:val="00EF48CB"/>
    <w:rsid w:val="00F013AA"/>
    <w:rsid w:val="00F020B6"/>
    <w:rsid w:val="00F0710B"/>
    <w:rsid w:val="00F113F2"/>
    <w:rsid w:val="00F124FF"/>
    <w:rsid w:val="00F126DE"/>
    <w:rsid w:val="00F12C8A"/>
    <w:rsid w:val="00F17220"/>
    <w:rsid w:val="00F20340"/>
    <w:rsid w:val="00F2291B"/>
    <w:rsid w:val="00F24C95"/>
    <w:rsid w:val="00F30A32"/>
    <w:rsid w:val="00F366D9"/>
    <w:rsid w:val="00F43AE0"/>
    <w:rsid w:val="00F44B1C"/>
    <w:rsid w:val="00F4607E"/>
    <w:rsid w:val="00F5013B"/>
    <w:rsid w:val="00F54C4D"/>
    <w:rsid w:val="00F60E97"/>
    <w:rsid w:val="00F613A4"/>
    <w:rsid w:val="00F61BAD"/>
    <w:rsid w:val="00F7789F"/>
    <w:rsid w:val="00F77F96"/>
    <w:rsid w:val="00F84408"/>
    <w:rsid w:val="00F85872"/>
    <w:rsid w:val="00F928C3"/>
    <w:rsid w:val="00F9323E"/>
    <w:rsid w:val="00F94AC3"/>
    <w:rsid w:val="00F97089"/>
    <w:rsid w:val="00FA46DC"/>
    <w:rsid w:val="00FA528B"/>
    <w:rsid w:val="00FB2F08"/>
    <w:rsid w:val="00FB347E"/>
    <w:rsid w:val="00FB4401"/>
    <w:rsid w:val="00FB6372"/>
    <w:rsid w:val="00FC703E"/>
    <w:rsid w:val="00FC765B"/>
    <w:rsid w:val="00FD2BAF"/>
    <w:rsid w:val="00FD579B"/>
    <w:rsid w:val="00FD5B16"/>
    <w:rsid w:val="00FE0DFD"/>
    <w:rsid w:val="00FE1D4D"/>
    <w:rsid w:val="00FF354D"/>
    <w:rsid w:val="1A9F54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981D1"/>
  <w15:chartTrackingRefBased/>
  <w15:docId w15:val="{095C478E-478E-407B-A0D9-C2DE59E7D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Font"/>
    <w:qFormat/>
    <w:rsid w:val="00DC7AE7"/>
    <w:pPr>
      <w:spacing w:after="0" w:line="276" w:lineRule="auto"/>
    </w:pPr>
    <w:rPr>
      <w:rFonts w:asciiTheme="majorHAnsi" w:hAnsiTheme="majorHAnsi"/>
      <w:sz w:val="20"/>
    </w:rPr>
  </w:style>
  <w:style w:type="paragraph" w:styleId="Heading1">
    <w:name w:val="heading 1"/>
    <w:aliases w:val="Heading 1 Section Title"/>
    <w:basedOn w:val="Normal"/>
    <w:next w:val="Normal"/>
    <w:link w:val="Heading1Char"/>
    <w:uiPriority w:val="9"/>
    <w:qFormat/>
    <w:rsid w:val="00465125"/>
    <w:pPr>
      <w:keepNext/>
      <w:keepLines/>
      <w:spacing w:before="360" w:after="120"/>
      <w:outlineLvl w:val="0"/>
    </w:pPr>
    <w:rPr>
      <w:rFonts w:eastAsiaTheme="majorEastAsia" w:cstheme="majorBidi"/>
      <w:color w:val="7DC2B2" w:themeColor="accent1" w:themeShade="BF"/>
      <w:sz w:val="28"/>
      <w:szCs w:val="32"/>
    </w:rPr>
  </w:style>
  <w:style w:type="paragraph" w:styleId="Heading2">
    <w:name w:val="heading 2"/>
    <w:basedOn w:val="Normal"/>
    <w:next w:val="Normal"/>
    <w:link w:val="Heading2Char"/>
    <w:uiPriority w:val="9"/>
    <w:unhideWhenUsed/>
    <w:qFormat/>
    <w:rsid w:val="00465125"/>
    <w:pPr>
      <w:keepNext/>
      <w:keepLines/>
      <w:spacing w:before="160" w:after="120"/>
      <w:outlineLvl w:val="1"/>
    </w:pPr>
    <w:rPr>
      <w:rFonts w:eastAsiaTheme="majorEastAsia" w:cstheme="majorBidi"/>
      <w:color w:val="7DC2B2" w:themeColor="accent1" w:themeShade="BF"/>
      <w:sz w:val="24"/>
      <w:szCs w:val="26"/>
    </w:rPr>
  </w:style>
  <w:style w:type="paragraph" w:styleId="Heading3">
    <w:name w:val="heading 3"/>
    <w:basedOn w:val="Normal"/>
    <w:next w:val="Normal"/>
    <w:link w:val="Heading3Char"/>
    <w:uiPriority w:val="9"/>
    <w:unhideWhenUsed/>
    <w:qFormat/>
    <w:rsid w:val="00624B2D"/>
    <w:pPr>
      <w:keepNext/>
      <w:keepLines/>
      <w:spacing w:before="40"/>
      <w:outlineLvl w:val="2"/>
    </w:pPr>
    <w:rPr>
      <w:rFonts w:eastAsiaTheme="majorEastAsia" w:cstheme="majorBidi"/>
      <w:color w:val="008B6E" w:themeColor="text2"/>
      <w:szCs w:val="24"/>
    </w:rPr>
  </w:style>
  <w:style w:type="paragraph" w:styleId="Heading4">
    <w:name w:val="heading 4"/>
    <w:aliases w:val="Table Heading"/>
    <w:basedOn w:val="Normal"/>
    <w:next w:val="Normal"/>
    <w:link w:val="Heading4Char"/>
    <w:uiPriority w:val="9"/>
    <w:unhideWhenUsed/>
    <w:qFormat/>
    <w:rsid w:val="008B5A9B"/>
    <w:pPr>
      <w:keepNext/>
      <w:keepLines/>
      <w:spacing w:before="40"/>
      <w:outlineLvl w:val="3"/>
    </w:pPr>
    <w:rPr>
      <w:rFonts w:eastAsiaTheme="majorEastAsia" w:cstheme="majorBidi"/>
      <w:iCs/>
      <w:color w:val="008B6E" w:themeColor="text2"/>
      <w:sz w:val="24"/>
    </w:rPr>
  </w:style>
  <w:style w:type="paragraph" w:styleId="Heading5">
    <w:name w:val="heading 5"/>
    <w:basedOn w:val="Normal"/>
    <w:next w:val="Normal"/>
    <w:link w:val="Heading5Char"/>
    <w:uiPriority w:val="9"/>
    <w:unhideWhenUsed/>
    <w:qFormat/>
    <w:rsid w:val="00B66293"/>
    <w:pPr>
      <w:keepNext/>
      <w:keepLines/>
      <w:spacing w:before="40" w:line="240" w:lineRule="auto"/>
      <w:ind w:left="1008" w:hanging="1008"/>
      <w:outlineLvl w:val="4"/>
    </w:pPr>
    <w:rPr>
      <w:rFonts w:eastAsiaTheme="majorEastAsia" w:cstheme="majorBidi"/>
      <w:sz w:val="24"/>
      <w:szCs w:val="24"/>
      <w:lang w:val="en-US"/>
    </w:rPr>
  </w:style>
  <w:style w:type="paragraph" w:styleId="Heading6">
    <w:name w:val="heading 6"/>
    <w:basedOn w:val="Normal"/>
    <w:next w:val="Normal"/>
    <w:link w:val="Heading6Char"/>
    <w:uiPriority w:val="9"/>
    <w:unhideWhenUsed/>
    <w:qFormat/>
    <w:rsid w:val="003139FD"/>
    <w:pPr>
      <w:keepNext/>
      <w:keepLines/>
      <w:spacing w:before="40" w:line="240" w:lineRule="auto"/>
      <w:ind w:left="1152" w:hanging="1152"/>
      <w:outlineLvl w:val="5"/>
    </w:pPr>
    <w:rPr>
      <w:rFonts w:eastAsiaTheme="majorEastAsia" w:cstheme="majorBidi"/>
      <w:color w:val="43917F" w:themeColor="accent1" w:themeShade="7F"/>
      <w:sz w:val="24"/>
      <w:szCs w:val="24"/>
      <w:lang w:val="en-US"/>
    </w:rPr>
  </w:style>
  <w:style w:type="paragraph" w:styleId="Heading7">
    <w:name w:val="heading 7"/>
    <w:basedOn w:val="Normal"/>
    <w:next w:val="Normal"/>
    <w:link w:val="Heading7Char"/>
    <w:uiPriority w:val="9"/>
    <w:unhideWhenUsed/>
    <w:rsid w:val="003139FD"/>
    <w:pPr>
      <w:keepNext/>
      <w:keepLines/>
      <w:spacing w:before="40" w:line="240" w:lineRule="auto"/>
      <w:ind w:left="1296" w:hanging="1296"/>
      <w:outlineLvl w:val="6"/>
    </w:pPr>
    <w:rPr>
      <w:rFonts w:eastAsiaTheme="majorEastAsia" w:cstheme="majorBidi"/>
      <w:i/>
      <w:iCs/>
      <w:color w:val="43917F" w:themeColor="accent1" w:themeShade="7F"/>
      <w:sz w:val="24"/>
      <w:szCs w:val="24"/>
      <w:lang w:val="en-US"/>
    </w:rPr>
  </w:style>
  <w:style w:type="paragraph" w:styleId="Heading8">
    <w:name w:val="heading 8"/>
    <w:basedOn w:val="Normal"/>
    <w:next w:val="Normal"/>
    <w:link w:val="Heading8Char"/>
    <w:uiPriority w:val="9"/>
    <w:unhideWhenUsed/>
    <w:rsid w:val="003139FD"/>
    <w:pPr>
      <w:keepNext/>
      <w:keepLines/>
      <w:spacing w:before="40" w:line="240" w:lineRule="auto"/>
      <w:ind w:left="1440" w:hanging="1440"/>
      <w:outlineLvl w:val="7"/>
    </w:pPr>
    <w:rPr>
      <w:rFonts w:eastAsiaTheme="majorEastAsia" w:cstheme="majorBidi"/>
      <w:color w:val="272727" w:themeColor="text1" w:themeTint="D8"/>
      <w:sz w:val="21"/>
      <w:szCs w:val="21"/>
      <w:lang w:val="en-US"/>
    </w:rPr>
  </w:style>
  <w:style w:type="paragraph" w:styleId="Heading9">
    <w:name w:val="heading 9"/>
    <w:basedOn w:val="Normal"/>
    <w:next w:val="Normal"/>
    <w:link w:val="Heading9Char"/>
    <w:uiPriority w:val="9"/>
    <w:semiHidden/>
    <w:unhideWhenUsed/>
    <w:rsid w:val="003139FD"/>
    <w:pPr>
      <w:keepNext/>
      <w:keepLines/>
      <w:spacing w:before="40" w:line="240" w:lineRule="auto"/>
      <w:ind w:left="1584" w:hanging="1584"/>
      <w:outlineLvl w:val="8"/>
    </w:pPr>
    <w:rPr>
      <w:rFonts w:eastAsiaTheme="majorEastAsia" w:cstheme="majorBidi"/>
      <w: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Section Title Char"/>
    <w:basedOn w:val="DefaultParagraphFont"/>
    <w:link w:val="Heading1"/>
    <w:uiPriority w:val="9"/>
    <w:rsid w:val="00465125"/>
    <w:rPr>
      <w:rFonts w:asciiTheme="majorHAnsi" w:eastAsiaTheme="majorEastAsia" w:hAnsiTheme="majorHAnsi" w:cstheme="majorBidi"/>
      <w:color w:val="7DC2B2" w:themeColor="accent1" w:themeShade="BF"/>
      <w:sz w:val="28"/>
      <w:szCs w:val="32"/>
    </w:rPr>
  </w:style>
  <w:style w:type="character" w:customStyle="1" w:styleId="Heading2Char">
    <w:name w:val="Heading 2 Char"/>
    <w:basedOn w:val="DefaultParagraphFont"/>
    <w:link w:val="Heading2"/>
    <w:uiPriority w:val="9"/>
    <w:rsid w:val="00465125"/>
    <w:rPr>
      <w:rFonts w:asciiTheme="majorHAnsi" w:eastAsiaTheme="majorEastAsia" w:hAnsiTheme="majorHAnsi" w:cstheme="majorBidi"/>
      <w:color w:val="7DC2B2" w:themeColor="accent1" w:themeShade="BF"/>
      <w:sz w:val="24"/>
      <w:szCs w:val="26"/>
    </w:rPr>
  </w:style>
  <w:style w:type="character" w:customStyle="1" w:styleId="Heading3Char">
    <w:name w:val="Heading 3 Char"/>
    <w:basedOn w:val="DefaultParagraphFont"/>
    <w:link w:val="Heading3"/>
    <w:uiPriority w:val="9"/>
    <w:rsid w:val="00624B2D"/>
    <w:rPr>
      <w:rFonts w:asciiTheme="majorHAnsi" w:eastAsiaTheme="majorEastAsia" w:hAnsiTheme="majorHAnsi" w:cstheme="majorBidi"/>
      <w:color w:val="008B6E" w:themeColor="text2"/>
      <w:szCs w:val="24"/>
    </w:rPr>
  </w:style>
  <w:style w:type="paragraph" w:styleId="BalloonText">
    <w:name w:val="Balloon Text"/>
    <w:basedOn w:val="Normal"/>
    <w:link w:val="BalloonTextChar"/>
    <w:uiPriority w:val="99"/>
    <w:semiHidden/>
    <w:unhideWhenUsed/>
    <w:rsid w:val="00BF636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6366"/>
    <w:rPr>
      <w:rFonts w:ascii="Segoe UI" w:hAnsi="Segoe UI" w:cs="Segoe UI"/>
      <w:sz w:val="18"/>
      <w:szCs w:val="18"/>
    </w:rPr>
  </w:style>
  <w:style w:type="paragraph" w:styleId="Footer">
    <w:name w:val="footer"/>
    <w:basedOn w:val="Normal"/>
    <w:link w:val="FooterChar"/>
    <w:autoRedefine/>
    <w:uiPriority w:val="99"/>
    <w:unhideWhenUsed/>
    <w:qFormat/>
    <w:rsid w:val="00E54CB8"/>
    <w:pPr>
      <w:tabs>
        <w:tab w:val="center" w:pos="4513"/>
        <w:tab w:val="right" w:pos="9026"/>
      </w:tabs>
      <w:spacing w:line="240" w:lineRule="auto"/>
    </w:pPr>
    <w:rPr>
      <w:rFonts w:ascii="Calibri" w:hAnsi="Calibri"/>
      <w:sz w:val="16"/>
    </w:rPr>
  </w:style>
  <w:style w:type="character" w:customStyle="1" w:styleId="FooterChar">
    <w:name w:val="Footer Char"/>
    <w:basedOn w:val="DefaultParagraphFont"/>
    <w:link w:val="Footer"/>
    <w:uiPriority w:val="99"/>
    <w:rsid w:val="00E54CB8"/>
    <w:rPr>
      <w:rFonts w:ascii="Calibri" w:hAnsi="Calibri"/>
      <w:sz w:val="16"/>
    </w:rPr>
  </w:style>
  <w:style w:type="paragraph" w:styleId="Quote">
    <w:name w:val="Quote"/>
    <w:basedOn w:val="Normal"/>
    <w:next w:val="Normal"/>
    <w:link w:val="QuoteChar"/>
    <w:uiPriority w:val="29"/>
    <w:qFormat/>
    <w:rsid w:val="00707D63"/>
    <w:pPr>
      <w:spacing w:before="200"/>
      <w:ind w:left="864" w:right="864"/>
    </w:pPr>
    <w:rPr>
      <w:rFonts w:ascii="Calibri" w:hAnsi="Calibri"/>
      <w:b/>
      <w:iCs/>
      <w:color w:val="008B6E" w:themeColor="text2"/>
    </w:rPr>
  </w:style>
  <w:style w:type="paragraph" w:styleId="Header">
    <w:name w:val="header"/>
    <w:basedOn w:val="Normal"/>
    <w:link w:val="HeaderChar"/>
    <w:uiPriority w:val="99"/>
    <w:unhideWhenUsed/>
    <w:rsid w:val="00395F18"/>
    <w:pPr>
      <w:tabs>
        <w:tab w:val="center" w:pos="4513"/>
        <w:tab w:val="right" w:pos="9026"/>
      </w:tabs>
      <w:spacing w:line="240" w:lineRule="auto"/>
    </w:pPr>
  </w:style>
  <w:style w:type="character" w:customStyle="1" w:styleId="HeaderChar">
    <w:name w:val="Header Char"/>
    <w:basedOn w:val="DefaultParagraphFont"/>
    <w:link w:val="Header"/>
    <w:uiPriority w:val="99"/>
    <w:rsid w:val="00395F18"/>
  </w:style>
  <w:style w:type="character" w:styleId="Hyperlink">
    <w:name w:val="Hyperlink"/>
    <w:basedOn w:val="DefaultParagraphFont"/>
    <w:uiPriority w:val="99"/>
    <w:unhideWhenUsed/>
    <w:qFormat/>
    <w:rsid w:val="00421FE8"/>
    <w:rPr>
      <w:rFonts w:asciiTheme="minorHAnsi" w:hAnsiTheme="minorHAnsi"/>
      <w:color w:val="005D83" w:themeColor="accent5"/>
      <w:sz w:val="22"/>
      <w:u w:val="single"/>
    </w:rPr>
  </w:style>
  <w:style w:type="paragraph" w:styleId="Title">
    <w:name w:val="Title"/>
    <w:aliases w:val="Document Title"/>
    <w:basedOn w:val="Normal"/>
    <w:next w:val="Normal"/>
    <w:link w:val="TitleChar"/>
    <w:uiPriority w:val="10"/>
    <w:qFormat/>
    <w:rsid w:val="002146EE"/>
    <w:pPr>
      <w:spacing w:line="240" w:lineRule="auto"/>
      <w:contextualSpacing/>
      <w:jc w:val="center"/>
    </w:pPr>
    <w:rPr>
      <w:rFonts w:eastAsiaTheme="majorEastAsia" w:cstheme="majorBidi"/>
      <w:color w:val="005D83" w:themeColor="accent5"/>
      <w:spacing w:val="-10"/>
      <w:kern w:val="28"/>
      <w:sz w:val="56"/>
      <w:szCs w:val="56"/>
    </w:rPr>
  </w:style>
  <w:style w:type="character" w:styleId="UnresolvedMention">
    <w:name w:val="Unresolved Mention"/>
    <w:basedOn w:val="DefaultParagraphFont"/>
    <w:uiPriority w:val="99"/>
    <w:semiHidden/>
    <w:unhideWhenUsed/>
    <w:rsid w:val="00966081"/>
    <w:rPr>
      <w:color w:val="605E5C"/>
      <w:shd w:val="clear" w:color="auto" w:fill="E1DFDD"/>
    </w:rPr>
  </w:style>
  <w:style w:type="paragraph" w:styleId="Subtitle">
    <w:name w:val="Subtitle"/>
    <w:aliases w:val="Document Subtitle"/>
    <w:basedOn w:val="Normal"/>
    <w:next w:val="Normal"/>
    <w:link w:val="SubtitleChar"/>
    <w:uiPriority w:val="11"/>
    <w:qFormat/>
    <w:rsid w:val="00C47BF7"/>
    <w:pPr>
      <w:numPr>
        <w:ilvl w:val="1"/>
      </w:numPr>
      <w:spacing w:after="240" w:line="240" w:lineRule="auto"/>
      <w:jc w:val="center"/>
    </w:pPr>
    <w:rPr>
      <w:rFonts w:eastAsiaTheme="majorEastAsia" w:cstheme="majorBidi"/>
      <w:color w:val="005D83" w:themeColor="accent5"/>
      <w:sz w:val="40"/>
      <w:szCs w:val="28"/>
    </w:rPr>
  </w:style>
  <w:style w:type="character" w:customStyle="1" w:styleId="SubtitleChar">
    <w:name w:val="Subtitle Char"/>
    <w:aliases w:val="Document Subtitle Char"/>
    <w:basedOn w:val="DefaultParagraphFont"/>
    <w:link w:val="Subtitle"/>
    <w:uiPriority w:val="11"/>
    <w:rsid w:val="00C47BF7"/>
    <w:rPr>
      <w:rFonts w:asciiTheme="majorHAnsi" w:eastAsiaTheme="majorEastAsia" w:hAnsiTheme="majorHAnsi" w:cstheme="majorBidi"/>
      <w:color w:val="005D83" w:themeColor="accent5"/>
      <w:sz w:val="40"/>
      <w:szCs w:val="28"/>
    </w:rPr>
  </w:style>
  <w:style w:type="character" w:customStyle="1" w:styleId="QuoteChar">
    <w:name w:val="Quote Char"/>
    <w:basedOn w:val="DefaultParagraphFont"/>
    <w:link w:val="Quote"/>
    <w:uiPriority w:val="29"/>
    <w:rsid w:val="00707D63"/>
    <w:rPr>
      <w:rFonts w:ascii="Calibri" w:hAnsi="Calibri"/>
      <w:b/>
      <w:iCs/>
      <w:color w:val="008B6E" w:themeColor="text2"/>
    </w:rPr>
  </w:style>
  <w:style w:type="table" w:styleId="TableGrid">
    <w:name w:val="Table Grid"/>
    <w:basedOn w:val="TableNormal"/>
    <w:uiPriority w:val="39"/>
    <w:rsid w:val="000270E5"/>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0270E5"/>
    <w:pPr>
      <w:spacing w:after="0" w:line="240" w:lineRule="auto"/>
    </w:pPr>
    <w:rPr>
      <w:lang w:val="en-US"/>
    </w:rPr>
    <w:tblPr>
      <w:tblStyleRowBandSize w:val="1"/>
      <w:tblStyleColBandSize w:val="1"/>
      <w:tblBorders>
        <w:top w:val="single" w:sz="4" w:space="0" w:color="67D2FF" w:themeColor="accent5" w:themeTint="66"/>
        <w:left w:val="single" w:sz="4" w:space="0" w:color="67D2FF" w:themeColor="accent5" w:themeTint="66"/>
        <w:bottom w:val="single" w:sz="4" w:space="0" w:color="67D2FF" w:themeColor="accent5" w:themeTint="66"/>
        <w:right w:val="single" w:sz="4" w:space="0" w:color="67D2FF" w:themeColor="accent5" w:themeTint="66"/>
        <w:insideH w:val="single" w:sz="4" w:space="0" w:color="67D2FF" w:themeColor="accent5" w:themeTint="66"/>
        <w:insideV w:val="single" w:sz="4" w:space="0" w:color="67D2FF" w:themeColor="accent5" w:themeTint="66"/>
      </w:tblBorders>
    </w:tblPr>
    <w:tblStylePr w:type="firstRow">
      <w:rPr>
        <w:b/>
        <w:bCs/>
      </w:rPr>
      <w:tblPr/>
      <w:tcPr>
        <w:tcBorders>
          <w:bottom w:val="single" w:sz="12" w:space="0" w:color="1BBCFF" w:themeColor="accent5" w:themeTint="99"/>
        </w:tcBorders>
      </w:tcPr>
    </w:tblStylePr>
    <w:tblStylePr w:type="lastRow">
      <w:rPr>
        <w:b/>
        <w:bCs/>
      </w:rPr>
      <w:tblPr/>
      <w:tcPr>
        <w:tcBorders>
          <w:top w:val="double" w:sz="2" w:space="0" w:color="1BBCFF" w:themeColor="accent5" w:themeTint="99"/>
        </w:tcBorders>
      </w:tcPr>
    </w:tblStylePr>
    <w:tblStylePr w:type="firstCol">
      <w:rPr>
        <w:b/>
        <w:bCs/>
      </w:rPr>
    </w:tblStylePr>
    <w:tblStylePr w:type="lastCol">
      <w:rPr>
        <w:b/>
        <w:bCs/>
      </w:rPr>
    </w:tblStylePr>
  </w:style>
  <w:style w:type="paragraph" w:styleId="ListNumber">
    <w:name w:val="List Number"/>
    <w:basedOn w:val="Normal"/>
    <w:uiPriority w:val="99"/>
    <w:unhideWhenUsed/>
    <w:rsid w:val="00B06B97"/>
    <w:pPr>
      <w:numPr>
        <w:numId w:val="11"/>
      </w:numPr>
      <w:contextualSpacing/>
    </w:pPr>
  </w:style>
  <w:style w:type="character" w:customStyle="1" w:styleId="TitleChar">
    <w:name w:val="Title Char"/>
    <w:aliases w:val="Document Title Char"/>
    <w:basedOn w:val="DefaultParagraphFont"/>
    <w:link w:val="Title"/>
    <w:uiPriority w:val="10"/>
    <w:rsid w:val="002146EE"/>
    <w:rPr>
      <w:rFonts w:asciiTheme="majorHAnsi" w:eastAsiaTheme="majorEastAsia" w:hAnsiTheme="majorHAnsi" w:cstheme="majorBidi"/>
      <w:color w:val="005D83" w:themeColor="accent5"/>
      <w:spacing w:val="-10"/>
      <w:kern w:val="28"/>
      <w:sz w:val="56"/>
      <w:szCs w:val="56"/>
    </w:rPr>
  </w:style>
  <w:style w:type="character" w:customStyle="1" w:styleId="Heading4Char">
    <w:name w:val="Heading 4 Char"/>
    <w:aliases w:val="Table Heading Char"/>
    <w:basedOn w:val="DefaultParagraphFont"/>
    <w:link w:val="Heading4"/>
    <w:uiPriority w:val="9"/>
    <w:rsid w:val="008B5A9B"/>
    <w:rPr>
      <w:rFonts w:asciiTheme="majorHAnsi" w:eastAsiaTheme="majorEastAsia" w:hAnsiTheme="majorHAnsi" w:cstheme="majorBidi"/>
      <w:iCs/>
      <w:color w:val="008B6E" w:themeColor="text2"/>
      <w:sz w:val="24"/>
    </w:rPr>
  </w:style>
  <w:style w:type="character" w:customStyle="1" w:styleId="Heading5Char">
    <w:name w:val="Heading 5 Char"/>
    <w:basedOn w:val="DefaultParagraphFont"/>
    <w:link w:val="Heading5"/>
    <w:uiPriority w:val="9"/>
    <w:rsid w:val="00B66293"/>
    <w:rPr>
      <w:rFonts w:eastAsiaTheme="majorEastAsia" w:cstheme="majorBidi"/>
      <w:sz w:val="24"/>
      <w:szCs w:val="24"/>
      <w:lang w:val="en-US"/>
    </w:rPr>
  </w:style>
  <w:style w:type="character" w:customStyle="1" w:styleId="Heading6Char">
    <w:name w:val="Heading 6 Char"/>
    <w:basedOn w:val="DefaultParagraphFont"/>
    <w:link w:val="Heading6"/>
    <w:uiPriority w:val="9"/>
    <w:rsid w:val="003139FD"/>
    <w:rPr>
      <w:rFonts w:asciiTheme="majorHAnsi" w:eastAsiaTheme="majorEastAsia" w:hAnsiTheme="majorHAnsi" w:cstheme="majorBidi"/>
      <w:color w:val="43917F" w:themeColor="accent1" w:themeShade="7F"/>
      <w:sz w:val="24"/>
      <w:szCs w:val="24"/>
      <w:lang w:val="en-US"/>
    </w:rPr>
  </w:style>
  <w:style w:type="character" w:customStyle="1" w:styleId="Heading7Char">
    <w:name w:val="Heading 7 Char"/>
    <w:basedOn w:val="DefaultParagraphFont"/>
    <w:link w:val="Heading7"/>
    <w:uiPriority w:val="9"/>
    <w:rsid w:val="003139FD"/>
    <w:rPr>
      <w:rFonts w:asciiTheme="majorHAnsi" w:eastAsiaTheme="majorEastAsia" w:hAnsiTheme="majorHAnsi" w:cstheme="majorBidi"/>
      <w:i/>
      <w:iCs/>
      <w:color w:val="43917F" w:themeColor="accent1" w:themeShade="7F"/>
      <w:sz w:val="24"/>
      <w:szCs w:val="24"/>
      <w:lang w:val="en-US"/>
    </w:rPr>
  </w:style>
  <w:style w:type="character" w:customStyle="1" w:styleId="Heading8Char">
    <w:name w:val="Heading 8 Char"/>
    <w:basedOn w:val="DefaultParagraphFont"/>
    <w:link w:val="Heading8"/>
    <w:uiPriority w:val="9"/>
    <w:rsid w:val="003139FD"/>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3139FD"/>
    <w:rPr>
      <w:rFonts w:asciiTheme="majorHAnsi" w:eastAsiaTheme="majorEastAsia" w:hAnsiTheme="majorHAnsi" w:cstheme="majorBidi"/>
      <w:i/>
      <w:iCs/>
      <w:color w:val="272727" w:themeColor="text1" w:themeTint="D8"/>
      <w:sz w:val="21"/>
      <w:szCs w:val="21"/>
      <w:lang w:val="en-US"/>
    </w:rPr>
  </w:style>
  <w:style w:type="numbering" w:customStyle="1" w:styleId="Style1">
    <w:name w:val="Style1"/>
    <w:uiPriority w:val="99"/>
    <w:rsid w:val="003139FD"/>
    <w:pPr>
      <w:numPr>
        <w:numId w:val="1"/>
      </w:numPr>
    </w:pPr>
  </w:style>
  <w:style w:type="paragraph" w:customStyle="1" w:styleId="SubInfoBold">
    <w:name w:val="Sub Info Bold"/>
    <w:basedOn w:val="Normal"/>
    <w:qFormat/>
    <w:rsid w:val="00074E90"/>
    <w:pPr>
      <w:spacing w:line="240" w:lineRule="auto"/>
      <w:jc w:val="center"/>
    </w:pPr>
    <w:rPr>
      <w:rFonts w:eastAsiaTheme="minorEastAsia"/>
      <w:sz w:val="32"/>
      <w:szCs w:val="20"/>
      <w:lang w:val="en-US"/>
    </w:rPr>
  </w:style>
  <w:style w:type="table" w:customStyle="1" w:styleId="GridTable41">
    <w:name w:val="Grid Table 41"/>
    <w:basedOn w:val="TableNormal"/>
    <w:uiPriority w:val="49"/>
    <w:rsid w:val="003139FD"/>
    <w:pPr>
      <w:spacing w:after="0" w:line="240" w:lineRule="auto"/>
    </w:pPr>
    <w:rPr>
      <w:rFonts w:eastAsiaTheme="minorEastAsia"/>
      <w:sz w:val="24"/>
      <w:szCs w:val="24"/>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3139FD"/>
    <w:rPr>
      <w:sz w:val="16"/>
      <w:szCs w:val="16"/>
    </w:rPr>
  </w:style>
  <w:style w:type="paragraph" w:styleId="CommentText">
    <w:name w:val="annotation text"/>
    <w:basedOn w:val="Normal"/>
    <w:link w:val="CommentTextChar"/>
    <w:uiPriority w:val="99"/>
    <w:semiHidden/>
    <w:unhideWhenUsed/>
    <w:rsid w:val="003139FD"/>
    <w:pPr>
      <w:spacing w:line="240" w:lineRule="auto"/>
    </w:pPr>
    <w:rPr>
      <w:rFonts w:ascii="DIN Next Rounded LT Pro Light" w:eastAsiaTheme="minorEastAsia" w:hAnsi="DIN Next Rounded LT Pro Light"/>
      <w:szCs w:val="20"/>
      <w:lang w:val="en-US"/>
    </w:rPr>
  </w:style>
  <w:style w:type="character" w:customStyle="1" w:styleId="CommentTextChar">
    <w:name w:val="Comment Text Char"/>
    <w:basedOn w:val="DefaultParagraphFont"/>
    <w:link w:val="CommentText"/>
    <w:uiPriority w:val="99"/>
    <w:semiHidden/>
    <w:rsid w:val="003139FD"/>
    <w:rPr>
      <w:rFonts w:ascii="DIN Next Rounded LT Pro Light" w:eastAsiaTheme="minorEastAsia" w:hAnsi="DIN Next Rounded LT Pro Light"/>
      <w:sz w:val="20"/>
      <w:szCs w:val="20"/>
      <w:lang w:val="en-US"/>
    </w:rPr>
  </w:style>
  <w:style w:type="paragraph" w:styleId="CommentSubject">
    <w:name w:val="annotation subject"/>
    <w:basedOn w:val="CommentText"/>
    <w:next w:val="CommentText"/>
    <w:link w:val="CommentSubjectChar"/>
    <w:uiPriority w:val="99"/>
    <w:semiHidden/>
    <w:unhideWhenUsed/>
    <w:rsid w:val="003139FD"/>
    <w:rPr>
      <w:b/>
      <w:bCs/>
    </w:rPr>
  </w:style>
  <w:style w:type="character" w:customStyle="1" w:styleId="CommentSubjectChar">
    <w:name w:val="Comment Subject Char"/>
    <w:basedOn w:val="CommentTextChar"/>
    <w:link w:val="CommentSubject"/>
    <w:uiPriority w:val="99"/>
    <w:semiHidden/>
    <w:rsid w:val="003139FD"/>
    <w:rPr>
      <w:rFonts w:ascii="DIN Next Rounded LT Pro Light" w:eastAsiaTheme="minorEastAsia" w:hAnsi="DIN Next Rounded LT Pro Light"/>
      <w:b/>
      <w:bCs/>
      <w:sz w:val="20"/>
      <w:szCs w:val="20"/>
      <w:lang w:val="en-US"/>
    </w:rPr>
  </w:style>
  <w:style w:type="character" w:styleId="Emphasis">
    <w:name w:val="Emphasis"/>
    <w:basedOn w:val="DefaultParagraphFont"/>
    <w:uiPriority w:val="20"/>
    <w:qFormat/>
    <w:rsid w:val="006E0A0C"/>
    <w:rPr>
      <w:rFonts w:ascii="Calibri" w:hAnsi="Calibri"/>
      <w:b w:val="0"/>
      <w:i w:val="0"/>
      <w:iCs/>
      <w:color w:val="000000" w:themeColor="text1"/>
      <w:sz w:val="20"/>
    </w:rPr>
  </w:style>
  <w:style w:type="character" w:styleId="HTMLTypewriter">
    <w:name w:val="HTML Typewriter"/>
    <w:basedOn w:val="DefaultParagraphFont"/>
    <w:uiPriority w:val="99"/>
    <w:semiHidden/>
    <w:unhideWhenUsed/>
    <w:rsid w:val="003139FD"/>
    <w:rPr>
      <w:rFonts w:ascii="Courier New" w:eastAsia="Times New Roman" w:hAnsi="Courier New" w:cs="Courier New"/>
      <w:sz w:val="20"/>
      <w:szCs w:val="20"/>
    </w:rPr>
  </w:style>
  <w:style w:type="paragraph" w:styleId="Revision">
    <w:name w:val="Revision"/>
    <w:hidden/>
    <w:uiPriority w:val="99"/>
    <w:semiHidden/>
    <w:rsid w:val="003139FD"/>
    <w:pPr>
      <w:spacing w:after="0" w:line="240" w:lineRule="auto"/>
    </w:pPr>
    <w:rPr>
      <w:rFonts w:ascii="DIN Next Rounded LT Pro Light" w:eastAsiaTheme="minorEastAsia" w:hAnsi="DIN Next Rounded LT Pro Light"/>
      <w:sz w:val="24"/>
      <w:szCs w:val="24"/>
      <w:lang w:val="en-US"/>
    </w:rPr>
  </w:style>
  <w:style w:type="table" w:styleId="GridTable4-Accent1">
    <w:name w:val="Grid Table 4 Accent 1"/>
    <w:basedOn w:val="TableNormal"/>
    <w:uiPriority w:val="49"/>
    <w:rsid w:val="00664465"/>
    <w:pPr>
      <w:spacing w:after="0" w:line="240" w:lineRule="auto"/>
    </w:pPr>
    <w:rPr>
      <w:rFonts w:ascii="Calibri Light" w:hAnsi="Calibri Light"/>
    </w:rPr>
    <w:tblPr>
      <w:tblStyleRowBandSize w:val="1"/>
      <w:tblStyleColBandSize w:val="1"/>
      <w:tblBorders>
        <w:top w:val="single" w:sz="4" w:space="0" w:color="DDEFEB" w:themeColor="accent1" w:themeTint="99"/>
        <w:left w:val="single" w:sz="4" w:space="0" w:color="DDEFEB" w:themeColor="accent1" w:themeTint="99"/>
        <w:bottom w:val="single" w:sz="4" w:space="0" w:color="DDEFEB" w:themeColor="accent1" w:themeTint="99"/>
        <w:right w:val="single" w:sz="4" w:space="0" w:color="DDEFEB" w:themeColor="accent1" w:themeTint="99"/>
        <w:insideH w:val="single" w:sz="4" w:space="0" w:color="DDEFEB" w:themeColor="accent1" w:themeTint="99"/>
        <w:insideV w:val="single" w:sz="4" w:space="0" w:color="DDEFEB" w:themeColor="accent1" w:themeTint="99"/>
      </w:tblBorders>
    </w:tblPr>
    <w:tcPr>
      <w:vAlign w:val="center"/>
    </w:tcPr>
    <w:tblStylePr w:type="firstRow">
      <w:rPr>
        <w:b/>
        <w:bCs/>
        <w:color w:val="FFFFFF" w:themeColor="background1"/>
      </w:rPr>
      <w:tblPr/>
      <w:tcPr>
        <w:tcBorders>
          <w:top w:val="single" w:sz="4" w:space="0" w:color="C7E5DE" w:themeColor="accent1"/>
          <w:left w:val="single" w:sz="4" w:space="0" w:color="C7E5DE" w:themeColor="accent1"/>
          <w:bottom w:val="single" w:sz="4" w:space="0" w:color="C7E5DE" w:themeColor="accent1"/>
          <w:right w:val="single" w:sz="4" w:space="0" w:color="C7E5DE" w:themeColor="accent1"/>
          <w:insideH w:val="nil"/>
          <w:insideV w:val="nil"/>
        </w:tcBorders>
        <w:shd w:val="clear" w:color="auto" w:fill="C7E5DE" w:themeFill="accent1"/>
      </w:tcPr>
    </w:tblStylePr>
    <w:tblStylePr w:type="lastRow">
      <w:rPr>
        <w:b/>
        <w:bCs/>
      </w:rPr>
      <w:tblPr/>
      <w:tcPr>
        <w:tcBorders>
          <w:top w:val="double" w:sz="4" w:space="0" w:color="C7E5DE" w:themeColor="accent1"/>
        </w:tcBorders>
      </w:tcPr>
    </w:tblStylePr>
    <w:tblStylePr w:type="firstCol">
      <w:rPr>
        <w:b/>
        <w:bCs/>
      </w:rPr>
    </w:tblStylePr>
    <w:tblStylePr w:type="lastCol">
      <w:rPr>
        <w:b/>
        <w:bCs/>
      </w:rPr>
    </w:tblStylePr>
    <w:tblStylePr w:type="band1Vert">
      <w:tblPr/>
      <w:tcPr>
        <w:shd w:val="clear" w:color="auto" w:fill="F3F9F8" w:themeFill="accent1" w:themeFillTint="33"/>
      </w:tcPr>
    </w:tblStylePr>
    <w:tblStylePr w:type="band1Horz">
      <w:tblPr/>
      <w:tcPr>
        <w:shd w:val="clear" w:color="auto" w:fill="F3F9F8" w:themeFill="accent1" w:themeFillTint="33"/>
      </w:tcPr>
    </w:tblStylePr>
  </w:style>
  <w:style w:type="table" w:customStyle="1" w:styleId="BCTable">
    <w:name w:val="BC Table"/>
    <w:basedOn w:val="TableProfessional"/>
    <w:uiPriority w:val="99"/>
    <w:rsid w:val="00A80C92"/>
    <w:pPr>
      <w:spacing w:after="0" w:line="240" w:lineRule="auto"/>
    </w:pPr>
    <w:tblPr/>
    <w:tblStylePr w:type="firstRow">
      <w:rPr>
        <w:b/>
        <w:bCs/>
        <w:color w:val="auto"/>
      </w:rPr>
      <w:tblPr/>
      <w:tcPr>
        <w:tcBorders>
          <w:tl2br w:val="none" w:sz="0" w:space="0" w:color="auto"/>
          <w:tr2bl w:val="none" w:sz="0" w:space="0" w:color="auto"/>
        </w:tcBorders>
        <w:shd w:val="solid" w:color="000000" w:fill="FFFFFF"/>
      </w:tcPr>
    </w:tblStylePr>
  </w:style>
  <w:style w:type="character" w:styleId="PageNumber">
    <w:name w:val="page number"/>
    <w:basedOn w:val="DefaultParagraphFont"/>
    <w:uiPriority w:val="99"/>
    <w:semiHidden/>
    <w:unhideWhenUsed/>
    <w:rsid w:val="00AC5C1B"/>
  </w:style>
  <w:style w:type="paragraph" w:styleId="FootnoteText">
    <w:name w:val="footnote text"/>
    <w:basedOn w:val="Normal"/>
    <w:link w:val="FootnoteTextChar"/>
    <w:uiPriority w:val="99"/>
    <w:semiHidden/>
    <w:unhideWhenUsed/>
    <w:rsid w:val="00AC5C1B"/>
    <w:pPr>
      <w:spacing w:line="240" w:lineRule="auto"/>
    </w:pPr>
    <w:rPr>
      <w:rFonts w:ascii="Calibri" w:eastAsiaTheme="minorEastAsia" w:hAnsi="Calibri" w:cs="Calibri"/>
      <w:szCs w:val="20"/>
      <w:lang w:eastAsia="ja-JP"/>
    </w:rPr>
  </w:style>
  <w:style w:type="character" w:customStyle="1" w:styleId="FootnoteTextChar">
    <w:name w:val="Footnote Text Char"/>
    <w:basedOn w:val="DefaultParagraphFont"/>
    <w:link w:val="FootnoteText"/>
    <w:uiPriority w:val="99"/>
    <w:semiHidden/>
    <w:rsid w:val="00AC5C1B"/>
    <w:rPr>
      <w:rFonts w:ascii="Calibri" w:eastAsiaTheme="minorEastAsia" w:hAnsi="Calibri" w:cs="Calibri"/>
      <w:sz w:val="20"/>
      <w:szCs w:val="20"/>
      <w:lang w:eastAsia="ja-JP"/>
    </w:rPr>
  </w:style>
  <w:style w:type="character" w:styleId="FootnoteReference">
    <w:name w:val="footnote reference"/>
    <w:basedOn w:val="DefaultParagraphFont"/>
    <w:uiPriority w:val="99"/>
    <w:semiHidden/>
    <w:unhideWhenUsed/>
    <w:rsid w:val="00AC5C1B"/>
    <w:rPr>
      <w:vertAlign w:val="superscript"/>
    </w:rPr>
  </w:style>
  <w:style w:type="table" w:styleId="TableProfessional">
    <w:name w:val="Table Professional"/>
    <w:basedOn w:val="TableNormal"/>
    <w:uiPriority w:val="99"/>
    <w:semiHidden/>
    <w:unhideWhenUsed/>
    <w:rsid w:val="00A80C9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dTable3-Accent5">
    <w:name w:val="Grid Table 3 Accent 5"/>
    <w:basedOn w:val="TableNormal"/>
    <w:uiPriority w:val="48"/>
    <w:rsid w:val="00C67F10"/>
    <w:pPr>
      <w:spacing w:after="0" w:line="240" w:lineRule="auto"/>
    </w:pPr>
    <w:tblPr>
      <w:tblStyleRowBandSize w:val="1"/>
      <w:tblStyleColBandSize w:val="1"/>
      <w:tblBorders>
        <w:top w:val="single" w:sz="4" w:space="0" w:color="1BBCFF" w:themeColor="accent5" w:themeTint="99"/>
        <w:left w:val="single" w:sz="4" w:space="0" w:color="1BBCFF" w:themeColor="accent5" w:themeTint="99"/>
        <w:bottom w:val="single" w:sz="4" w:space="0" w:color="1BBCFF" w:themeColor="accent5" w:themeTint="99"/>
        <w:right w:val="single" w:sz="4" w:space="0" w:color="1BBCFF" w:themeColor="accent5" w:themeTint="99"/>
        <w:insideH w:val="single" w:sz="4" w:space="0" w:color="1BBCFF" w:themeColor="accent5" w:themeTint="99"/>
        <w:insideV w:val="single" w:sz="4" w:space="0" w:color="1BBC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E8FF" w:themeFill="accent5" w:themeFillTint="33"/>
      </w:tcPr>
    </w:tblStylePr>
    <w:tblStylePr w:type="band1Horz">
      <w:tblPr/>
      <w:tcPr>
        <w:shd w:val="clear" w:color="auto" w:fill="B3E8FF" w:themeFill="accent5" w:themeFillTint="33"/>
      </w:tcPr>
    </w:tblStylePr>
    <w:tblStylePr w:type="neCell">
      <w:tblPr/>
      <w:tcPr>
        <w:tcBorders>
          <w:bottom w:val="single" w:sz="4" w:space="0" w:color="1BBCFF" w:themeColor="accent5" w:themeTint="99"/>
        </w:tcBorders>
      </w:tcPr>
    </w:tblStylePr>
    <w:tblStylePr w:type="nwCell">
      <w:tblPr/>
      <w:tcPr>
        <w:tcBorders>
          <w:bottom w:val="single" w:sz="4" w:space="0" w:color="1BBCFF" w:themeColor="accent5" w:themeTint="99"/>
        </w:tcBorders>
      </w:tcPr>
    </w:tblStylePr>
    <w:tblStylePr w:type="seCell">
      <w:tblPr/>
      <w:tcPr>
        <w:tcBorders>
          <w:top w:val="single" w:sz="4" w:space="0" w:color="1BBCFF" w:themeColor="accent5" w:themeTint="99"/>
        </w:tcBorders>
      </w:tcPr>
    </w:tblStylePr>
    <w:tblStylePr w:type="swCell">
      <w:tblPr/>
      <w:tcPr>
        <w:tcBorders>
          <w:top w:val="single" w:sz="4" w:space="0" w:color="1BBCFF" w:themeColor="accent5" w:themeTint="99"/>
        </w:tcBorders>
      </w:tcPr>
    </w:tblStylePr>
  </w:style>
  <w:style w:type="table" w:styleId="GridTable3-Accent2">
    <w:name w:val="Grid Table 3 Accent 2"/>
    <w:basedOn w:val="TableNormal"/>
    <w:uiPriority w:val="48"/>
    <w:rsid w:val="00C67F10"/>
    <w:pPr>
      <w:spacing w:after="0" w:line="240" w:lineRule="auto"/>
    </w:pPr>
    <w:tblPr>
      <w:tblStyleRowBandSize w:val="1"/>
      <w:tblStyleColBandSize w:val="1"/>
      <w:tblBorders>
        <w:top w:val="single" w:sz="4" w:space="0" w:color="9F9DA8" w:themeColor="accent2" w:themeTint="99"/>
        <w:left w:val="single" w:sz="4" w:space="0" w:color="9F9DA8" w:themeColor="accent2" w:themeTint="99"/>
        <w:bottom w:val="single" w:sz="4" w:space="0" w:color="9F9DA8" w:themeColor="accent2" w:themeTint="99"/>
        <w:right w:val="single" w:sz="4" w:space="0" w:color="9F9DA8" w:themeColor="accent2" w:themeTint="99"/>
        <w:insideH w:val="single" w:sz="4" w:space="0" w:color="9F9DA8" w:themeColor="accent2" w:themeTint="99"/>
        <w:insideV w:val="single" w:sz="4" w:space="0" w:color="9F9DA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EE2" w:themeFill="accent2" w:themeFillTint="33"/>
      </w:tcPr>
    </w:tblStylePr>
    <w:tblStylePr w:type="band1Horz">
      <w:tblPr/>
      <w:tcPr>
        <w:shd w:val="clear" w:color="auto" w:fill="DFDEE2" w:themeFill="accent2" w:themeFillTint="33"/>
      </w:tcPr>
    </w:tblStylePr>
    <w:tblStylePr w:type="neCell">
      <w:tblPr/>
      <w:tcPr>
        <w:tcBorders>
          <w:bottom w:val="single" w:sz="4" w:space="0" w:color="9F9DA8" w:themeColor="accent2" w:themeTint="99"/>
        </w:tcBorders>
      </w:tcPr>
    </w:tblStylePr>
    <w:tblStylePr w:type="nwCell">
      <w:tblPr/>
      <w:tcPr>
        <w:tcBorders>
          <w:bottom w:val="single" w:sz="4" w:space="0" w:color="9F9DA8" w:themeColor="accent2" w:themeTint="99"/>
        </w:tcBorders>
      </w:tcPr>
    </w:tblStylePr>
    <w:tblStylePr w:type="seCell">
      <w:tblPr/>
      <w:tcPr>
        <w:tcBorders>
          <w:top w:val="single" w:sz="4" w:space="0" w:color="9F9DA8" w:themeColor="accent2" w:themeTint="99"/>
        </w:tcBorders>
      </w:tcPr>
    </w:tblStylePr>
    <w:tblStylePr w:type="swCell">
      <w:tblPr/>
      <w:tcPr>
        <w:tcBorders>
          <w:top w:val="single" w:sz="4" w:space="0" w:color="9F9DA8" w:themeColor="accent2" w:themeTint="99"/>
        </w:tcBorders>
      </w:tcPr>
    </w:tblStylePr>
  </w:style>
  <w:style w:type="table" w:styleId="GridTable2-Accent4">
    <w:name w:val="Grid Table 2 Accent 4"/>
    <w:basedOn w:val="TableNormal"/>
    <w:uiPriority w:val="47"/>
    <w:rsid w:val="00C67F10"/>
    <w:pPr>
      <w:spacing w:after="0" w:line="240" w:lineRule="auto"/>
    </w:pPr>
    <w:tblPr>
      <w:tblStyleRowBandSize w:val="1"/>
      <w:tblStyleColBandSize w:val="1"/>
      <w:tblBorders>
        <w:top w:val="single" w:sz="2" w:space="0" w:color="F3EEEA" w:themeColor="accent4" w:themeTint="99"/>
        <w:bottom w:val="single" w:sz="2" w:space="0" w:color="F3EEEA" w:themeColor="accent4" w:themeTint="99"/>
        <w:insideH w:val="single" w:sz="2" w:space="0" w:color="F3EEEA" w:themeColor="accent4" w:themeTint="99"/>
        <w:insideV w:val="single" w:sz="2" w:space="0" w:color="F3EEEA" w:themeColor="accent4" w:themeTint="99"/>
      </w:tblBorders>
    </w:tblPr>
    <w:tblStylePr w:type="firstRow">
      <w:rPr>
        <w:b/>
        <w:bCs/>
      </w:rPr>
      <w:tblPr/>
      <w:tcPr>
        <w:tcBorders>
          <w:top w:val="nil"/>
          <w:bottom w:val="single" w:sz="12" w:space="0" w:color="F3EEEA" w:themeColor="accent4" w:themeTint="99"/>
          <w:insideH w:val="nil"/>
          <w:insideV w:val="nil"/>
        </w:tcBorders>
        <w:shd w:val="clear" w:color="auto" w:fill="FFFFFF" w:themeFill="background1"/>
      </w:tcPr>
    </w:tblStylePr>
    <w:tblStylePr w:type="lastRow">
      <w:rPr>
        <w:b/>
        <w:bCs/>
      </w:rPr>
      <w:tblPr/>
      <w:tcPr>
        <w:tcBorders>
          <w:top w:val="double" w:sz="2" w:space="0" w:color="F3EEE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9F8" w:themeFill="accent4" w:themeFillTint="33"/>
      </w:tcPr>
    </w:tblStylePr>
    <w:tblStylePr w:type="band1Horz">
      <w:tblPr/>
      <w:tcPr>
        <w:shd w:val="clear" w:color="auto" w:fill="FBF9F8" w:themeFill="accent4" w:themeFillTint="33"/>
      </w:tcPr>
    </w:tblStylePr>
  </w:style>
  <w:style w:type="table" w:styleId="GridTable2-Accent3">
    <w:name w:val="Grid Table 2 Accent 3"/>
    <w:basedOn w:val="TableNormal"/>
    <w:uiPriority w:val="47"/>
    <w:rsid w:val="00C67F10"/>
    <w:pPr>
      <w:spacing w:after="0" w:line="240" w:lineRule="auto"/>
    </w:pPr>
    <w:tblPr>
      <w:tblStyleRowBandSize w:val="1"/>
      <w:tblStyleColBandSize w:val="1"/>
      <w:tblBorders>
        <w:top w:val="single" w:sz="2" w:space="0" w:color="DACECE" w:themeColor="accent3" w:themeTint="99"/>
        <w:bottom w:val="single" w:sz="2" w:space="0" w:color="DACECE" w:themeColor="accent3" w:themeTint="99"/>
        <w:insideH w:val="single" w:sz="2" w:space="0" w:color="DACECE" w:themeColor="accent3" w:themeTint="99"/>
        <w:insideV w:val="single" w:sz="2" w:space="0" w:color="DACECE" w:themeColor="accent3" w:themeTint="99"/>
      </w:tblBorders>
    </w:tblPr>
    <w:tblStylePr w:type="firstRow">
      <w:rPr>
        <w:b/>
        <w:bCs/>
      </w:rPr>
      <w:tblPr/>
      <w:tcPr>
        <w:tcBorders>
          <w:top w:val="nil"/>
          <w:bottom w:val="single" w:sz="12" w:space="0" w:color="DACECE" w:themeColor="accent3" w:themeTint="99"/>
          <w:insideH w:val="nil"/>
          <w:insideV w:val="nil"/>
        </w:tcBorders>
        <w:shd w:val="clear" w:color="auto" w:fill="FFFFFF" w:themeFill="background1"/>
      </w:tcPr>
    </w:tblStylePr>
    <w:tblStylePr w:type="lastRow">
      <w:rPr>
        <w:b/>
        <w:bCs/>
      </w:rPr>
      <w:tblPr/>
      <w:tcPr>
        <w:tcBorders>
          <w:top w:val="double" w:sz="2" w:space="0" w:color="DACE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EEEE" w:themeFill="accent3" w:themeFillTint="33"/>
      </w:tcPr>
    </w:tblStylePr>
    <w:tblStylePr w:type="band1Horz">
      <w:tblPr/>
      <w:tcPr>
        <w:shd w:val="clear" w:color="auto" w:fill="F2EEEE" w:themeFill="accent3" w:themeFillTint="33"/>
      </w:tcPr>
    </w:tblStylePr>
  </w:style>
  <w:style w:type="table" w:styleId="GridTable2-Accent2">
    <w:name w:val="Grid Table 2 Accent 2"/>
    <w:basedOn w:val="TableNormal"/>
    <w:uiPriority w:val="47"/>
    <w:rsid w:val="00C67F10"/>
    <w:pPr>
      <w:spacing w:after="0" w:line="240" w:lineRule="auto"/>
    </w:pPr>
    <w:tblPr>
      <w:tblStyleRowBandSize w:val="1"/>
      <w:tblStyleColBandSize w:val="1"/>
      <w:tblBorders>
        <w:top w:val="single" w:sz="2" w:space="0" w:color="9F9DA8" w:themeColor="accent2" w:themeTint="99"/>
        <w:bottom w:val="single" w:sz="2" w:space="0" w:color="9F9DA8" w:themeColor="accent2" w:themeTint="99"/>
        <w:insideH w:val="single" w:sz="2" w:space="0" w:color="9F9DA8" w:themeColor="accent2" w:themeTint="99"/>
        <w:insideV w:val="single" w:sz="2" w:space="0" w:color="9F9DA8" w:themeColor="accent2" w:themeTint="99"/>
      </w:tblBorders>
    </w:tblPr>
    <w:tblStylePr w:type="firstRow">
      <w:rPr>
        <w:b/>
        <w:bCs/>
      </w:rPr>
      <w:tblPr/>
      <w:tcPr>
        <w:tcBorders>
          <w:top w:val="nil"/>
          <w:bottom w:val="single" w:sz="12" w:space="0" w:color="9F9DA8" w:themeColor="accent2" w:themeTint="99"/>
          <w:insideH w:val="nil"/>
          <w:insideV w:val="nil"/>
        </w:tcBorders>
        <w:shd w:val="clear" w:color="auto" w:fill="FFFFFF" w:themeFill="background1"/>
      </w:tcPr>
    </w:tblStylePr>
    <w:tblStylePr w:type="lastRow">
      <w:rPr>
        <w:b/>
        <w:bCs/>
      </w:rPr>
      <w:tblPr/>
      <w:tcPr>
        <w:tcBorders>
          <w:top w:val="double" w:sz="2" w:space="0" w:color="9F9DA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EE2" w:themeFill="accent2" w:themeFillTint="33"/>
      </w:tcPr>
    </w:tblStylePr>
    <w:tblStylePr w:type="band1Horz">
      <w:tblPr/>
      <w:tcPr>
        <w:shd w:val="clear" w:color="auto" w:fill="DFDEE2" w:themeFill="accent2" w:themeFillTint="33"/>
      </w:tcPr>
    </w:tblStylePr>
  </w:style>
  <w:style w:type="paragraph" w:styleId="IntenseQuote">
    <w:name w:val="Intense Quote"/>
    <w:basedOn w:val="Normal"/>
    <w:next w:val="Normal"/>
    <w:link w:val="IntenseQuoteChar"/>
    <w:uiPriority w:val="30"/>
    <w:qFormat/>
    <w:rsid w:val="004428BE"/>
    <w:pPr>
      <w:pBdr>
        <w:top w:val="single" w:sz="4" w:space="10" w:color="C7E5DE" w:themeColor="accent1"/>
        <w:bottom w:val="single" w:sz="4" w:space="10" w:color="C7E5DE" w:themeColor="accent1"/>
      </w:pBdr>
      <w:spacing w:before="360" w:after="360"/>
      <w:ind w:left="864" w:right="864"/>
      <w:jc w:val="center"/>
    </w:pPr>
    <w:rPr>
      <w:rFonts w:ascii="Calibri Light" w:hAnsi="Calibri Light"/>
      <w:i/>
      <w:iCs/>
      <w:color w:val="7DC2B2" w:themeColor="accent1" w:themeShade="BF"/>
      <w:sz w:val="40"/>
    </w:rPr>
  </w:style>
  <w:style w:type="character" w:customStyle="1" w:styleId="IntenseQuoteChar">
    <w:name w:val="Intense Quote Char"/>
    <w:basedOn w:val="DefaultParagraphFont"/>
    <w:link w:val="IntenseQuote"/>
    <w:uiPriority w:val="30"/>
    <w:rsid w:val="004428BE"/>
    <w:rPr>
      <w:rFonts w:ascii="Calibri Light" w:hAnsi="Calibri Light"/>
      <w:i/>
      <w:iCs/>
      <w:color w:val="7DC2B2" w:themeColor="accent1" w:themeShade="BF"/>
      <w:sz w:val="40"/>
    </w:rPr>
  </w:style>
  <w:style w:type="paragraph" w:styleId="ListParagraph">
    <w:name w:val="List Paragraph"/>
    <w:basedOn w:val="Normal"/>
    <w:uiPriority w:val="34"/>
    <w:qFormat/>
    <w:rsid w:val="00A47370"/>
    <w:pPr>
      <w:ind w:left="720"/>
      <w:contextualSpacing/>
    </w:pPr>
  </w:style>
  <w:style w:type="paragraph" w:customStyle="1" w:styleId="BulletPoint">
    <w:name w:val="Bullet Point"/>
    <w:basedOn w:val="ListParagraph"/>
    <w:qFormat/>
    <w:rsid w:val="00533C74"/>
    <w:pPr>
      <w:numPr>
        <w:ilvl w:val="1"/>
        <w:numId w:val="2"/>
      </w:numPr>
      <w:ind w:left="567" w:hanging="283"/>
    </w:pPr>
    <w:rPr>
      <w:rFonts w:ascii="Calibri Light" w:hAnsi="Calibri Light"/>
      <w:color w:val="000000" w:themeColor="text1"/>
    </w:rPr>
  </w:style>
  <w:style w:type="paragraph" w:customStyle="1" w:styleId="NumberedList">
    <w:name w:val="Numbered List"/>
    <w:basedOn w:val="BulletPoint"/>
    <w:qFormat/>
    <w:rsid w:val="00036E57"/>
    <w:pPr>
      <w:numPr>
        <w:ilvl w:val="0"/>
        <w:numId w:val="3"/>
      </w:numPr>
    </w:pPr>
  </w:style>
  <w:style w:type="paragraph" w:styleId="TOCHeading">
    <w:name w:val="TOC Heading"/>
    <w:basedOn w:val="Heading1"/>
    <w:next w:val="Normal"/>
    <w:uiPriority w:val="39"/>
    <w:unhideWhenUsed/>
    <w:qFormat/>
    <w:rsid w:val="009522F4"/>
    <w:pPr>
      <w:spacing w:before="480" w:after="0"/>
      <w:outlineLvl w:val="9"/>
    </w:pPr>
    <w:rPr>
      <w:bCs/>
      <w:szCs w:val="28"/>
      <w:lang w:val="en-US"/>
    </w:rPr>
  </w:style>
  <w:style w:type="paragraph" w:styleId="TOC1">
    <w:name w:val="toc 1"/>
    <w:basedOn w:val="TOCHeading"/>
    <w:next w:val="Normal"/>
    <w:autoRedefine/>
    <w:uiPriority w:val="39"/>
    <w:unhideWhenUsed/>
    <w:qFormat/>
    <w:rsid w:val="009522F4"/>
    <w:pPr>
      <w:tabs>
        <w:tab w:val="right" w:leader="dot" w:pos="9204"/>
      </w:tabs>
      <w:spacing w:before="360" w:after="120"/>
    </w:pPr>
    <w:rPr>
      <w:rFonts w:ascii="Calibri Light" w:eastAsia="Times New Roman" w:hAnsi="Calibri Light" w:cs="Arial"/>
      <w:bCs w:val="0"/>
      <w:iCs/>
      <w:noProof/>
      <w:szCs w:val="24"/>
    </w:rPr>
  </w:style>
  <w:style w:type="paragraph" w:styleId="TOC2">
    <w:name w:val="toc 2"/>
    <w:basedOn w:val="Normal"/>
    <w:next w:val="Normal"/>
    <w:autoRedefine/>
    <w:uiPriority w:val="39"/>
    <w:unhideWhenUsed/>
    <w:qFormat/>
    <w:rsid w:val="00231CA6"/>
    <w:pPr>
      <w:tabs>
        <w:tab w:val="right" w:leader="dot" w:pos="9204"/>
      </w:tabs>
      <w:spacing w:before="120"/>
      <w:ind w:left="340"/>
    </w:pPr>
    <w:rPr>
      <w:rFonts w:ascii="Calibri Light" w:hAnsi="Calibri Light" w:cstheme="minorHAnsi"/>
      <w:bCs/>
      <w:noProof/>
      <w:color w:val="000000" w:themeColor="text1"/>
    </w:rPr>
  </w:style>
  <w:style w:type="paragraph" w:styleId="TOC3">
    <w:name w:val="toc 3"/>
    <w:basedOn w:val="Normal"/>
    <w:next w:val="Normal"/>
    <w:autoRedefine/>
    <w:uiPriority w:val="39"/>
    <w:unhideWhenUsed/>
    <w:rsid w:val="00881869"/>
    <w:pPr>
      <w:spacing w:after="100"/>
      <w:ind w:left="440"/>
    </w:pPr>
  </w:style>
  <w:style w:type="table" w:styleId="GridTable4-Accent4">
    <w:name w:val="Grid Table 4 Accent 4"/>
    <w:basedOn w:val="TableNormal"/>
    <w:uiPriority w:val="49"/>
    <w:rsid w:val="00664465"/>
    <w:pPr>
      <w:spacing w:after="0" w:line="240" w:lineRule="auto"/>
    </w:pPr>
    <w:tblPr>
      <w:tblStyleRowBandSize w:val="1"/>
      <w:tblStyleColBandSize w:val="1"/>
      <w:tblBorders>
        <w:top w:val="single" w:sz="4" w:space="0" w:color="F3EEEA" w:themeColor="accent4" w:themeTint="99"/>
        <w:left w:val="single" w:sz="4" w:space="0" w:color="F3EEEA" w:themeColor="accent4" w:themeTint="99"/>
        <w:bottom w:val="single" w:sz="4" w:space="0" w:color="F3EEEA" w:themeColor="accent4" w:themeTint="99"/>
        <w:right w:val="single" w:sz="4" w:space="0" w:color="F3EEEA" w:themeColor="accent4" w:themeTint="99"/>
        <w:insideH w:val="single" w:sz="4" w:space="0" w:color="F3EEEA" w:themeColor="accent4" w:themeTint="99"/>
        <w:insideV w:val="single" w:sz="4" w:space="0" w:color="F3EEEA" w:themeColor="accent4" w:themeTint="99"/>
      </w:tblBorders>
    </w:tblPr>
    <w:tblStylePr w:type="firstRow">
      <w:rPr>
        <w:b/>
        <w:bCs/>
        <w:color w:val="FFFFFF" w:themeColor="background1"/>
      </w:rPr>
      <w:tblPr/>
      <w:tcPr>
        <w:tcBorders>
          <w:top w:val="single" w:sz="4" w:space="0" w:color="ECE3DD" w:themeColor="accent4"/>
          <w:left w:val="single" w:sz="4" w:space="0" w:color="ECE3DD" w:themeColor="accent4"/>
          <w:bottom w:val="single" w:sz="4" w:space="0" w:color="ECE3DD" w:themeColor="accent4"/>
          <w:right w:val="single" w:sz="4" w:space="0" w:color="ECE3DD" w:themeColor="accent4"/>
          <w:insideH w:val="nil"/>
          <w:insideV w:val="nil"/>
        </w:tcBorders>
        <w:shd w:val="clear" w:color="auto" w:fill="ECE3DD" w:themeFill="accent4"/>
      </w:tcPr>
    </w:tblStylePr>
    <w:tblStylePr w:type="lastRow">
      <w:rPr>
        <w:b/>
        <w:bCs/>
      </w:rPr>
      <w:tblPr/>
      <w:tcPr>
        <w:tcBorders>
          <w:top w:val="double" w:sz="4" w:space="0" w:color="ECE3DD" w:themeColor="accent4"/>
        </w:tcBorders>
      </w:tcPr>
    </w:tblStylePr>
    <w:tblStylePr w:type="firstCol">
      <w:rPr>
        <w:b/>
        <w:bCs/>
      </w:rPr>
    </w:tblStylePr>
    <w:tblStylePr w:type="lastCol">
      <w:rPr>
        <w:b/>
        <w:bCs/>
      </w:rPr>
    </w:tblStylePr>
    <w:tblStylePr w:type="band1Vert">
      <w:tblPr/>
      <w:tcPr>
        <w:shd w:val="clear" w:color="auto" w:fill="FBF9F8" w:themeFill="accent4" w:themeFillTint="33"/>
      </w:tcPr>
    </w:tblStylePr>
    <w:tblStylePr w:type="band1Horz">
      <w:tblPr/>
      <w:tcPr>
        <w:shd w:val="clear" w:color="auto" w:fill="FBF9F8" w:themeFill="accent4" w:themeFillTint="33"/>
      </w:tcPr>
    </w:tblStylePr>
  </w:style>
  <w:style w:type="paragraph" w:customStyle="1" w:styleId="Bulletpoint-2ndlevel">
    <w:name w:val="Bullet point - 2nd level"/>
    <w:basedOn w:val="BulletPoint"/>
    <w:autoRedefine/>
    <w:qFormat/>
    <w:rsid w:val="00103EFA"/>
    <w:pPr>
      <w:numPr>
        <w:ilvl w:val="2"/>
      </w:numPr>
      <w:ind w:left="1094" w:hanging="357"/>
    </w:pPr>
  </w:style>
  <w:style w:type="paragraph" w:customStyle="1" w:styleId="NumberedList-2ndlevel">
    <w:name w:val="Numbered List - 2nd level"/>
    <w:basedOn w:val="NumberedList"/>
    <w:autoRedefine/>
    <w:qFormat/>
    <w:rsid w:val="006713D7"/>
    <w:pPr>
      <w:numPr>
        <w:ilvl w:val="1"/>
        <w:numId w:val="5"/>
      </w:numPr>
      <w:ind w:left="1134"/>
    </w:pPr>
  </w:style>
  <w:style w:type="paragraph" w:customStyle="1" w:styleId="Bulletpoint-3rdlevel">
    <w:name w:val="Bullet point - 3rd level"/>
    <w:basedOn w:val="Bulletpoint-2ndlevel"/>
    <w:autoRedefine/>
    <w:qFormat/>
    <w:rsid w:val="00103EFA"/>
    <w:pPr>
      <w:numPr>
        <w:ilvl w:val="3"/>
      </w:numPr>
      <w:ind w:left="1491" w:hanging="357"/>
    </w:pPr>
  </w:style>
  <w:style w:type="paragraph" w:customStyle="1" w:styleId="NumberedList-3rdlevel">
    <w:name w:val="Numbered List - 3rd level"/>
    <w:basedOn w:val="NumberedList"/>
    <w:autoRedefine/>
    <w:qFormat/>
    <w:rsid w:val="002F4A0D"/>
    <w:pPr>
      <w:numPr>
        <w:ilvl w:val="2"/>
        <w:numId w:val="5"/>
      </w:numPr>
      <w:ind w:left="1418"/>
    </w:pPr>
  </w:style>
  <w:style w:type="paragraph" w:styleId="ListNumber2">
    <w:name w:val="List Number 2"/>
    <w:basedOn w:val="Normal"/>
    <w:uiPriority w:val="99"/>
    <w:unhideWhenUsed/>
    <w:rsid w:val="00B06B97"/>
    <w:pPr>
      <w:numPr>
        <w:numId w:val="12"/>
      </w:numPr>
      <w:contextualSpacing/>
    </w:pPr>
  </w:style>
  <w:style w:type="paragraph" w:styleId="ListNumber3">
    <w:name w:val="List Number 3"/>
    <w:basedOn w:val="Normal"/>
    <w:uiPriority w:val="99"/>
    <w:unhideWhenUsed/>
    <w:rsid w:val="00B06B97"/>
    <w:pPr>
      <w:numPr>
        <w:numId w:val="13"/>
      </w:numPr>
      <w:contextualSpacing/>
    </w:pPr>
  </w:style>
  <w:style w:type="paragraph" w:styleId="ListBullet">
    <w:name w:val="List Bullet"/>
    <w:basedOn w:val="Normal"/>
    <w:uiPriority w:val="99"/>
    <w:unhideWhenUsed/>
    <w:rsid w:val="00CF6B09"/>
    <w:pPr>
      <w:numPr>
        <w:numId w:val="14"/>
      </w:numPr>
      <w:contextualSpacing/>
    </w:pPr>
  </w:style>
  <w:style w:type="paragraph" w:styleId="ListBullet2">
    <w:name w:val="List Bullet 2"/>
    <w:basedOn w:val="Normal"/>
    <w:uiPriority w:val="99"/>
    <w:unhideWhenUsed/>
    <w:rsid w:val="00CF6B09"/>
    <w:pPr>
      <w:numPr>
        <w:numId w:val="15"/>
      </w:numPr>
      <w:contextualSpacing/>
    </w:pPr>
  </w:style>
  <w:style w:type="paragraph" w:styleId="ListBullet3">
    <w:name w:val="List Bullet 3"/>
    <w:basedOn w:val="Normal"/>
    <w:uiPriority w:val="99"/>
    <w:unhideWhenUsed/>
    <w:rsid w:val="00CF6B09"/>
    <w:pPr>
      <w:numPr>
        <w:numId w:val="16"/>
      </w:numPr>
      <w:contextualSpacing/>
    </w:pPr>
  </w:style>
  <w:style w:type="paragraph" w:customStyle="1" w:styleId="TableSubHeader">
    <w:name w:val="Table Sub Header"/>
    <w:basedOn w:val="Heading4"/>
    <w:autoRedefine/>
    <w:qFormat/>
    <w:rsid w:val="008B5A9B"/>
    <w:rPr>
      <w:sz w:val="22"/>
    </w:rPr>
  </w:style>
  <w:style w:type="paragraph" w:styleId="NoSpacing">
    <w:name w:val="No Spacing"/>
    <w:link w:val="NoSpacingChar"/>
    <w:uiPriority w:val="1"/>
    <w:qFormat/>
    <w:rsid w:val="00653321"/>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653321"/>
    <w:rPr>
      <w:rFonts w:eastAsiaTheme="minorEastAsia"/>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8843">
      <w:bodyDiv w:val="1"/>
      <w:marLeft w:val="0"/>
      <w:marRight w:val="0"/>
      <w:marTop w:val="0"/>
      <w:marBottom w:val="0"/>
      <w:divBdr>
        <w:top w:val="none" w:sz="0" w:space="0" w:color="auto"/>
        <w:left w:val="none" w:sz="0" w:space="0" w:color="auto"/>
        <w:bottom w:val="none" w:sz="0" w:space="0" w:color="auto"/>
        <w:right w:val="none" w:sz="0" w:space="0" w:color="auto"/>
      </w:divBdr>
    </w:div>
    <w:div w:id="33175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ankingcircle.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o\Downloads\BC_NonConfidential_WordTemplate_26Mar.dotx" TargetMode="External"/></Relationships>
</file>

<file path=word/theme/theme1.xml><?xml version="1.0" encoding="utf-8"?>
<a:theme xmlns:a="http://schemas.openxmlformats.org/drawingml/2006/main" name="Banking Circle 2020">
  <a:themeElements>
    <a:clrScheme name="Custom 3">
      <a:dk1>
        <a:srgbClr val="000000"/>
      </a:dk1>
      <a:lt1>
        <a:srgbClr val="FFFFFF"/>
      </a:lt1>
      <a:dk2>
        <a:srgbClr val="008B6E"/>
      </a:dk2>
      <a:lt2>
        <a:srgbClr val="104A5F"/>
      </a:lt2>
      <a:accent1>
        <a:srgbClr val="C7E5DE"/>
      </a:accent1>
      <a:accent2>
        <a:srgbClr val="62606C"/>
      </a:accent2>
      <a:accent3>
        <a:srgbClr val="C2AFAE"/>
      </a:accent3>
      <a:accent4>
        <a:srgbClr val="ECE3DD"/>
      </a:accent4>
      <a:accent5>
        <a:srgbClr val="005D83"/>
      </a:accent5>
      <a:accent6>
        <a:srgbClr val="9C2522"/>
      </a:accent6>
      <a:hlink>
        <a:srgbClr val="0E495F"/>
      </a:hlink>
      <a:folHlink>
        <a:srgbClr val="008B6E"/>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Banking Circle 2020" id="{06A20D2E-CD27-4CF3-8D92-AD3A0D408758}" vid="{03BF2B9F-303E-45C9-806D-13F63BE041D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6474D5961133C4EAB4E06A228DFEE58" ma:contentTypeVersion="3" ma:contentTypeDescription="Create a new document." ma:contentTypeScope="" ma:versionID="9fcd54684af4bc2e3e12fba3d2ee663e">
  <xsd:schema xmlns:xsd="http://www.w3.org/2001/XMLSchema" xmlns:xs="http://www.w3.org/2001/XMLSchema" xmlns:p="http://schemas.microsoft.com/office/2006/metadata/properties" xmlns:ns2="83822f4d-e4c0-48bf-b768-841e5f404804" xmlns:ns3="a2aa19ac-7254-4672-b5f3-36bb7be1aecc" targetNamespace="http://schemas.microsoft.com/office/2006/metadata/properties" ma:root="true" ma:fieldsID="406ff5dc5739e50793881089d6d6d05a" ns2:_="" ns3:_="">
    <xsd:import namespace="83822f4d-e4c0-48bf-b768-841e5f404804"/>
    <xsd:import namespace="a2aa19ac-7254-4672-b5f3-36bb7be1ae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822f4d-e4c0-48bf-b768-841e5f404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aa19ac-7254-4672-b5f3-36bb7be1aecc"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a2aa19ac-7254-4672-b5f3-36bb7be1aecc">W5QWCE3MWNWV-1111276950-126</_dlc_DocId>
    <_dlc_DocIdUrl xmlns="a2aa19ac-7254-4672-b5f3-36bb7be1aecc">
      <Url>https://rbaau.sharepoint.com/sites/py-rrpr/_layouts/15/DocIdRedir.aspx?ID=W5QWCE3MWNWV-1111276950-126</Url>
      <Description>W5QWCE3MWNWV-1111276950-126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7D1729F-4282-4686-8311-5CE0AFEBD805}">
  <ds:schemaRefs>
    <ds:schemaRef ds:uri="http://schemas.openxmlformats.org/officeDocument/2006/bibliography"/>
  </ds:schemaRefs>
</ds:datastoreItem>
</file>

<file path=customXml/itemProps2.xml><?xml version="1.0" encoding="utf-8"?>
<ds:datastoreItem xmlns:ds="http://schemas.openxmlformats.org/officeDocument/2006/customXml" ds:itemID="{52504596-B7F3-4412-9E2D-2DE5AC142D18}"/>
</file>

<file path=customXml/itemProps3.xml><?xml version="1.0" encoding="utf-8"?>
<ds:datastoreItem xmlns:ds="http://schemas.openxmlformats.org/officeDocument/2006/customXml" ds:itemID="{987DEE78-F16E-4E36-8DDE-F7AB2AEB348A}">
  <ds:schemaRefs>
    <ds:schemaRef ds:uri="http://schemas.microsoft.com/office/2006/metadata/properties"/>
    <ds:schemaRef ds:uri="http://schemas.microsoft.com/office/infopath/2007/PartnerControls"/>
    <ds:schemaRef ds:uri="fcd98042-c1b5-4b08-b262-a489caacada5"/>
    <ds:schemaRef ds:uri="48e4870a-9658-47fb-be21-48b0e5c8d2c7"/>
  </ds:schemaRefs>
</ds:datastoreItem>
</file>

<file path=customXml/itemProps4.xml><?xml version="1.0" encoding="utf-8"?>
<ds:datastoreItem xmlns:ds="http://schemas.openxmlformats.org/officeDocument/2006/customXml" ds:itemID="{75B21800-EFA6-426E-B999-47332269CB23}">
  <ds:schemaRefs>
    <ds:schemaRef ds:uri="http://schemas.microsoft.com/sharepoint/v3/contenttype/forms"/>
  </ds:schemaRefs>
</ds:datastoreItem>
</file>

<file path=customXml/itemProps5.xml><?xml version="1.0" encoding="utf-8"?>
<ds:datastoreItem xmlns:ds="http://schemas.openxmlformats.org/officeDocument/2006/customXml" ds:itemID="{7374B51D-4796-4242-B329-CD0C5FD816FB}"/>
</file>

<file path=docProps/app.xml><?xml version="1.0" encoding="utf-8"?>
<Properties xmlns="http://schemas.openxmlformats.org/officeDocument/2006/extended-properties" xmlns:vt="http://schemas.openxmlformats.org/officeDocument/2006/docPropsVTypes">
  <Template>BC_NonConfidential_WordTemplate_26Mar</Template>
  <TotalTime>19</TotalTime>
  <Pages>7</Pages>
  <Words>2513</Words>
  <Characters>16692</Characters>
  <Application>Microsoft Office Word</Application>
  <DocSecurity>0</DocSecurity>
  <Lines>287</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19101</CharactersWithSpaces>
  <SharedDoc>false</SharedDoc>
  <HLinks>
    <vt:vector size="18" baseType="variant">
      <vt:variant>
        <vt:i4>2031678</vt:i4>
      </vt:variant>
      <vt:variant>
        <vt:i4>14</vt:i4>
      </vt:variant>
      <vt:variant>
        <vt:i4>0</vt:i4>
      </vt:variant>
      <vt:variant>
        <vt:i4>5</vt:i4>
      </vt:variant>
      <vt:variant>
        <vt:lpwstr/>
      </vt:variant>
      <vt:variant>
        <vt:lpwstr>_Toc216687284</vt:lpwstr>
      </vt:variant>
      <vt:variant>
        <vt:i4>2031678</vt:i4>
      </vt:variant>
      <vt:variant>
        <vt:i4>8</vt:i4>
      </vt:variant>
      <vt:variant>
        <vt:i4>0</vt:i4>
      </vt:variant>
      <vt:variant>
        <vt:i4>5</vt:i4>
      </vt:variant>
      <vt:variant>
        <vt:lpwstr/>
      </vt:variant>
      <vt:variant>
        <vt:lpwstr>_Toc216687283</vt:lpwstr>
      </vt:variant>
      <vt:variant>
        <vt:i4>2031678</vt:i4>
      </vt:variant>
      <vt:variant>
        <vt:i4>2</vt:i4>
      </vt:variant>
      <vt:variant>
        <vt:i4>0</vt:i4>
      </vt:variant>
      <vt:variant>
        <vt:i4>5</vt:i4>
      </vt:variant>
      <vt:variant>
        <vt:lpwstr/>
      </vt:variant>
      <vt:variant>
        <vt:lpwstr>_Toc216687282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O'Neill</dc:creator>
  <cp:keywords/>
  <dc:description/>
  <cp:lastModifiedBy>John O'Neill</cp:lastModifiedBy>
  <cp:revision>3</cp:revision>
  <dcterms:created xsi:type="dcterms:W3CDTF">2026-08-05T02:50:00Z</dcterms:created>
  <dcterms:modified xsi:type="dcterms:W3CDTF">2026-08-05T03:07:00Z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f6abc357-35b9-48f6-9f74-6a5358582ec7</vt:lpwstr>
  </property>
  <property fmtid="{D5CDD505-2E9C-101B-9397-08002B2CF9AE}" pid="3" name="ContentTypeId">
    <vt:lpwstr>0x010100C6474D5961133C4EAB4E06A228DFEE58</vt:lpwstr>
  </property>
  <property fmtid="{D5CDD505-2E9C-101B-9397-08002B2CF9AE}" pid="4" name="Document ID Value">
    <vt:lpwstr>SRFEJQJFJZR5-1028582682-536969</vt:lpwstr>
  </property>
  <property fmtid="{D5CDD505-2E9C-101B-9397-08002B2CF9AE}" pid="5" name="Order">
    <vt:r8>53696900</vt:r8>
  </property>
  <property fmtid="{D5CDD505-2E9C-101B-9397-08002B2CF9AE}" pid="6" name="MediaServiceImageTags">
    <vt:lpwstr/>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docLang">
    <vt:lpwstr>en</vt:lpwstr>
  </property>
  <property fmtid="{D5CDD505-2E9C-101B-9397-08002B2CF9AE}" pid="14" name="MSIP_Label_0f5f304a-f25f-4f6e-a5ee-e9e489bd1788_Enabled">
    <vt:lpwstr>true</vt:lpwstr>
  </property>
  <property fmtid="{D5CDD505-2E9C-101B-9397-08002B2CF9AE}" pid="15" name="MSIP_Label_0f5f304a-f25f-4f6e-a5ee-e9e489bd1788_SetDate">
    <vt:lpwstr>2026-07-20T23:41:07Z</vt:lpwstr>
  </property>
  <property fmtid="{D5CDD505-2E9C-101B-9397-08002B2CF9AE}" pid="16" name="MSIP_Label_0f5f304a-f25f-4f6e-a5ee-e9e489bd1788_Method">
    <vt:lpwstr>Standard</vt:lpwstr>
  </property>
  <property fmtid="{D5CDD505-2E9C-101B-9397-08002B2CF9AE}" pid="17" name="MSIP_Label_0f5f304a-f25f-4f6e-a5ee-e9e489bd1788_Name">
    <vt:lpwstr>Confidential</vt:lpwstr>
  </property>
  <property fmtid="{D5CDD505-2E9C-101B-9397-08002B2CF9AE}" pid="18" name="MSIP_Label_0f5f304a-f25f-4f6e-a5ee-e9e489bd1788_SiteId">
    <vt:lpwstr>1eef4a4d-f7cc-4e1e-9345-5db4051d2bc1</vt:lpwstr>
  </property>
  <property fmtid="{D5CDD505-2E9C-101B-9397-08002B2CF9AE}" pid="19" name="MSIP_Label_0f5f304a-f25f-4f6e-a5ee-e9e489bd1788_ActionId">
    <vt:lpwstr>476743fc-18ed-4c1c-9844-bdf1c5743e75</vt:lpwstr>
  </property>
  <property fmtid="{D5CDD505-2E9C-101B-9397-08002B2CF9AE}" pid="20" name="MSIP_Label_0f5f304a-f25f-4f6e-a5ee-e9e489bd1788_ContentBits">
    <vt:lpwstr>0</vt:lpwstr>
  </property>
  <property fmtid="{D5CDD505-2E9C-101B-9397-08002B2CF9AE}" pid="21" name="MSIP_Label_0f5f304a-f25f-4f6e-a5ee-e9e489bd1788_Tag">
    <vt:lpwstr>10, 1, 2, 1</vt:lpwstr>
  </property>
</Properties>
</file>