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1"/>
          <w:szCs w:val="21"/>
        </w:rPr>
      </w:pPr>
      <w:r w:rsidDel="00000000" w:rsidR="00000000" w:rsidRPr="00000000">
        <w:rPr>
          <w:sz w:val="21"/>
          <w:szCs w:val="21"/>
          <w:rtl w:val="0"/>
        </w:rPr>
        <w:t xml:space="preserve">7 August 2026 </w:t>
      </w:r>
    </w:p>
    <w:p w:rsidR="00000000" w:rsidDel="00000000" w:rsidP="00000000" w:rsidRDefault="00000000" w:rsidRPr="00000000" w14:paraId="00000002">
      <w:pPr>
        <w:rPr>
          <w:sz w:val="21"/>
          <w:szCs w:val="21"/>
        </w:rPr>
      </w:pPr>
      <w:r w:rsidDel="00000000" w:rsidR="00000000" w:rsidRPr="00000000">
        <w:rPr>
          <w:rtl w:val="0"/>
        </w:rPr>
      </w:r>
    </w:p>
    <w:p w:rsidR="00000000" w:rsidDel="00000000" w:rsidP="00000000" w:rsidRDefault="00000000" w:rsidRPr="00000000" w14:paraId="00000003">
      <w:pPr>
        <w:rPr>
          <w:sz w:val="21"/>
          <w:szCs w:val="21"/>
        </w:rPr>
      </w:pPr>
      <w:r w:rsidDel="00000000" w:rsidR="00000000" w:rsidRPr="00000000">
        <w:rPr>
          <w:sz w:val="21"/>
          <w:szCs w:val="21"/>
          <w:rtl w:val="0"/>
        </w:rPr>
        <w:t xml:space="preserve">Head of Payments Policy Department</w:t>
      </w:r>
      <w:r w:rsidDel="00000000" w:rsidR="00000000" w:rsidRPr="00000000">
        <w:rPr>
          <w:rtl w:val="0"/>
        </w:rPr>
      </w:r>
    </w:p>
    <w:p w:rsidR="00000000" w:rsidDel="00000000" w:rsidP="00000000" w:rsidRDefault="00000000" w:rsidRPr="00000000" w14:paraId="00000004">
      <w:pPr>
        <w:rPr>
          <w:sz w:val="21"/>
          <w:szCs w:val="21"/>
        </w:rPr>
      </w:pPr>
      <w:r w:rsidDel="00000000" w:rsidR="00000000" w:rsidRPr="00000000">
        <w:rPr>
          <w:sz w:val="21"/>
          <w:szCs w:val="21"/>
          <w:rtl w:val="0"/>
        </w:rPr>
        <w:t xml:space="preserve">Reserve Bank of Australia </w:t>
      </w:r>
      <w:r w:rsidDel="00000000" w:rsidR="00000000" w:rsidRPr="00000000">
        <w:rPr>
          <w:rtl w:val="0"/>
        </w:rPr>
      </w:r>
    </w:p>
    <w:p w:rsidR="00000000" w:rsidDel="00000000" w:rsidP="00000000" w:rsidRDefault="00000000" w:rsidRPr="00000000" w14:paraId="00000005">
      <w:pPr>
        <w:rPr>
          <w:sz w:val="21"/>
          <w:szCs w:val="21"/>
        </w:rPr>
      </w:pPr>
      <w:r w:rsidDel="00000000" w:rsidR="00000000" w:rsidRPr="00000000">
        <w:rPr>
          <w:sz w:val="21"/>
          <w:szCs w:val="21"/>
          <w:rtl w:val="0"/>
        </w:rPr>
        <w:t xml:space="preserve">Submitted via email: </w:t>
      </w:r>
      <w:r w:rsidDel="00000000" w:rsidR="00000000" w:rsidRPr="00000000">
        <w:rPr>
          <w:color w:val="0b57d0"/>
          <w:sz w:val="21"/>
          <w:szCs w:val="21"/>
          <w:rtl w:val="0"/>
        </w:rPr>
        <w:t xml:space="preserve">pysubmissions@rba.gov.au</w:t>
      </w:r>
      <w:r w:rsidDel="00000000" w:rsidR="00000000" w:rsidRPr="00000000">
        <w:rPr>
          <w:rtl w:val="0"/>
        </w:rPr>
      </w:r>
    </w:p>
    <w:p w:rsidR="00000000" w:rsidDel="00000000" w:rsidP="00000000" w:rsidRDefault="00000000" w:rsidRPr="00000000" w14:paraId="00000006">
      <w:pPr>
        <w:rPr>
          <w:sz w:val="21"/>
          <w:szCs w:val="21"/>
        </w:rPr>
      </w:pPr>
      <w:r w:rsidDel="00000000" w:rsidR="00000000" w:rsidRPr="00000000">
        <w:rPr>
          <w:rtl w:val="0"/>
        </w:rPr>
      </w:r>
    </w:p>
    <w:p w:rsidR="00000000" w:rsidDel="00000000" w:rsidP="00000000" w:rsidRDefault="00000000" w:rsidRPr="00000000" w14:paraId="00000007">
      <w:pPr>
        <w:spacing w:line="240" w:lineRule="auto"/>
        <w:rPr>
          <w:sz w:val="21"/>
          <w:szCs w:val="21"/>
        </w:rPr>
      </w:pPr>
      <w:r w:rsidDel="00000000" w:rsidR="00000000" w:rsidRPr="00000000">
        <w:rPr>
          <w:sz w:val="21"/>
          <w:szCs w:val="21"/>
          <w:rtl w:val="0"/>
        </w:rPr>
        <w:t xml:space="preserve">From: Affirm, Inc</w:t>
      </w:r>
    </w:p>
    <w:p w:rsidR="00000000" w:rsidDel="00000000" w:rsidP="00000000" w:rsidRDefault="00000000" w:rsidRPr="00000000" w14:paraId="00000008">
      <w:pPr>
        <w:spacing w:line="240" w:lineRule="auto"/>
        <w:rPr>
          <w:sz w:val="21"/>
          <w:szCs w:val="21"/>
          <w:u w:val="single"/>
        </w:rPr>
      </w:pPr>
      <w:r w:rsidDel="00000000" w:rsidR="00000000" w:rsidRPr="00000000">
        <w:rPr>
          <w:sz w:val="21"/>
          <w:szCs w:val="21"/>
          <w:u w:val="single"/>
          <w:rtl w:val="0"/>
        </w:rPr>
        <w:t xml:space="preserve">Re: Review of Payment System Regulation</w:t>
      </w:r>
      <w:r w:rsidDel="00000000" w:rsidR="00000000" w:rsidRPr="00000000">
        <w:rPr>
          <w:sz w:val="21"/>
          <w:szCs w:val="21"/>
          <w:u w:val="single"/>
          <w:rtl w:val="0"/>
        </w:rPr>
        <w:t xml:space="preserve"> - Issues Paper</w:t>
      </w:r>
      <w:r w:rsidDel="00000000" w:rsidR="00000000" w:rsidRPr="00000000">
        <w:rPr>
          <w:rtl w:val="0"/>
        </w:rPr>
      </w:r>
    </w:p>
    <w:p w:rsidR="00000000" w:rsidDel="00000000" w:rsidP="00000000" w:rsidRDefault="00000000" w:rsidRPr="00000000" w14:paraId="00000009">
      <w:pPr>
        <w:spacing w:after="240" w:before="240" w:line="240" w:lineRule="auto"/>
        <w:rPr>
          <w:sz w:val="21"/>
          <w:szCs w:val="21"/>
        </w:rPr>
      </w:pPr>
      <w:r w:rsidDel="00000000" w:rsidR="00000000" w:rsidRPr="00000000">
        <w:rPr>
          <w:b w:val="1"/>
          <w:bCs w:val="1"/>
          <w:sz w:val="21"/>
          <w:szCs w:val="21"/>
          <w:rtl w:val="0"/>
        </w:rPr>
        <w:t xml:space="preserve">Who is Affirm?</w:t>
        <w:br w:type="textWrapping"/>
      </w:r>
      <w:r w:rsidDel="00000000" w:rsidR="00000000" w:rsidRPr="00000000">
        <w:rPr>
          <w:sz w:val="21"/>
          <w:szCs w:val="21"/>
          <w:rtl w:val="0"/>
        </w:rPr>
        <w:t xml:space="preserve">Affirm Australia Pty Ltd is a consumer credit provider licensed by the Australian Securities and Investments Commission (ASIC) under Australian Credit Licence (ACL) number 569362 (“Affirm Australia”). Affirm Australia is a subsidiary of Affirm, Inc., a wholly owned subsidiary of Affirm Holdings, Inc., a publicly traded financial technology company headquartered in San Francisco, California. Founded in 2012, Affirm’s mission is to deliver transparent and responsible financial products that improve consumers’ financial </w:t>
      </w:r>
      <w:r w:rsidDel="00000000" w:rsidR="00000000" w:rsidRPr="00000000">
        <w:rPr>
          <w:sz w:val="21"/>
          <w:szCs w:val="21"/>
          <w:rtl w:val="0"/>
        </w:rPr>
        <w:t xml:space="preserve">outcomes</w:t>
      </w:r>
      <w:r w:rsidDel="00000000" w:rsidR="00000000" w:rsidRPr="00000000">
        <w:rPr>
          <w:sz w:val="21"/>
          <w:szCs w:val="21"/>
          <w:rtl w:val="0"/>
        </w:rPr>
        <w:t xml:space="preserve">.</w:t>
      </w:r>
    </w:p>
    <w:p w:rsidR="00000000" w:rsidDel="00000000" w:rsidP="00000000" w:rsidRDefault="00000000" w:rsidRPr="00000000" w14:paraId="0000000A">
      <w:pPr>
        <w:spacing w:after="240" w:before="240" w:line="240" w:lineRule="auto"/>
        <w:rPr>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Affirm, Inc maintains regulated consumer credit licenses across the United States, Canada, the United Kingdom, and Australia, providing the company with extensive expertise across diverse and mature regulatory frameworks for payments and credit.</w:t>
      </w:r>
      <w:r w:rsidDel="00000000" w:rsidR="00000000" w:rsidRPr="00000000">
        <w:rPr>
          <w:rtl w:val="0"/>
        </w:rPr>
      </w:r>
    </w:p>
    <w:p w:rsidR="00000000" w:rsidDel="00000000" w:rsidP="00000000" w:rsidRDefault="00000000" w:rsidRPr="00000000" w14:paraId="0000000B">
      <w:pPr>
        <w:spacing w:after="240" w:before="240" w:line="240" w:lineRule="auto"/>
        <w:rPr>
          <w:sz w:val="21"/>
          <w:szCs w:val="21"/>
        </w:rPr>
      </w:pPr>
      <w:r w:rsidDel="00000000" w:rsidR="00000000" w:rsidRPr="00000000">
        <w:rPr>
          <w:sz w:val="21"/>
          <w:szCs w:val="21"/>
          <w:rtl w:val="0"/>
        </w:rPr>
        <w:t xml:space="preserve">Affirm Australia (Affirm) is entering the Australian market in 2026 with two regulated consumer credit products. Initially, Affirm will launch its Pay in 4 product, enabling consumers to split eligible purchases into four equal payments at 0% APR. Affirm product offering will expand to introduce </w:t>
      </w:r>
      <w:r w:rsidDel="00000000" w:rsidR="00000000" w:rsidRPr="00000000">
        <w:rPr>
          <w:sz w:val="21"/>
          <w:szCs w:val="21"/>
          <w:rtl w:val="0"/>
        </w:rPr>
        <w:t xml:space="preserve">instalment</w:t>
      </w:r>
      <w:r w:rsidDel="00000000" w:rsidR="00000000" w:rsidRPr="00000000">
        <w:rPr>
          <w:sz w:val="21"/>
          <w:szCs w:val="21"/>
          <w:rtl w:val="0"/>
        </w:rPr>
        <w:t xml:space="preserve"> plans that will provide eligible consumers with longer-term, simple interest-bearing credit structured as fixed monthly payments. Together, these products expand consumer choice by offering repayment options that align with different purchasing needs and financial circumstances.</w:t>
      </w:r>
      <w:r w:rsidDel="00000000" w:rsidR="00000000" w:rsidRPr="00000000">
        <w:rPr>
          <w:rtl w:val="0"/>
        </w:rPr>
      </w:r>
    </w:p>
    <w:p w:rsidR="00000000" w:rsidDel="00000000" w:rsidP="00000000" w:rsidRDefault="00000000" w:rsidRPr="00000000" w14:paraId="0000000C">
      <w:pPr>
        <w:spacing w:after="240" w:before="240" w:line="240" w:lineRule="auto"/>
        <w:rPr>
          <w:sz w:val="21"/>
          <w:szCs w:val="21"/>
        </w:rPr>
      </w:pPr>
      <w:r w:rsidDel="00000000" w:rsidR="00000000" w:rsidRPr="00000000">
        <w:rPr>
          <w:sz w:val="21"/>
          <w:szCs w:val="21"/>
          <w:rtl w:val="0"/>
        </w:rPr>
        <w:t xml:space="preserve">Affirm underwrites every transaction in real time using proprietary risk models to assess a consumer’s ability to repay before extending credit. Unlike many consumer credit products, Affirm never charges late fees or hidden fees. This means Affirm succeeds only when consumers successfully repay their loans, aligning the company’s commercial incentives with positive consumer outcomes.</w:t>
      </w:r>
    </w:p>
    <w:p w:rsidR="00000000" w:rsidDel="00000000" w:rsidP="00000000" w:rsidRDefault="00000000" w:rsidRPr="00000000" w14:paraId="0000000D">
      <w:pPr>
        <w:spacing w:after="240" w:before="240" w:line="240" w:lineRule="auto"/>
        <w:rPr>
          <w:b w:val="1"/>
          <w:bCs w:val="1"/>
          <w:sz w:val="21"/>
          <w:szCs w:val="21"/>
        </w:rPr>
      </w:pPr>
      <w:r w:rsidDel="00000000" w:rsidR="00000000" w:rsidRPr="00000000">
        <w:rPr>
          <w:sz w:val="21"/>
          <w:szCs w:val="21"/>
          <w:rtl w:val="0"/>
        </w:rPr>
        <w:t xml:space="preserve">Affirm is committed to being an active participant in Australia's financial services and payments ecosystem. We are members of the Australian Finance Industry Association (AFIA) and the Australian Retail Credit Association (ARCA), and intend to contribute constructively to their policy and consultation responses where appropriate.</w:t>
      </w:r>
      <w:r w:rsidDel="00000000" w:rsidR="00000000" w:rsidRPr="00000000">
        <w:rPr>
          <w:rtl w:val="0"/>
        </w:rPr>
      </w:r>
    </w:p>
    <w:p w:rsidR="00000000" w:rsidDel="00000000" w:rsidP="00000000" w:rsidRDefault="00000000" w:rsidRPr="00000000" w14:paraId="0000000E">
      <w:pPr>
        <w:keepNext w:val="1"/>
        <w:keepLines w:val="0"/>
        <w:spacing w:after="0" w:line="240" w:lineRule="auto"/>
        <w:rPr>
          <w:b w:val="1"/>
          <w:bCs w:val="1"/>
          <w:sz w:val="21"/>
          <w:szCs w:val="21"/>
        </w:rPr>
      </w:pPr>
      <w:r w:rsidDel="00000000" w:rsidR="00000000" w:rsidRPr="00000000">
        <w:rPr>
          <w:b w:val="1"/>
          <w:bCs w:val="1"/>
          <w:sz w:val="21"/>
          <w:szCs w:val="21"/>
          <w:rtl w:val="0"/>
        </w:rPr>
        <w:t xml:space="preserve">Executive Summary</w:t>
      </w:r>
      <w:r w:rsidDel="00000000" w:rsidR="00000000" w:rsidRPr="00000000">
        <w:rPr>
          <w:rtl w:val="0"/>
        </w:rPr>
      </w:r>
    </w:p>
    <w:p w:rsidR="00000000" w:rsidDel="00000000" w:rsidP="00000000" w:rsidRDefault="00000000" w:rsidRPr="00000000" w14:paraId="0000000F">
      <w:pPr>
        <w:keepNext w:val="1"/>
        <w:spacing w:after="240" w:before="0" w:line="240" w:lineRule="auto"/>
        <w:rPr>
          <w:sz w:val="21"/>
          <w:szCs w:val="21"/>
        </w:rPr>
      </w:pPr>
      <w:r w:rsidDel="00000000" w:rsidR="00000000" w:rsidRPr="00000000">
        <w:rPr>
          <w:sz w:val="21"/>
          <w:szCs w:val="21"/>
          <w:rtl w:val="0"/>
        </w:rPr>
        <w:t xml:space="preserve">Affirm welcomes the Reserve Bank of Australia's (RBA) Review of Payments System Regulation and supports the RBA's objective of promoting competition, efficiency and innovation across Australia's payments ecosystem.</w:t>
      </w:r>
    </w:p>
    <w:p w:rsidR="00000000" w:rsidDel="00000000" w:rsidP="00000000" w:rsidRDefault="00000000" w:rsidRPr="00000000" w14:paraId="00000010">
      <w:pPr>
        <w:spacing w:after="240" w:before="240" w:line="240" w:lineRule="auto"/>
        <w:rPr>
          <w:sz w:val="21"/>
          <w:szCs w:val="21"/>
        </w:rPr>
      </w:pPr>
      <w:r w:rsidDel="00000000" w:rsidR="00000000" w:rsidRPr="00000000">
        <w:rPr>
          <w:sz w:val="21"/>
          <w:szCs w:val="21"/>
          <w:rtl w:val="0"/>
        </w:rPr>
        <w:t xml:space="preserve">Australia's payments market is dynamic and competitive. Continued innovation, evolving consumer preferences and the entry of new participants have expanded merchant and consumer choice while strengthening competition across payment methods.</w:t>
      </w:r>
    </w:p>
    <w:p w:rsidR="00000000" w:rsidDel="00000000" w:rsidP="00000000" w:rsidRDefault="00000000" w:rsidRPr="00000000" w14:paraId="00000011">
      <w:pPr>
        <w:spacing w:after="240" w:before="240" w:line="240" w:lineRule="auto"/>
        <w:rPr>
          <w:sz w:val="21"/>
          <w:szCs w:val="21"/>
        </w:rPr>
      </w:pPr>
      <w:r w:rsidDel="00000000" w:rsidR="00000000" w:rsidRPr="00000000">
        <w:rPr>
          <w:sz w:val="21"/>
          <w:szCs w:val="21"/>
          <w:rtl w:val="0"/>
        </w:rPr>
        <w:t xml:space="preserve">Since the RBA last considered buy-now, pay-later (BNPL) in 2021, the regulatory and competitive landscape has evolved significantly. BNPL is now subject to a comprehensive consumer credit framework, new providers continue to enter the market, and as noted in the Issues Paper, merchant fees have continued to decline. Together, these developments demonstrate a market that continues to evolve under a strengthened regulatory framework. Providing time for this framework to operate will enable policymakers to assess its effectiveness before considering further intervention. </w:t>
      </w:r>
    </w:p>
    <w:p w:rsidR="00000000" w:rsidDel="00000000" w:rsidP="00000000" w:rsidRDefault="00000000" w:rsidRPr="00000000" w14:paraId="00000012">
      <w:pPr>
        <w:spacing w:after="240" w:before="240" w:line="240" w:lineRule="auto"/>
        <w:rPr>
          <w:sz w:val="21"/>
          <w:szCs w:val="21"/>
        </w:rPr>
      </w:pPr>
      <w:r w:rsidDel="00000000" w:rsidR="00000000" w:rsidRPr="00000000">
        <w:rPr>
          <w:sz w:val="21"/>
          <w:szCs w:val="21"/>
          <w:rtl w:val="0"/>
        </w:rPr>
        <w:t xml:space="preserve">In Affirm's view, the evidence presented in this Review does not demonstrate that competition in the BNPL market is not functioning effectively or that additional intervention in commercially negotiated merchant discount rates is warranted. Before considering further payments-specific regulation, the RBA should allow the recently implemented consumer credit framework time to operate and assess its effectiveness before concluding that additional intervention is necessary.</w:t>
      </w:r>
    </w:p>
    <w:p w:rsidR="00000000" w:rsidDel="00000000" w:rsidP="00000000" w:rsidRDefault="00000000" w:rsidRPr="00000000" w14:paraId="00000013">
      <w:pPr>
        <w:spacing w:line="240" w:lineRule="auto"/>
        <w:rPr>
          <w:sz w:val="21"/>
          <w:szCs w:val="21"/>
        </w:rPr>
      </w:pPr>
      <w:r w:rsidDel="00000000" w:rsidR="00000000" w:rsidRPr="00000000">
        <w:rPr>
          <w:b w:val="1"/>
          <w:bCs w:val="1"/>
          <w:sz w:val="21"/>
          <w:szCs w:val="21"/>
          <w:rtl w:val="0"/>
        </w:rPr>
        <w:t xml:space="preserve">Recommendations</w:t>
      </w:r>
      <w:r w:rsidDel="00000000" w:rsidR="00000000" w:rsidRPr="00000000">
        <w:rPr>
          <w:rtl w:val="0"/>
        </w:rPr>
      </w:r>
    </w:p>
    <w:p w:rsidR="00000000" w:rsidDel="00000000" w:rsidP="00000000" w:rsidRDefault="00000000" w:rsidRPr="00000000" w14:paraId="00000014">
      <w:pPr>
        <w:numPr>
          <w:ilvl w:val="0"/>
          <w:numId w:val="2"/>
        </w:numPr>
        <w:spacing w:after="0" w:afterAutospacing="0" w:before="0" w:line="240" w:lineRule="auto"/>
        <w:ind w:left="720" w:hanging="360"/>
        <w:rPr>
          <w:sz w:val="21"/>
          <w:szCs w:val="21"/>
        </w:rPr>
      </w:pPr>
      <w:r w:rsidDel="00000000" w:rsidR="00000000" w:rsidRPr="00000000">
        <w:rPr>
          <w:sz w:val="21"/>
          <w:szCs w:val="21"/>
          <w:rtl w:val="0"/>
        </w:rPr>
        <w:t xml:space="preserve">Continue assessing competition across the broader payments ecosystem rather than within individual payment methods.</w:t>
      </w:r>
    </w:p>
    <w:p w:rsidR="00000000" w:rsidDel="00000000" w:rsidP="00000000" w:rsidRDefault="00000000" w:rsidRPr="00000000" w14:paraId="00000015">
      <w:pPr>
        <w:numPr>
          <w:ilvl w:val="0"/>
          <w:numId w:val="2"/>
        </w:numPr>
        <w:spacing w:after="0" w:afterAutospacing="0" w:before="0" w:beforeAutospacing="0" w:line="240" w:lineRule="auto"/>
        <w:ind w:left="720" w:hanging="360"/>
        <w:rPr>
          <w:sz w:val="21"/>
          <w:szCs w:val="21"/>
        </w:rPr>
      </w:pPr>
      <w:r w:rsidDel="00000000" w:rsidR="00000000" w:rsidRPr="00000000">
        <w:rPr>
          <w:sz w:val="21"/>
          <w:szCs w:val="21"/>
          <w:rtl w:val="0"/>
        </w:rPr>
        <w:t xml:space="preserve">Consider the impact of the recently implemented consumer credit framework before determining whether additional payments-specific regulation is warranted.</w:t>
      </w:r>
    </w:p>
    <w:p w:rsidR="00000000" w:rsidDel="00000000" w:rsidP="00000000" w:rsidRDefault="00000000" w:rsidRPr="00000000" w14:paraId="00000016">
      <w:pPr>
        <w:numPr>
          <w:ilvl w:val="0"/>
          <w:numId w:val="2"/>
        </w:numPr>
        <w:spacing w:after="0" w:afterAutospacing="0" w:before="0" w:beforeAutospacing="0" w:line="240" w:lineRule="auto"/>
        <w:ind w:left="720" w:hanging="360"/>
        <w:rPr>
          <w:sz w:val="21"/>
          <w:szCs w:val="21"/>
        </w:rPr>
      </w:pPr>
      <w:r w:rsidDel="00000000" w:rsidR="00000000" w:rsidRPr="00000000">
        <w:rPr>
          <w:sz w:val="21"/>
          <w:szCs w:val="21"/>
          <w:rtl w:val="0"/>
        </w:rPr>
        <w:t xml:space="preserve">Recognise merchant choice, commercially negotiated pricing and continued market entry as indicators of a competitive and contestable payments market.</w:t>
      </w:r>
    </w:p>
    <w:p w:rsidR="00000000" w:rsidDel="00000000" w:rsidP="00000000" w:rsidRDefault="00000000" w:rsidRPr="00000000" w14:paraId="00000017">
      <w:pPr>
        <w:numPr>
          <w:ilvl w:val="0"/>
          <w:numId w:val="2"/>
        </w:numPr>
        <w:spacing w:after="240" w:before="0" w:beforeAutospacing="0" w:line="240" w:lineRule="auto"/>
        <w:ind w:left="720" w:hanging="360"/>
        <w:rPr>
          <w:sz w:val="21"/>
          <w:szCs w:val="21"/>
        </w:rPr>
      </w:pPr>
      <w:r w:rsidDel="00000000" w:rsidR="00000000" w:rsidRPr="00000000">
        <w:rPr>
          <w:sz w:val="21"/>
          <w:szCs w:val="21"/>
          <w:rtl w:val="0"/>
        </w:rPr>
        <w:t xml:space="preserve">Not pursue intervention in commercially negotiated merchant discount rates or introduce BNPL-specific payment obligations unless there is clear evidence that competition is not functioning effectively and that existing regulatory frameworks are insufficient to address the identified issue.</w:t>
      </w:r>
    </w:p>
    <w:p w:rsidR="00000000" w:rsidDel="00000000" w:rsidP="00000000" w:rsidRDefault="00000000" w:rsidRPr="00000000" w14:paraId="00000018">
      <w:pPr>
        <w:spacing w:after="240" w:before="240" w:line="240" w:lineRule="auto"/>
        <w:rP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numPr>
          <w:ilvl w:val="0"/>
          <w:numId w:val="1"/>
        </w:numPr>
        <w:spacing w:after="0" w:before="0" w:line="240" w:lineRule="auto"/>
        <w:ind w:left="720" w:hanging="360"/>
        <w:rPr>
          <w:b w:val="1"/>
          <w:bCs w:val="1"/>
          <w:sz w:val="21"/>
          <w:szCs w:val="21"/>
        </w:rPr>
      </w:pPr>
      <w:r w:rsidDel="00000000" w:rsidR="00000000" w:rsidRPr="00000000">
        <w:rPr>
          <w:b w:val="1"/>
          <w:bCs w:val="1"/>
          <w:sz w:val="21"/>
          <w:szCs w:val="21"/>
          <w:rtl w:val="0"/>
        </w:rPr>
        <w:t xml:space="preserve">Competition Should Be Assessed Across the Broader Payments Ecosystem</w:t>
      </w:r>
    </w:p>
    <w:p w:rsidR="00000000" w:rsidDel="00000000" w:rsidP="00000000" w:rsidRDefault="00000000" w:rsidRPr="00000000" w14:paraId="0000001A">
      <w:pPr>
        <w:spacing w:after="0" w:before="0" w:line="240" w:lineRule="auto"/>
        <w:rPr>
          <w:sz w:val="21"/>
          <w:szCs w:val="21"/>
        </w:rPr>
      </w:pPr>
      <w:r w:rsidDel="00000000" w:rsidR="00000000" w:rsidRPr="00000000">
        <w:rPr>
          <w:sz w:val="21"/>
          <w:szCs w:val="21"/>
          <w:rtl w:val="0"/>
        </w:rPr>
        <w:t xml:space="preserve">Competition in payments extends well beyond the BNPL sector. Merchants choose between a broad range of payment solutions, including debit cards, credit cards, BNPL products and other forms of consumer credit. These payment methods compete to deliver value through customer acquisition, sales conversion, average order value, consumer experience and overall commercial outcomes. BNPL also represents a relatively small share of the broader payments ecosystem, accounting for around 2 per cent of retail payments in 2025 as referenced in graph 1. Its role in the payments system should therefore be understood in the context of the broader range of payment methods available to merchants and consumers, rather than as a standalone market. </w:t>
      </w:r>
    </w:p>
    <w:p w:rsidR="00000000" w:rsidDel="00000000" w:rsidP="00000000" w:rsidRDefault="00000000" w:rsidRPr="00000000" w14:paraId="0000001B">
      <w:pPr>
        <w:spacing w:after="240" w:before="240" w:line="240" w:lineRule="auto"/>
        <w:rPr>
          <w:sz w:val="21"/>
          <w:szCs w:val="21"/>
        </w:rPr>
      </w:pPr>
      <w:r w:rsidDel="00000000" w:rsidR="00000000" w:rsidRPr="00000000">
        <w:rPr>
          <w:sz w:val="21"/>
          <w:szCs w:val="21"/>
          <w:rtl w:val="0"/>
        </w:rPr>
        <w:t xml:space="preserve">Competition should therefore be evaluated across the broader payments ecosystem rather than within individual payment categories. </w:t>
      </w:r>
      <w:r w:rsidDel="00000000" w:rsidR="00000000" w:rsidRPr="00000000">
        <w:rPr>
          <w:sz w:val="21"/>
          <w:szCs w:val="21"/>
          <w:rtl w:val="0"/>
        </w:rPr>
        <w:t xml:space="preserve">Looking at BNPL in isolation understates the competitive pressures providers face from alternative payment methods and does not fully reflect the choices available to merchants.</w:t>
      </w:r>
      <w:r w:rsidDel="00000000" w:rsidR="00000000" w:rsidRPr="00000000">
        <w:rPr>
          <w:rtl w:val="0"/>
        </w:rPr>
      </w:r>
    </w:p>
    <w:p w:rsidR="00000000" w:rsidDel="00000000" w:rsidP="00000000" w:rsidRDefault="00000000" w:rsidRPr="00000000" w14:paraId="0000001C">
      <w:pPr>
        <w:spacing w:after="240" w:before="240" w:line="240" w:lineRule="auto"/>
        <w:rPr>
          <w:sz w:val="21"/>
          <w:szCs w:val="21"/>
        </w:rPr>
      </w:pPr>
      <w:r w:rsidDel="00000000" w:rsidR="00000000" w:rsidRPr="00000000">
        <w:rPr>
          <w:sz w:val="21"/>
          <w:szCs w:val="21"/>
          <w:rtl w:val="0"/>
        </w:rPr>
        <w:t xml:space="preserve">A competitive payments ecosystem is one in which providers continually compete to earn merchant acceptance and consumer preference through innovation, service quality and commercial value.</w:t>
      </w:r>
    </w:p>
    <w:p w:rsidR="00000000" w:rsidDel="00000000" w:rsidP="00000000" w:rsidRDefault="00000000" w:rsidRPr="00000000" w14:paraId="0000001D">
      <w:pPr>
        <w:keepNext w:val="0"/>
        <w:keepLines w:val="0"/>
        <w:numPr>
          <w:ilvl w:val="0"/>
          <w:numId w:val="1"/>
        </w:numPr>
        <w:spacing w:after="0" w:line="240" w:lineRule="auto"/>
        <w:ind w:left="720" w:hanging="360"/>
        <w:rPr>
          <w:b w:val="1"/>
          <w:bCs w:val="1"/>
          <w:sz w:val="21"/>
          <w:szCs w:val="21"/>
        </w:rPr>
      </w:pPr>
      <w:r w:rsidDel="00000000" w:rsidR="00000000" w:rsidRPr="00000000">
        <w:rPr>
          <w:b w:val="1"/>
          <w:bCs w:val="1"/>
          <w:sz w:val="21"/>
          <w:szCs w:val="21"/>
          <w:rtl w:val="0"/>
        </w:rPr>
        <w:t xml:space="preserve">Merchant Choice and Commercial Negotiation Drive Competition</w:t>
      </w:r>
    </w:p>
    <w:p w:rsidR="00000000" w:rsidDel="00000000" w:rsidP="00000000" w:rsidRDefault="00000000" w:rsidRPr="00000000" w14:paraId="0000001E">
      <w:pPr>
        <w:spacing w:after="0" w:before="0" w:line="240" w:lineRule="auto"/>
        <w:rPr>
          <w:sz w:val="21"/>
          <w:szCs w:val="21"/>
        </w:rPr>
      </w:pPr>
      <w:r w:rsidDel="00000000" w:rsidR="00000000" w:rsidRPr="00000000">
        <w:rPr>
          <w:sz w:val="21"/>
          <w:szCs w:val="21"/>
          <w:rtl w:val="0"/>
        </w:rPr>
        <w:t xml:space="preserve">A well-functioning payments ecosystem is characterised by meaningful merchant choice.</w:t>
      </w:r>
    </w:p>
    <w:p w:rsidR="00000000" w:rsidDel="00000000" w:rsidP="00000000" w:rsidRDefault="00000000" w:rsidRPr="00000000" w14:paraId="0000001F">
      <w:pPr>
        <w:spacing w:after="240" w:before="240" w:line="240" w:lineRule="auto"/>
        <w:rPr>
          <w:sz w:val="21"/>
          <w:szCs w:val="21"/>
        </w:rPr>
      </w:pPr>
      <w:r w:rsidDel="00000000" w:rsidR="00000000" w:rsidRPr="00000000">
        <w:rPr>
          <w:sz w:val="21"/>
          <w:szCs w:val="21"/>
          <w:rtl w:val="0"/>
        </w:rPr>
        <w:t xml:space="preserve">Merchants determine which payment methods they offer based on the needs of their business and consumers. They evaluate competing providers based on the overall value they deliver, including consumer demand, sales conversion, average order value, ease of integration, service quality and commercial terms. In practice, merchants typically offer a range of payment options at checkout, allowing different payment methods to compete directly for consumer preference.</w:t>
      </w:r>
    </w:p>
    <w:p w:rsidR="00000000" w:rsidDel="00000000" w:rsidP="00000000" w:rsidRDefault="00000000" w:rsidRPr="00000000" w14:paraId="00000020">
      <w:pPr>
        <w:spacing w:after="240" w:before="240" w:line="240" w:lineRule="auto"/>
        <w:rPr>
          <w:sz w:val="21"/>
          <w:szCs w:val="21"/>
        </w:rPr>
      </w:pPr>
      <w:r w:rsidDel="00000000" w:rsidR="00000000" w:rsidRPr="00000000">
        <w:rPr>
          <w:sz w:val="21"/>
          <w:szCs w:val="21"/>
          <w:rtl w:val="0"/>
        </w:rPr>
        <w:t xml:space="preserve">The continued adoption of BNPL reflects these commercial decisions. Merchants choose to offer BNPL because they determine it delivers value to their business and consumers—not because they are compelled to do so. BNPL remains a relatively small share of overall consumer payments in Australia and competes alongside cards and other payment methods as one of several options available to merchants and consumers. Merchants can readily add, remove or replace BNPL providers, creating ongoing competitive pressure on providers to earn and retain merchant acceptance through product innovation, service quality and commercial value.</w:t>
      </w:r>
    </w:p>
    <w:p w:rsidR="00000000" w:rsidDel="00000000" w:rsidP="00000000" w:rsidRDefault="00000000" w:rsidRPr="00000000" w14:paraId="00000021">
      <w:pPr>
        <w:spacing w:after="240" w:before="240" w:line="240" w:lineRule="auto"/>
        <w:rPr>
          <w:sz w:val="21"/>
          <w:szCs w:val="21"/>
        </w:rPr>
      </w:pPr>
      <w:r w:rsidDel="00000000" w:rsidR="00000000" w:rsidRPr="00000000">
        <w:rPr>
          <w:sz w:val="21"/>
          <w:szCs w:val="21"/>
          <w:rtl w:val="0"/>
        </w:rPr>
        <w:t xml:space="preserve">Merchant acceptance costs are an important consideration for merchants and policymakers. However, merchant discount rates should be viewed as the outcome of competition rather than evidence that competition is not functioning effectively.</w:t>
      </w:r>
    </w:p>
    <w:p w:rsidR="00000000" w:rsidDel="00000000" w:rsidP="00000000" w:rsidRDefault="00000000" w:rsidRPr="00000000" w14:paraId="00000022">
      <w:pPr>
        <w:spacing w:after="240" w:before="240" w:line="240" w:lineRule="auto"/>
        <w:rPr>
          <w:sz w:val="21"/>
          <w:szCs w:val="21"/>
        </w:rPr>
      </w:pPr>
      <w:r w:rsidDel="00000000" w:rsidR="00000000" w:rsidRPr="00000000">
        <w:rPr>
          <w:sz w:val="21"/>
          <w:szCs w:val="21"/>
          <w:rtl w:val="0"/>
        </w:rPr>
        <w:t xml:space="preserve">Merchant discount rates are commercially negotiated and reflect the value different payment methods deliver rather than transaction processing alone.</w:t>
      </w:r>
    </w:p>
    <w:p w:rsidR="00000000" w:rsidDel="00000000" w:rsidP="00000000" w:rsidRDefault="00000000" w:rsidRPr="00000000" w14:paraId="00000023">
      <w:pPr>
        <w:spacing w:after="240" w:before="240" w:line="240" w:lineRule="auto"/>
        <w:rPr>
          <w:sz w:val="21"/>
          <w:szCs w:val="21"/>
        </w:rPr>
      </w:pPr>
      <w:r w:rsidDel="00000000" w:rsidR="00000000" w:rsidRPr="00000000">
        <w:rPr>
          <w:sz w:val="21"/>
          <w:szCs w:val="21"/>
          <w:rtl w:val="0"/>
        </w:rPr>
        <w:t xml:space="preserve">BNPL competes directly with cards and other payment methods within the broader payments ecosystem. However, comparisons between BNPL merchant fees and card acceptance costs should be interpreted carefully. While these payment methods compete for merchant acceptance, they represent different commercial models and deliver different combinations of products and services. BNPL pricing typically reflects a broader value proposition that includes payment processing, financing and services designed to support consumer acquisition and sales conversion. Merchant fee comparisons alone therefore do not provide a complete assessment of competition or the value delivered to merchants.</w:t>
      </w:r>
    </w:p>
    <w:p w:rsidR="00000000" w:rsidDel="00000000" w:rsidP="00000000" w:rsidRDefault="00000000" w:rsidRPr="00000000" w14:paraId="00000024">
      <w:pPr>
        <w:spacing w:after="240" w:before="240" w:line="240" w:lineRule="auto"/>
        <w:rPr>
          <w:sz w:val="21"/>
          <w:szCs w:val="21"/>
        </w:rPr>
      </w:pPr>
      <w:r w:rsidDel="00000000" w:rsidR="00000000" w:rsidRPr="00000000">
        <w:rPr>
          <w:sz w:val="21"/>
          <w:szCs w:val="21"/>
          <w:rtl w:val="0"/>
        </w:rPr>
        <w:t xml:space="preserve">Affirm's commercial terms are negotiated directly with merchants and clearly disclosed as part of the commercial agreement. Merchants are able to compare those terms with competing BNPL providers and assess them alongside the costs and value propositions of other payment methods when determining which payment solutions best meet their business needs. BNPL pricing is bilateral and tailored to the individual merchant relationship, reflecting factors such as the products selected, merchant size and risk profile. Nothing in the evidence presented in this Review suggests merchants are unable to compare competing offers or negotiate commercial arrangements that reflect the value delivered by different payment providers.</w:t>
      </w:r>
    </w:p>
    <w:p w:rsidR="00000000" w:rsidDel="00000000" w:rsidP="00000000" w:rsidRDefault="00000000" w:rsidRPr="00000000" w14:paraId="00000025">
      <w:pPr>
        <w:spacing w:after="240" w:before="240" w:line="240" w:lineRule="auto"/>
        <w:rPr>
          <w:sz w:val="21"/>
          <w:szCs w:val="21"/>
        </w:rPr>
      </w:pPr>
      <w:r w:rsidDel="00000000" w:rsidR="00000000" w:rsidRPr="00000000">
        <w:rPr>
          <w:sz w:val="21"/>
          <w:szCs w:val="21"/>
          <w:rtl w:val="0"/>
        </w:rPr>
        <w:t xml:space="preserve">Affirm's merchant pricing reflects the individual commercial relationship with each merchant. Merchants pay a merchant discount rate together with a transaction fee, with no integration, annual or monthly platform fees. This pricing structure is transparent to merchants while allowing commercial terms to reflect the products and services provided.</w:t>
      </w:r>
    </w:p>
    <w:p w:rsidR="00000000" w:rsidDel="00000000" w:rsidP="00000000" w:rsidRDefault="00000000" w:rsidRPr="00000000" w14:paraId="00000026">
      <w:pPr>
        <w:spacing w:after="240" w:before="240" w:line="240" w:lineRule="auto"/>
        <w:rPr>
          <w:sz w:val="21"/>
          <w:szCs w:val="21"/>
        </w:rPr>
      </w:pPr>
      <w:r w:rsidDel="00000000" w:rsidR="00000000" w:rsidRPr="00000000">
        <w:rPr>
          <w:sz w:val="21"/>
          <w:szCs w:val="21"/>
          <w:rtl w:val="0"/>
        </w:rPr>
        <w:t xml:space="preserve">A principles-based approach that promotes competition while preserving commercial flexibility will better support innovation, investment and merchant choice than product-specific pricing intervention absent clear evidence that competition is not functioning effectively.</w:t>
      </w:r>
    </w:p>
    <w:p w:rsidR="00000000" w:rsidDel="00000000" w:rsidP="00000000" w:rsidRDefault="00000000" w:rsidRPr="00000000" w14:paraId="00000027">
      <w:pPr>
        <w:spacing w:after="240" w:before="240" w:line="240" w:lineRule="auto"/>
        <w:rPr>
          <w:sz w:val="21"/>
          <w:szCs w:val="21"/>
        </w:rPr>
      </w:pPr>
      <w:r w:rsidDel="00000000" w:rsidR="00000000" w:rsidRPr="00000000">
        <w:rPr>
          <w:sz w:val="21"/>
          <w:szCs w:val="21"/>
          <w:rtl w:val="0"/>
        </w:rPr>
        <w:t xml:space="preserve">The Issues Paper also references the RBA's previous consideration of BNPL no-surcharge rules as part of its 2021 Review of Retail Payments Regulation. Since then, the broader payments policy landscape has evolved, including the RBA's decision to remove surcharging for Visa, Mastercard and eftpos transactions from October 2026. Given these developments, Affirm would welcome clarification as to whether the RBA continues to consider the removal of BNPL no-surcharge rules a policy objective. Following the removal of surcharging across the designated card networks, introducing BNPL-specific surcharging obligations would create an asymmetry between competing payment methods that appears inconsistent with the objective of competitive neutrality.</w:t>
      </w:r>
      <w:r w:rsidDel="00000000" w:rsidR="00000000" w:rsidRPr="00000000">
        <w:rPr>
          <w:rtl w:val="0"/>
        </w:rPr>
      </w:r>
    </w:p>
    <w:p w:rsidR="00000000" w:rsidDel="00000000" w:rsidP="00000000" w:rsidRDefault="00000000" w:rsidRPr="00000000" w14:paraId="00000028">
      <w:pPr>
        <w:keepNext w:val="0"/>
        <w:keepLines w:val="0"/>
        <w:numPr>
          <w:ilvl w:val="0"/>
          <w:numId w:val="1"/>
        </w:numPr>
        <w:spacing w:after="0" w:line="240" w:lineRule="auto"/>
        <w:ind w:left="720" w:hanging="360"/>
        <w:rPr>
          <w:b w:val="1"/>
          <w:bCs w:val="1"/>
          <w:sz w:val="21"/>
          <w:szCs w:val="21"/>
        </w:rPr>
      </w:pPr>
      <w:r w:rsidDel="00000000" w:rsidR="00000000" w:rsidRPr="00000000">
        <w:rPr>
          <w:b w:val="1"/>
          <w:bCs w:val="1"/>
          <w:sz w:val="21"/>
          <w:szCs w:val="21"/>
          <w:rtl w:val="0"/>
        </w:rPr>
        <w:t xml:space="preserve">New Market Entry Strengthens Competition</w:t>
      </w:r>
    </w:p>
    <w:p w:rsidR="00000000" w:rsidDel="00000000" w:rsidP="00000000" w:rsidRDefault="00000000" w:rsidRPr="00000000" w14:paraId="00000029">
      <w:pPr>
        <w:spacing w:after="240" w:before="0" w:line="240" w:lineRule="auto"/>
        <w:rPr>
          <w:sz w:val="21"/>
          <w:szCs w:val="21"/>
        </w:rPr>
      </w:pPr>
      <w:r w:rsidDel="00000000" w:rsidR="00000000" w:rsidRPr="00000000">
        <w:rPr>
          <w:sz w:val="21"/>
          <w:szCs w:val="21"/>
          <w:rtl w:val="0"/>
        </w:rPr>
        <w:t xml:space="preserve">Continued investment and new market entry are strong indicators that Australia's payments ecosystem remains dynamic and contestable.</w:t>
      </w:r>
    </w:p>
    <w:p w:rsidR="00000000" w:rsidDel="00000000" w:rsidP="00000000" w:rsidRDefault="00000000" w:rsidRPr="00000000" w14:paraId="0000002A">
      <w:pPr>
        <w:spacing w:after="240" w:before="240" w:line="240" w:lineRule="auto"/>
        <w:rPr>
          <w:sz w:val="21"/>
          <w:szCs w:val="21"/>
          <w:highlight w:val="green"/>
        </w:rPr>
      </w:pPr>
      <w:r w:rsidDel="00000000" w:rsidR="00000000" w:rsidRPr="00000000">
        <w:rPr>
          <w:sz w:val="21"/>
          <w:szCs w:val="21"/>
          <w:rtl w:val="0"/>
        </w:rPr>
        <w:t xml:space="preserve">Affirm's decision to enter Australia is itself evidence of a dynamic and contestable market. We are investing in Australia because we are confident that merchants retain meaningful choice and that providers continue to compete through innovation, commercial value and consumer experience.</w:t>
      </w:r>
      <w:r w:rsidDel="00000000" w:rsidR="00000000" w:rsidRPr="00000000">
        <w:rPr>
          <w:rtl w:val="0"/>
        </w:rPr>
      </w:r>
    </w:p>
    <w:p w:rsidR="00000000" w:rsidDel="00000000" w:rsidP="00000000" w:rsidRDefault="00000000" w:rsidRPr="00000000" w14:paraId="0000002B">
      <w:pPr>
        <w:spacing w:after="240" w:before="240" w:line="240" w:lineRule="auto"/>
        <w:rPr>
          <w:sz w:val="21"/>
          <w:szCs w:val="21"/>
        </w:rPr>
      </w:pPr>
      <w:r w:rsidDel="00000000" w:rsidR="00000000" w:rsidRPr="00000000">
        <w:rPr>
          <w:sz w:val="21"/>
          <w:szCs w:val="21"/>
          <w:rtl w:val="0"/>
        </w:rPr>
        <w:t xml:space="preserve">The entry of new providers strengthens competition by expanding the choices available to merchants and consumers. Merchants benefit from additional payment solutions that compete on product quality, consumer experience and commercial value. Consumers benefit from greater choice in how they pay, with products designed around transparency, predictable repayment and responsible lending.</w:t>
      </w:r>
    </w:p>
    <w:p w:rsidR="00000000" w:rsidDel="00000000" w:rsidP="00000000" w:rsidRDefault="00000000" w:rsidRPr="00000000" w14:paraId="0000002C">
      <w:pPr>
        <w:spacing w:after="240" w:before="240" w:line="240" w:lineRule="auto"/>
        <w:rPr>
          <w:sz w:val="21"/>
          <w:szCs w:val="21"/>
        </w:rPr>
      </w:pPr>
      <w:r w:rsidDel="00000000" w:rsidR="00000000" w:rsidRPr="00000000">
        <w:rPr>
          <w:sz w:val="21"/>
          <w:szCs w:val="21"/>
          <w:rtl w:val="0"/>
        </w:rPr>
        <w:t xml:space="preserve">Competition is strengthened when providers are encouraged to differentiate through innovation, responsible lending and better consumer outcomes. A regulatory framework that supports new entrants and continued product innovation will deliver stronger outcomes for merchants, consumers and Australia's broader payments ecosystem.</w:t>
      </w:r>
    </w:p>
    <w:p w:rsidR="00000000" w:rsidDel="00000000" w:rsidP="00000000" w:rsidRDefault="00000000" w:rsidRPr="00000000" w14:paraId="0000002D">
      <w:pPr>
        <w:spacing w:after="0" w:before="0" w:line="240" w:lineRule="auto"/>
        <w:rPr>
          <w:b w:val="1"/>
          <w:bCs w:val="1"/>
          <w:sz w:val="21"/>
          <w:szCs w:val="21"/>
        </w:rPr>
      </w:pPr>
      <w:r w:rsidDel="00000000" w:rsidR="00000000" w:rsidRPr="00000000">
        <w:rPr>
          <w:b w:val="1"/>
          <w:bCs w:val="1"/>
          <w:sz w:val="21"/>
          <w:szCs w:val="21"/>
          <w:rtl w:val="0"/>
        </w:rPr>
        <w:t xml:space="preserve">Conclusion</w:t>
      </w:r>
    </w:p>
    <w:p w:rsidR="00000000" w:rsidDel="00000000" w:rsidP="00000000" w:rsidRDefault="00000000" w:rsidRPr="00000000" w14:paraId="0000002E">
      <w:pPr>
        <w:spacing w:after="240" w:before="0" w:line="240" w:lineRule="auto"/>
        <w:rPr>
          <w:sz w:val="21"/>
          <w:szCs w:val="21"/>
        </w:rPr>
      </w:pPr>
      <w:r w:rsidDel="00000000" w:rsidR="00000000" w:rsidRPr="00000000">
        <w:rPr>
          <w:sz w:val="21"/>
          <w:szCs w:val="21"/>
          <w:rtl w:val="0"/>
        </w:rPr>
        <w:t xml:space="preserve">Affirm supports the RBA's objective of promoting competition, efficiency and innovation across Australia's payments system.</w:t>
      </w:r>
    </w:p>
    <w:p w:rsidR="00000000" w:rsidDel="00000000" w:rsidP="00000000" w:rsidRDefault="00000000" w:rsidRPr="00000000" w14:paraId="0000002F">
      <w:pPr>
        <w:spacing w:after="240" w:before="240" w:line="240" w:lineRule="auto"/>
        <w:rPr>
          <w:sz w:val="21"/>
          <w:szCs w:val="21"/>
        </w:rPr>
      </w:pPr>
      <w:r w:rsidDel="00000000" w:rsidR="00000000" w:rsidRPr="00000000">
        <w:rPr>
          <w:sz w:val="21"/>
          <w:szCs w:val="21"/>
          <w:rtl w:val="0"/>
        </w:rPr>
        <w:t xml:space="preserve">Australia has built a payments ecosystem that encourages innovation, strengthens consumer protections and expands merchant and consumer choice. As a new regulated participant, Affirm looks forward to contributing to that ecosystem by competing through responsible lending, transparent products and continued innovation.</w:t>
      </w:r>
    </w:p>
    <w:p w:rsidR="00000000" w:rsidDel="00000000" w:rsidP="00000000" w:rsidRDefault="00000000" w:rsidRPr="00000000" w14:paraId="00000030">
      <w:pPr>
        <w:spacing w:after="240" w:before="240" w:line="240" w:lineRule="auto"/>
        <w:rPr>
          <w:sz w:val="21"/>
          <w:szCs w:val="21"/>
        </w:rPr>
      </w:pPr>
      <w:r w:rsidDel="00000000" w:rsidR="00000000" w:rsidRPr="00000000">
        <w:rPr>
          <w:sz w:val="21"/>
          <w:szCs w:val="21"/>
          <w:rtl w:val="0"/>
        </w:rPr>
        <w:t xml:space="preserve">Future reforms should build on these strengths by preserving merchant choice, encouraging new market entry and ensuring regulatory intervention remains targeted, proportionate and evidence-based.</w:t>
      </w:r>
    </w:p>
    <w:p w:rsidR="00000000" w:rsidDel="00000000" w:rsidP="00000000" w:rsidRDefault="00000000" w:rsidRPr="00000000" w14:paraId="00000031">
      <w:pPr>
        <w:spacing w:after="240" w:before="240" w:line="240" w:lineRule="auto"/>
        <w:rPr>
          <w:sz w:val="21"/>
          <w:szCs w:val="21"/>
        </w:rPr>
      </w:pPr>
      <w:r w:rsidDel="00000000" w:rsidR="00000000" w:rsidRPr="00000000">
        <w:rPr>
          <w:sz w:val="21"/>
          <w:szCs w:val="21"/>
          <w:rtl w:val="0"/>
        </w:rPr>
        <w:t xml:space="preserve">In our view, the evidence currently available does not demonstrate that competition across the payments ecosystem is not functioning effectively or that additional intervention in commercially negotiated merchant pricing is warranted at this time. Before considering further payments-specific regulation, the RBA should allow the recently implemented consumer credit framework time to operate and assess its effectiveness.</w:t>
      </w:r>
    </w:p>
    <w:p w:rsidR="00000000" w:rsidDel="00000000" w:rsidP="00000000" w:rsidRDefault="00000000" w:rsidRPr="00000000" w14:paraId="00000032">
      <w:pPr>
        <w:spacing w:after="0" w:before="240" w:line="240" w:lineRule="auto"/>
        <w:jc w:val="center"/>
        <w:rPr>
          <w:sz w:val="21"/>
          <w:szCs w:val="21"/>
        </w:rPr>
      </w:pPr>
      <w:r w:rsidDel="00000000" w:rsidR="00000000" w:rsidRPr="00000000">
        <w:rPr>
          <w:sz w:val="21"/>
          <w:szCs w:val="21"/>
          <w:rtl w:val="0"/>
        </w:rPr>
        <w:t xml:space="preserve">*</w:t>
        <w:tab/>
        <w:t xml:space="preserve">*</w:t>
        <w:tab/>
        <w:t xml:space="preserve">*</w:t>
        <w:tab/>
        <w:t xml:space="preserve">*</w:t>
        <w:tab/>
        <w:t xml:space="preserve">*</w:t>
      </w:r>
      <w:r w:rsidDel="00000000" w:rsidR="00000000" w:rsidRPr="00000000">
        <w:rPr>
          <w:rtl w:val="0"/>
        </w:rPr>
      </w:r>
    </w:p>
    <w:p w:rsidR="00000000" w:rsidDel="00000000" w:rsidP="00000000" w:rsidRDefault="00000000" w:rsidRPr="00000000" w14:paraId="00000033">
      <w:pPr>
        <w:spacing w:after="0" w:before="0" w:line="240" w:lineRule="auto"/>
        <w:rPr>
          <w:sz w:val="21"/>
          <w:szCs w:val="21"/>
        </w:rPr>
      </w:pPr>
      <w:r w:rsidDel="00000000" w:rsidR="00000000" w:rsidRPr="00000000">
        <w:rPr>
          <w:sz w:val="21"/>
          <w:szCs w:val="21"/>
          <w:rtl w:val="0"/>
        </w:rPr>
        <w:t xml:space="preserve">Affirm appreciates the opportunity to contribute to this review and looks forward to continuing to engage with the RBA as the review progresses.</w:t>
      </w:r>
    </w:p>
    <w:p w:rsidR="00000000" w:rsidDel="00000000" w:rsidP="00000000" w:rsidRDefault="00000000" w:rsidRPr="00000000" w14:paraId="00000034">
      <w:pPr>
        <w:spacing w:line="240" w:lineRule="auto"/>
        <w:jc w:val="both"/>
        <w:rPr>
          <w:sz w:val="21"/>
          <w:szCs w:val="21"/>
        </w:rPr>
      </w:pPr>
      <w:r w:rsidDel="00000000" w:rsidR="00000000" w:rsidRPr="00000000">
        <w:rPr>
          <w:rtl w:val="0"/>
        </w:rPr>
      </w:r>
    </w:p>
    <w:p w:rsidR="00000000" w:rsidDel="00000000" w:rsidP="00000000" w:rsidRDefault="00000000" w:rsidRPr="00000000" w14:paraId="00000035">
      <w:pPr>
        <w:spacing w:line="240" w:lineRule="auto"/>
        <w:jc w:val="both"/>
        <w:rPr>
          <w:sz w:val="21"/>
          <w:szCs w:val="21"/>
        </w:rPr>
      </w:pPr>
      <w:r w:rsidDel="00000000" w:rsidR="00000000" w:rsidRPr="00000000">
        <w:rPr>
          <w:sz w:val="21"/>
          <w:szCs w:val="21"/>
          <w:rtl w:val="0"/>
        </w:rPr>
        <w:t xml:space="preserve">Kind Regards, </w:t>
      </w:r>
    </w:p>
    <w:p w:rsidR="00000000" w:rsidDel="00000000" w:rsidP="00000000" w:rsidRDefault="00000000" w:rsidRPr="00000000" w14:paraId="00000036">
      <w:pPr>
        <w:spacing w:line="240" w:lineRule="auto"/>
        <w:jc w:val="both"/>
        <w:rPr>
          <w:sz w:val="21"/>
          <w:szCs w:val="21"/>
        </w:rPr>
      </w:pPr>
      <w:r w:rsidDel="00000000" w:rsidR="00000000" w:rsidRPr="00000000">
        <w:rPr>
          <w:sz w:val="21"/>
          <w:szCs w:val="21"/>
          <w:rtl w:val="0"/>
        </w:rPr>
        <w:t xml:space="preserve">John Pitts</w:t>
      </w:r>
    </w:p>
    <w:p w:rsidR="00000000" w:rsidDel="00000000" w:rsidP="00000000" w:rsidRDefault="00000000" w:rsidRPr="00000000" w14:paraId="00000037">
      <w:pPr>
        <w:spacing w:line="240" w:lineRule="auto"/>
        <w:jc w:val="both"/>
        <w:rPr>
          <w:sz w:val="21"/>
          <w:szCs w:val="21"/>
        </w:rPr>
      </w:pPr>
      <w:r w:rsidDel="00000000" w:rsidR="00000000" w:rsidRPr="00000000">
        <w:rPr>
          <w:sz w:val="21"/>
          <w:szCs w:val="21"/>
          <w:rtl w:val="0"/>
        </w:rPr>
        <w:t xml:space="preserve">Vice President, Global Government Relations &amp; Policy </w:t>
      </w:r>
    </w:p>
    <w:p w:rsidR="00000000" w:rsidDel="00000000" w:rsidP="00000000" w:rsidRDefault="00000000" w:rsidRPr="00000000" w14:paraId="00000038">
      <w:pPr>
        <w:spacing w:line="240" w:lineRule="auto"/>
        <w:jc w:val="both"/>
        <w:rPr>
          <w:sz w:val="21"/>
          <w:szCs w:val="21"/>
        </w:rPr>
      </w:pPr>
      <w:r w:rsidDel="00000000" w:rsidR="00000000" w:rsidRPr="00000000">
        <w:rPr>
          <w:sz w:val="21"/>
          <w:szCs w:val="21"/>
          <w:rtl w:val="0"/>
        </w:rPr>
        <w:t xml:space="preserve">Affirm, Inc</w:t>
      </w:r>
      <w:r w:rsidDel="00000000" w:rsidR="00000000" w:rsidRPr="00000000">
        <w:rPr>
          <w:rtl w:val="0"/>
        </w:rPr>
      </w:r>
    </w:p>
    <w:sectPr>
      <w:headerReference r:id="rId6" w:type="default"/>
      <w:footerReference r:id="rId7" w:type="default"/>
      <w:pgSz w:h="15840" w:w="12240" w:orient="portrait"/>
      <w:pgMar w:bottom="1440" w:top="1440" w:left="1440" w:right="1440" w:header="431.99999999999994"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eader" Target="header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W5QWCE3MWNWV-1111276950-190</_dlc_DocId>
    <_dlc_DocIdUrl xmlns="a2aa19ac-7254-4672-b5f3-36bb7be1aecc">
      <Url>https://rbaau.sharepoint.com/sites/py-rrpr/_layouts/15/DocIdRedir.aspx?ID=W5QWCE3MWNWV-1111276950-190</Url>
      <Description>W5QWCE3MWNWV-1111276950-190</Description>
    </_dlc_DocIdUrl>
  </documentManagement>
</p:properties>
</file>

<file path=customXml/itemProps1.xml><?xml version="1.0" encoding="utf-8"?>
<ds:datastoreItem xmlns:ds="http://schemas.openxmlformats.org/officeDocument/2006/customXml" ds:itemID="{1C8F9FC0-2F40-4F74-9885-3ED71BEDD6AE}"/>
</file>

<file path=customXml/itemProps2.xml><?xml version="1.0" encoding="utf-8"?>
<ds:datastoreItem xmlns:ds="http://schemas.openxmlformats.org/officeDocument/2006/customXml" ds:itemID="{AC4856E0-B9F9-4412-9D43-BEDCDCA82412}"/>
</file>

<file path=customXml/itemProps3.xml><?xml version="1.0" encoding="utf-8"?>
<ds:datastoreItem xmlns:ds="http://schemas.openxmlformats.org/officeDocument/2006/customXml" ds:itemID="{B5C1BCFB-0FD8-4704-A5CA-C801E5C6E8C0}"/>
</file>

<file path=customXml/itemProps4.xml><?xml version="1.0" encoding="utf-8"?>
<ds:datastoreItem xmlns:ds="http://schemas.openxmlformats.org/officeDocument/2006/customXml" ds:itemID="{185CC27E-CBA9-436C-8E28-CE39D24E39A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74b47b6a-989a-4d9d-be16-e2906b6cbd6b</vt:lpwstr>
  </property>
</Properties>
</file>