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C5" w:rsidRPr="00421DFA" w:rsidRDefault="00434EC5" w:rsidP="00C21C30">
      <w:pPr>
        <w:ind w:firstLine="708"/>
        <w:jc w:val="both"/>
        <w:rPr>
          <w:rFonts w:ascii="Tahoma" w:hAnsi="Tahoma" w:cs="Tahoma"/>
        </w:rPr>
      </w:pPr>
    </w:p>
    <w:p w:rsidR="00434EC5" w:rsidRPr="00421DFA" w:rsidRDefault="00434EC5" w:rsidP="00C21C30">
      <w:pPr>
        <w:jc w:val="both"/>
        <w:rPr>
          <w:rFonts w:ascii="Tahoma" w:hAnsi="Tahoma" w:cs="Tahoma"/>
        </w:rPr>
      </w:pPr>
    </w:p>
    <w:p w:rsidR="00434EC5" w:rsidRPr="00421DFA" w:rsidRDefault="00434EC5" w:rsidP="00C21C30">
      <w:pPr>
        <w:jc w:val="both"/>
        <w:rPr>
          <w:rFonts w:ascii="Tahoma" w:hAnsi="Tahoma" w:cs="Tahoma"/>
        </w:rPr>
      </w:pPr>
    </w:p>
    <w:p w:rsidR="00434EC5" w:rsidRPr="00421DFA" w:rsidRDefault="00434EC5" w:rsidP="00C21C30">
      <w:pPr>
        <w:jc w:val="both"/>
        <w:rPr>
          <w:rFonts w:ascii="Tahoma" w:hAnsi="Tahoma" w:cs="Tahoma"/>
        </w:rPr>
      </w:pPr>
    </w:p>
    <w:p w:rsidR="00434EC5" w:rsidRPr="00421DFA" w:rsidRDefault="006E5CF4" w:rsidP="00C21C30">
      <w:pPr>
        <w:pStyle w:val="Title"/>
        <w:jc w:val="both"/>
      </w:pPr>
      <w:r w:rsidRPr="006E5CF4">
        <w:t>Review o</w:t>
      </w:r>
      <w:bookmarkStart w:id="0" w:name="_GoBack"/>
      <w:bookmarkEnd w:id="0"/>
      <w:r w:rsidRPr="006E5CF4">
        <w:t xml:space="preserve">f Card Payments Regulation </w:t>
      </w:r>
      <w:r w:rsidR="00BF6487">
        <w:t>(</w:t>
      </w:r>
      <w:r>
        <w:t>MARCH 2015</w:t>
      </w:r>
      <w:r w:rsidR="00BF6487">
        <w:t>)</w:t>
      </w:r>
    </w:p>
    <w:p w:rsidR="002A76C2" w:rsidRDefault="003C5AA9" w:rsidP="00C21C30">
      <w:pPr>
        <w:pStyle w:val="Subtitle"/>
        <w:jc w:val="both"/>
        <w:rPr>
          <w:rFonts w:ascii="Tahoma" w:hAnsi="Tahoma" w:cs="Tahoma"/>
          <w:color w:val="7F7F7F" w:themeColor="text1" w:themeTint="80"/>
          <w:lang w:val="en-US"/>
        </w:rPr>
      </w:pPr>
      <w:proofErr w:type="spellStart"/>
      <w:r>
        <w:rPr>
          <w:rFonts w:ascii="Tahoma" w:hAnsi="Tahoma" w:cs="Tahoma"/>
          <w:color w:val="7F7F7F" w:themeColor="text1" w:themeTint="80"/>
          <w:lang w:val="en-US"/>
        </w:rPr>
        <w:t>Payvision’s</w:t>
      </w:r>
      <w:proofErr w:type="spellEnd"/>
      <w:r>
        <w:rPr>
          <w:rFonts w:ascii="Tahoma" w:hAnsi="Tahoma" w:cs="Tahoma"/>
          <w:color w:val="7F7F7F" w:themeColor="text1" w:themeTint="80"/>
          <w:lang w:val="en-US"/>
        </w:rPr>
        <w:t xml:space="preserve"> </w:t>
      </w:r>
      <w:r w:rsidR="00932AAE">
        <w:rPr>
          <w:rFonts w:ascii="Tahoma" w:hAnsi="Tahoma" w:cs="Tahoma"/>
          <w:color w:val="7F7F7F" w:themeColor="text1" w:themeTint="80"/>
          <w:lang w:val="en-US"/>
        </w:rPr>
        <w:t>views on a balanced interchange framework</w:t>
      </w:r>
    </w:p>
    <w:p w:rsidR="00AB7D2E" w:rsidRDefault="00AB7D2E" w:rsidP="00C21C30">
      <w:pPr>
        <w:jc w:val="both"/>
        <w:rPr>
          <w:lang w:val="en-US"/>
        </w:rPr>
      </w:pPr>
    </w:p>
    <w:p w:rsidR="00AB7D2E" w:rsidRDefault="00AB7D2E" w:rsidP="00C21C30">
      <w:pPr>
        <w:jc w:val="both"/>
        <w:rPr>
          <w:lang w:val="en-US"/>
        </w:rPr>
      </w:pPr>
    </w:p>
    <w:p w:rsidR="00AB7D2E" w:rsidRDefault="00AB7D2E" w:rsidP="00C21C3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B7D2E" w:rsidRDefault="00AB7D2E" w:rsidP="00C21C30">
      <w:pPr>
        <w:jc w:val="both"/>
        <w:rPr>
          <w:lang w:val="en-US"/>
        </w:rPr>
      </w:pPr>
    </w:p>
    <w:p w:rsidR="00AB7D2E" w:rsidRDefault="00AB7D2E" w:rsidP="00C21C30">
      <w:pPr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Default="00AB7D2E" w:rsidP="00C21C30">
      <w:pPr>
        <w:ind w:left="2481" w:firstLine="351"/>
        <w:jc w:val="both"/>
        <w:rPr>
          <w:lang w:val="en-US"/>
        </w:rPr>
      </w:pPr>
    </w:p>
    <w:p w:rsidR="00AB7D2E" w:rsidRPr="00AB7D2E" w:rsidRDefault="00EF1FED" w:rsidP="00C21C30">
      <w:pPr>
        <w:ind w:left="6021" w:firstLine="351"/>
        <w:jc w:val="both"/>
        <w:rPr>
          <w:lang w:val="en-US"/>
        </w:rPr>
      </w:pPr>
      <w:r>
        <w:rPr>
          <w:lang w:val="en-US"/>
        </w:rPr>
        <w:t>Thursday</w:t>
      </w:r>
      <w:r w:rsidR="00FD4086">
        <w:rPr>
          <w:lang w:val="en-US"/>
        </w:rPr>
        <w:t>, 2</w:t>
      </w:r>
      <w:r>
        <w:rPr>
          <w:lang w:val="en-US"/>
        </w:rPr>
        <w:t>3</w:t>
      </w:r>
      <w:r w:rsidR="00FD4086">
        <w:rPr>
          <w:lang w:val="en-US"/>
        </w:rPr>
        <w:t xml:space="preserve"> April</w:t>
      </w:r>
      <w:r w:rsidR="003C5AA9">
        <w:rPr>
          <w:lang w:val="en-US"/>
        </w:rPr>
        <w:t xml:space="preserve"> 201</w:t>
      </w:r>
      <w:r w:rsidR="00FD4086">
        <w:rPr>
          <w:lang w:val="en-US"/>
        </w:rPr>
        <w:t>5</w:t>
      </w:r>
    </w:p>
    <w:p w:rsidR="002A76C2" w:rsidRPr="00421DFA" w:rsidRDefault="002A76C2" w:rsidP="00C21C30">
      <w:pPr>
        <w:jc w:val="both"/>
        <w:rPr>
          <w:rFonts w:ascii="Tahoma" w:hAnsi="Tahoma" w:cs="Tahoma"/>
          <w:lang w:val="en-US"/>
        </w:rPr>
      </w:pPr>
    </w:p>
    <w:p w:rsidR="002A76C2" w:rsidRPr="00421DFA" w:rsidRDefault="002A76C2" w:rsidP="00C21C30">
      <w:pPr>
        <w:jc w:val="both"/>
        <w:rPr>
          <w:rFonts w:ascii="Tahoma" w:hAnsi="Tahoma" w:cs="Tahoma"/>
          <w:lang w:val="en-US"/>
        </w:rPr>
      </w:pPr>
    </w:p>
    <w:p w:rsidR="007C358E" w:rsidRPr="00421DFA" w:rsidRDefault="007C358E" w:rsidP="00C21C30">
      <w:pPr>
        <w:jc w:val="both"/>
        <w:rPr>
          <w:rFonts w:ascii="Tahoma" w:hAnsi="Tahoma" w:cs="Tahoma"/>
          <w:lang w:val="en-US"/>
        </w:rPr>
      </w:pPr>
    </w:p>
    <w:p w:rsidR="007C358E" w:rsidRPr="00421DFA" w:rsidRDefault="007C358E" w:rsidP="00C21C30">
      <w:pPr>
        <w:jc w:val="both"/>
        <w:rPr>
          <w:rFonts w:ascii="Tahoma" w:hAnsi="Tahoma" w:cs="Tahoma"/>
          <w:lang w:val="en-US"/>
        </w:rPr>
      </w:pPr>
    </w:p>
    <w:p w:rsidR="007C358E" w:rsidRPr="00421DFA" w:rsidRDefault="007C358E" w:rsidP="00C21C30">
      <w:pPr>
        <w:jc w:val="both"/>
        <w:rPr>
          <w:rFonts w:ascii="Tahoma" w:hAnsi="Tahoma" w:cs="Tahoma"/>
          <w:lang w:val="en-US"/>
        </w:rPr>
      </w:pPr>
    </w:p>
    <w:p w:rsidR="007C358E" w:rsidRPr="00421DFA" w:rsidRDefault="007C358E" w:rsidP="00C21C30">
      <w:pPr>
        <w:jc w:val="both"/>
        <w:rPr>
          <w:rFonts w:ascii="Tahoma" w:hAnsi="Tahoma" w:cs="Tahoma"/>
          <w:lang w:val="en-US"/>
        </w:rPr>
      </w:pPr>
    </w:p>
    <w:p w:rsidR="00F54A1E" w:rsidRPr="00421DFA" w:rsidRDefault="00F54A1E" w:rsidP="00C21C30">
      <w:pPr>
        <w:jc w:val="both"/>
        <w:rPr>
          <w:rFonts w:ascii="Tahoma" w:hAnsi="Tahoma" w:cs="Tahoma"/>
          <w:lang w:val="en-US"/>
        </w:rPr>
      </w:pPr>
      <w:r w:rsidRPr="00421DFA">
        <w:rPr>
          <w:rFonts w:ascii="Tahoma" w:hAnsi="Tahoma" w:cs="Tahoma"/>
          <w:lang w:val="en-US"/>
        </w:rPr>
        <w:br w:type="page"/>
      </w:r>
    </w:p>
    <w:p w:rsidR="002A76C2" w:rsidRPr="00421DFA" w:rsidRDefault="002A76C2" w:rsidP="00C21C30">
      <w:pPr>
        <w:jc w:val="both"/>
        <w:rPr>
          <w:rFonts w:ascii="Tahoma" w:hAnsi="Tahoma" w:cs="Tahoma"/>
          <w:lang w:val="en-US"/>
        </w:rPr>
      </w:pPr>
    </w:p>
    <w:bookmarkStart w:id="1" w:name="_Toc417569653" w:displacedByCustomXml="next"/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2"/>
          <w:szCs w:val="22"/>
        </w:rPr>
        <w:id w:val="4118349"/>
        <w:docPartObj>
          <w:docPartGallery w:val="Table of Contents"/>
          <w:docPartUnique/>
        </w:docPartObj>
      </w:sdtPr>
      <w:sdtEndPr>
        <w:rPr>
          <w:color w:val="262626" w:themeColor="text1" w:themeTint="D9"/>
          <w:sz w:val="20"/>
        </w:rPr>
      </w:sdtEndPr>
      <w:sdtContent>
        <w:p w:rsidR="00275A80" w:rsidRPr="00421DFA" w:rsidRDefault="00F54A1E" w:rsidP="00C21C30">
          <w:pPr>
            <w:pStyle w:val="Heading1"/>
            <w:jc w:val="both"/>
          </w:pPr>
          <w:r w:rsidRPr="00421DFA">
            <w:t>Table of contents</w:t>
          </w:r>
          <w:bookmarkEnd w:id="1"/>
        </w:p>
        <w:p w:rsidR="00A26DE2" w:rsidRDefault="00A60D40">
          <w:pPr>
            <w:pStyle w:val="TOC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en-GB" w:eastAsia="en-GB"/>
            </w:rPr>
          </w:pPr>
          <w:r w:rsidRPr="00421DFA">
            <w:rPr>
              <w:rFonts w:ascii="Tahoma" w:hAnsi="Tahoma" w:cs="Tahoma"/>
              <w:noProof/>
              <w:color w:val="262626" w:themeColor="text1" w:themeTint="D9"/>
              <w:szCs w:val="20"/>
            </w:rPr>
            <w:fldChar w:fldCharType="begin"/>
          </w:r>
          <w:r w:rsidR="00275A80" w:rsidRPr="00421DFA">
            <w:rPr>
              <w:rFonts w:ascii="Tahoma" w:hAnsi="Tahoma" w:cs="Tahoma"/>
              <w:color w:val="262626" w:themeColor="text1" w:themeTint="D9"/>
              <w:szCs w:val="20"/>
            </w:rPr>
            <w:instrText xml:space="preserve"> TOC \o "1-3" \h \z \u </w:instrText>
          </w:r>
          <w:r w:rsidRPr="00421DFA">
            <w:rPr>
              <w:rFonts w:ascii="Tahoma" w:hAnsi="Tahoma" w:cs="Tahoma"/>
              <w:noProof/>
              <w:color w:val="262626" w:themeColor="text1" w:themeTint="D9"/>
              <w:szCs w:val="20"/>
            </w:rPr>
            <w:fldChar w:fldCharType="separate"/>
          </w:r>
          <w:hyperlink w:anchor="_Toc417569653" w:history="1">
            <w:r w:rsidR="00A26DE2" w:rsidRPr="00422807">
              <w:rPr>
                <w:rStyle w:val="Hyperlink"/>
                <w:noProof/>
              </w:rPr>
              <w:t>1.</w:t>
            </w:r>
            <w:r w:rsidR="00A26DE2">
              <w:rPr>
                <w:rFonts w:eastAsiaTheme="minorEastAsia"/>
                <w:noProof/>
                <w:sz w:val="22"/>
                <w:lang w:val="en-GB" w:eastAsia="en-GB"/>
              </w:rPr>
              <w:tab/>
            </w:r>
            <w:r w:rsidR="00A26DE2" w:rsidRPr="00422807">
              <w:rPr>
                <w:rStyle w:val="Hyperlink"/>
                <w:noProof/>
              </w:rPr>
              <w:t>Table of contents</w:t>
            </w:r>
            <w:r w:rsidR="00A26DE2">
              <w:rPr>
                <w:noProof/>
                <w:webHidden/>
              </w:rPr>
              <w:tab/>
            </w:r>
            <w:r w:rsidR="00A26DE2">
              <w:rPr>
                <w:noProof/>
                <w:webHidden/>
              </w:rPr>
              <w:fldChar w:fldCharType="begin"/>
            </w:r>
            <w:r w:rsidR="00A26DE2">
              <w:rPr>
                <w:noProof/>
                <w:webHidden/>
              </w:rPr>
              <w:instrText xml:space="preserve"> PAGEREF _Toc417569653 \h </w:instrText>
            </w:r>
            <w:r w:rsidR="00A26DE2">
              <w:rPr>
                <w:noProof/>
                <w:webHidden/>
              </w:rPr>
            </w:r>
            <w:r w:rsidR="00A26DE2">
              <w:rPr>
                <w:noProof/>
                <w:webHidden/>
              </w:rPr>
              <w:fldChar w:fldCharType="separate"/>
            </w:r>
            <w:r w:rsidR="00C4683B">
              <w:rPr>
                <w:noProof/>
                <w:webHidden/>
              </w:rPr>
              <w:t>2</w:t>
            </w:r>
            <w:r w:rsidR="00A26DE2">
              <w:rPr>
                <w:noProof/>
                <w:webHidden/>
              </w:rPr>
              <w:fldChar w:fldCharType="end"/>
            </w:r>
          </w:hyperlink>
        </w:p>
        <w:p w:rsidR="00A26DE2" w:rsidRDefault="00CB31C3">
          <w:pPr>
            <w:pStyle w:val="TOC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417569654" w:history="1">
            <w:r w:rsidR="00A26DE2" w:rsidRPr="00422807">
              <w:rPr>
                <w:rStyle w:val="Hyperlink"/>
                <w:noProof/>
              </w:rPr>
              <w:t>2.</w:t>
            </w:r>
            <w:r w:rsidR="00A26DE2">
              <w:rPr>
                <w:rFonts w:eastAsiaTheme="minorEastAsia"/>
                <w:noProof/>
                <w:sz w:val="22"/>
                <w:lang w:val="en-GB" w:eastAsia="en-GB"/>
              </w:rPr>
              <w:tab/>
            </w:r>
            <w:r w:rsidR="00A26DE2" w:rsidRPr="00422807">
              <w:rPr>
                <w:rStyle w:val="Hyperlink"/>
                <w:noProof/>
              </w:rPr>
              <w:t>PURPOSE</w:t>
            </w:r>
            <w:r w:rsidR="00A26DE2">
              <w:rPr>
                <w:noProof/>
                <w:webHidden/>
              </w:rPr>
              <w:tab/>
            </w:r>
            <w:r w:rsidR="00A26DE2">
              <w:rPr>
                <w:noProof/>
                <w:webHidden/>
              </w:rPr>
              <w:fldChar w:fldCharType="begin"/>
            </w:r>
            <w:r w:rsidR="00A26DE2">
              <w:rPr>
                <w:noProof/>
                <w:webHidden/>
              </w:rPr>
              <w:instrText xml:space="preserve"> PAGEREF _Toc417569654 \h </w:instrText>
            </w:r>
            <w:r w:rsidR="00A26DE2">
              <w:rPr>
                <w:noProof/>
                <w:webHidden/>
              </w:rPr>
            </w:r>
            <w:r w:rsidR="00A26DE2">
              <w:rPr>
                <w:noProof/>
                <w:webHidden/>
              </w:rPr>
              <w:fldChar w:fldCharType="separate"/>
            </w:r>
            <w:r w:rsidR="00C4683B">
              <w:rPr>
                <w:noProof/>
                <w:webHidden/>
              </w:rPr>
              <w:t>3</w:t>
            </w:r>
            <w:r w:rsidR="00A26DE2">
              <w:rPr>
                <w:noProof/>
                <w:webHidden/>
              </w:rPr>
              <w:fldChar w:fldCharType="end"/>
            </w:r>
          </w:hyperlink>
        </w:p>
        <w:p w:rsidR="00A26DE2" w:rsidRDefault="00CB31C3">
          <w:pPr>
            <w:pStyle w:val="TOC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417569655" w:history="1">
            <w:r w:rsidR="00A26DE2" w:rsidRPr="00422807">
              <w:rPr>
                <w:rStyle w:val="Hyperlink"/>
                <w:noProof/>
                <w:lang w:val="en-US"/>
              </w:rPr>
              <w:t>3.</w:t>
            </w:r>
            <w:r w:rsidR="00A26DE2">
              <w:rPr>
                <w:rFonts w:eastAsiaTheme="minorEastAsia"/>
                <w:noProof/>
                <w:sz w:val="22"/>
                <w:lang w:val="en-GB" w:eastAsia="en-GB"/>
              </w:rPr>
              <w:tab/>
            </w:r>
            <w:r w:rsidR="00A26DE2" w:rsidRPr="00422807">
              <w:rPr>
                <w:rStyle w:val="Hyperlink"/>
                <w:noProof/>
                <w:lang w:val="en-US"/>
              </w:rPr>
              <w:t>PAYVISION’S VIEWS ON THE PROPOSED REVIEW</w:t>
            </w:r>
            <w:r w:rsidR="00A26DE2">
              <w:rPr>
                <w:noProof/>
                <w:webHidden/>
              </w:rPr>
              <w:tab/>
            </w:r>
            <w:r w:rsidR="00A26DE2">
              <w:rPr>
                <w:noProof/>
                <w:webHidden/>
              </w:rPr>
              <w:fldChar w:fldCharType="begin"/>
            </w:r>
            <w:r w:rsidR="00A26DE2">
              <w:rPr>
                <w:noProof/>
                <w:webHidden/>
              </w:rPr>
              <w:instrText xml:space="preserve"> PAGEREF _Toc417569655 \h </w:instrText>
            </w:r>
            <w:r w:rsidR="00A26DE2">
              <w:rPr>
                <w:noProof/>
                <w:webHidden/>
              </w:rPr>
            </w:r>
            <w:r w:rsidR="00A26DE2">
              <w:rPr>
                <w:noProof/>
                <w:webHidden/>
              </w:rPr>
              <w:fldChar w:fldCharType="separate"/>
            </w:r>
            <w:r w:rsidR="00C4683B">
              <w:rPr>
                <w:noProof/>
                <w:webHidden/>
              </w:rPr>
              <w:t>4</w:t>
            </w:r>
            <w:r w:rsidR="00A26DE2">
              <w:rPr>
                <w:noProof/>
                <w:webHidden/>
              </w:rPr>
              <w:fldChar w:fldCharType="end"/>
            </w:r>
          </w:hyperlink>
        </w:p>
        <w:p w:rsidR="00A26DE2" w:rsidRDefault="00CB31C3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417569656" w:history="1">
            <w:r w:rsidR="00A26DE2" w:rsidRPr="00422807">
              <w:rPr>
                <w:rStyle w:val="Hyperlink"/>
                <w:noProof/>
                <w:lang w:val="en-US"/>
              </w:rPr>
              <w:t>3.1.</w:t>
            </w:r>
            <w:r w:rsidR="00A26DE2">
              <w:rPr>
                <w:rFonts w:eastAsiaTheme="minorEastAsia"/>
                <w:noProof/>
                <w:sz w:val="22"/>
                <w:lang w:val="en-GB" w:eastAsia="en-GB"/>
              </w:rPr>
              <w:tab/>
            </w:r>
            <w:r w:rsidR="00A26DE2" w:rsidRPr="00422807">
              <w:rPr>
                <w:rStyle w:val="Hyperlink"/>
                <w:noProof/>
                <w:lang w:val="en-US"/>
              </w:rPr>
              <w:t>Surcharging</w:t>
            </w:r>
            <w:r w:rsidR="00A26DE2">
              <w:rPr>
                <w:noProof/>
                <w:webHidden/>
              </w:rPr>
              <w:tab/>
            </w:r>
            <w:r w:rsidR="00A26DE2">
              <w:rPr>
                <w:noProof/>
                <w:webHidden/>
              </w:rPr>
              <w:fldChar w:fldCharType="begin"/>
            </w:r>
            <w:r w:rsidR="00A26DE2">
              <w:rPr>
                <w:noProof/>
                <w:webHidden/>
              </w:rPr>
              <w:instrText xml:space="preserve"> PAGEREF _Toc417569656 \h </w:instrText>
            </w:r>
            <w:r w:rsidR="00A26DE2">
              <w:rPr>
                <w:noProof/>
                <w:webHidden/>
              </w:rPr>
            </w:r>
            <w:r w:rsidR="00A26DE2">
              <w:rPr>
                <w:noProof/>
                <w:webHidden/>
              </w:rPr>
              <w:fldChar w:fldCharType="separate"/>
            </w:r>
            <w:r w:rsidR="00C4683B">
              <w:rPr>
                <w:noProof/>
                <w:webHidden/>
              </w:rPr>
              <w:t>4</w:t>
            </w:r>
            <w:r w:rsidR="00A26DE2">
              <w:rPr>
                <w:noProof/>
                <w:webHidden/>
              </w:rPr>
              <w:fldChar w:fldCharType="end"/>
            </w:r>
          </w:hyperlink>
        </w:p>
        <w:p w:rsidR="00A26DE2" w:rsidRDefault="00CB31C3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417569657" w:history="1">
            <w:r w:rsidR="00A26DE2" w:rsidRPr="00422807">
              <w:rPr>
                <w:rStyle w:val="Hyperlink"/>
                <w:noProof/>
                <w:lang w:val="en-US"/>
              </w:rPr>
              <w:t>3.2.</w:t>
            </w:r>
            <w:r w:rsidR="00A26DE2">
              <w:rPr>
                <w:rFonts w:eastAsiaTheme="minorEastAsia"/>
                <w:noProof/>
                <w:sz w:val="22"/>
                <w:lang w:val="en-GB" w:eastAsia="en-GB"/>
              </w:rPr>
              <w:tab/>
            </w:r>
            <w:r w:rsidR="00A26DE2" w:rsidRPr="00422807">
              <w:rPr>
                <w:rStyle w:val="Hyperlink"/>
                <w:noProof/>
                <w:lang w:val="en-US"/>
              </w:rPr>
              <w:t>Transparency and simplicity</w:t>
            </w:r>
            <w:r w:rsidR="00A26DE2">
              <w:rPr>
                <w:noProof/>
                <w:webHidden/>
              </w:rPr>
              <w:tab/>
            </w:r>
            <w:r w:rsidR="00A26DE2">
              <w:rPr>
                <w:noProof/>
                <w:webHidden/>
              </w:rPr>
              <w:fldChar w:fldCharType="begin"/>
            </w:r>
            <w:r w:rsidR="00A26DE2">
              <w:rPr>
                <w:noProof/>
                <w:webHidden/>
              </w:rPr>
              <w:instrText xml:space="preserve"> PAGEREF _Toc417569657 \h </w:instrText>
            </w:r>
            <w:r w:rsidR="00A26DE2">
              <w:rPr>
                <w:noProof/>
                <w:webHidden/>
              </w:rPr>
            </w:r>
            <w:r w:rsidR="00A26DE2">
              <w:rPr>
                <w:noProof/>
                <w:webHidden/>
              </w:rPr>
              <w:fldChar w:fldCharType="separate"/>
            </w:r>
            <w:r w:rsidR="00C4683B">
              <w:rPr>
                <w:noProof/>
                <w:webHidden/>
              </w:rPr>
              <w:t>5</w:t>
            </w:r>
            <w:r w:rsidR="00A26DE2">
              <w:rPr>
                <w:noProof/>
                <w:webHidden/>
              </w:rPr>
              <w:fldChar w:fldCharType="end"/>
            </w:r>
          </w:hyperlink>
        </w:p>
        <w:p w:rsidR="00A26DE2" w:rsidRDefault="00CB31C3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417569658" w:history="1">
            <w:r w:rsidR="00A26DE2" w:rsidRPr="00422807">
              <w:rPr>
                <w:rStyle w:val="Hyperlink"/>
                <w:noProof/>
                <w:lang w:val="en-US"/>
              </w:rPr>
              <w:t>3.3.</w:t>
            </w:r>
            <w:r w:rsidR="00A26DE2">
              <w:rPr>
                <w:rFonts w:eastAsiaTheme="minorEastAsia"/>
                <w:noProof/>
                <w:sz w:val="22"/>
                <w:lang w:val="en-GB" w:eastAsia="en-GB"/>
              </w:rPr>
              <w:tab/>
            </w:r>
            <w:r w:rsidR="00A26DE2" w:rsidRPr="00422807">
              <w:rPr>
                <w:rStyle w:val="Hyperlink"/>
                <w:noProof/>
                <w:lang w:val="en-US"/>
              </w:rPr>
              <w:t>Debit Vs credit</w:t>
            </w:r>
            <w:r w:rsidR="00A26DE2">
              <w:rPr>
                <w:noProof/>
                <w:webHidden/>
              </w:rPr>
              <w:tab/>
            </w:r>
            <w:r w:rsidR="00A26DE2">
              <w:rPr>
                <w:noProof/>
                <w:webHidden/>
              </w:rPr>
              <w:fldChar w:fldCharType="begin"/>
            </w:r>
            <w:r w:rsidR="00A26DE2">
              <w:rPr>
                <w:noProof/>
                <w:webHidden/>
              </w:rPr>
              <w:instrText xml:space="preserve"> PAGEREF _Toc417569658 \h </w:instrText>
            </w:r>
            <w:r w:rsidR="00A26DE2">
              <w:rPr>
                <w:noProof/>
                <w:webHidden/>
              </w:rPr>
            </w:r>
            <w:r w:rsidR="00A26DE2">
              <w:rPr>
                <w:noProof/>
                <w:webHidden/>
              </w:rPr>
              <w:fldChar w:fldCharType="separate"/>
            </w:r>
            <w:r w:rsidR="00C4683B">
              <w:rPr>
                <w:noProof/>
                <w:webHidden/>
              </w:rPr>
              <w:t>5</w:t>
            </w:r>
            <w:r w:rsidR="00A26DE2">
              <w:rPr>
                <w:noProof/>
                <w:webHidden/>
              </w:rPr>
              <w:fldChar w:fldCharType="end"/>
            </w:r>
          </w:hyperlink>
        </w:p>
        <w:p w:rsidR="00A26DE2" w:rsidRDefault="00CB31C3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417569659" w:history="1">
            <w:r w:rsidR="00A26DE2" w:rsidRPr="00422807">
              <w:rPr>
                <w:rStyle w:val="Hyperlink"/>
                <w:noProof/>
                <w:lang w:val="en-US"/>
              </w:rPr>
              <w:t>3.4.</w:t>
            </w:r>
            <w:r w:rsidR="00A26DE2">
              <w:rPr>
                <w:rFonts w:eastAsiaTheme="minorEastAsia"/>
                <w:noProof/>
                <w:sz w:val="22"/>
                <w:lang w:val="en-GB" w:eastAsia="en-GB"/>
              </w:rPr>
              <w:tab/>
            </w:r>
            <w:r w:rsidR="00A26DE2" w:rsidRPr="00422807">
              <w:rPr>
                <w:rStyle w:val="Hyperlink"/>
                <w:noProof/>
                <w:lang w:val="en-US"/>
              </w:rPr>
              <w:t>Merchant indifference test</w:t>
            </w:r>
            <w:r w:rsidR="00A26DE2">
              <w:rPr>
                <w:noProof/>
                <w:webHidden/>
              </w:rPr>
              <w:tab/>
            </w:r>
            <w:r w:rsidR="00A26DE2">
              <w:rPr>
                <w:noProof/>
                <w:webHidden/>
              </w:rPr>
              <w:fldChar w:fldCharType="begin"/>
            </w:r>
            <w:r w:rsidR="00A26DE2">
              <w:rPr>
                <w:noProof/>
                <w:webHidden/>
              </w:rPr>
              <w:instrText xml:space="preserve"> PAGEREF _Toc417569659 \h </w:instrText>
            </w:r>
            <w:r w:rsidR="00A26DE2">
              <w:rPr>
                <w:noProof/>
                <w:webHidden/>
              </w:rPr>
            </w:r>
            <w:r w:rsidR="00A26DE2">
              <w:rPr>
                <w:noProof/>
                <w:webHidden/>
              </w:rPr>
              <w:fldChar w:fldCharType="separate"/>
            </w:r>
            <w:r w:rsidR="00C4683B">
              <w:rPr>
                <w:noProof/>
                <w:webHidden/>
              </w:rPr>
              <w:t>5</w:t>
            </w:r>
            <w:r w:rsidR="00A26DE2">
              <w:rPr>
                <w:noProof/>
                <w:webHidden/>
              </w:rPr>
              <w:fldChar w:fldCharType="end"/>
            </w:r>
          </w:hyperlink>
        </w:p>
        <w:p w:rsidR="00A26DE2" w:rsidRDefault="00CB31C3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417569660" w:history="1">
            <w:r w:rsidR="00A26DE2" w:rsidRPr="00422807">
              <w:rPr>
                <w:rStyle w:val="Hyperlink"/>
                <w:noProof/>
                <w:lang w:val="en-US"/>
              </w:rPr>
              <w:t>3.5.</w:t>
            </w:r>
            <w:r w:rsidR="00A26DE2">
              <w:rPr>
                <w:rFonts w:eastAsiaTheme="minorEastAsia"/>
                <w:noProof/>
                <w:sz w:val="22"/>
                <w:lang w:val="en-GB" w:eastAsia="en-GB"/>
              </w:rPr>
              <w:tab/>
            </w:r>
            <w:r w:rsidR="00A26DE2" w:rsidRPr="00422807">
              <w:rPr>
                <w:rStyle w:val="Hyperlink"/>
                <w:noProof/>
                <w:lang w:val="en-US"/>
              </w:rPr>
              <w:t>Regulating with a holistic, flexible and risk based approach</w:t>
            </w:r>
            <w:r w:rsidR="00A26DE2">
              <w:rPr>
                <w:noProof/>
                <w:webHidden/>
              </w:rPr>
              <w:tab/>
            </w:r>
            <w:r w:rsidR="00A26DE2">
              <w:rPr>
                <w:noProof/>
                <w:webHidden/>
              </w:rPr>
              <w:fldChar w:fldCharType="begin"/>
            </w:r>
            <w:r w:rsidR="00A26DE2">
              <w:rPr>
                <w:noProof/>
                <w:webHidden/>
              </w:rPr>
              <w:instrText xml:space="preserve"> PAGEREF _Toc417569660 \h </w:instrText>
            </w:r>
            <w:r w:rsidR="00A26DE2">
              <w:rPr>
                <w:noProof/>
                <w:webHidden/>
              </w:rPr>
            </w:r>
            <w:r w:rsidR="00A26DE2">
              <w:rPr>
                <w:noProof/>
                <w:webHidden/>
              </w:rPr>
              <w:fldChar w:fldCharType="separate"/>
            </w:r>
            <w:r w:rsidR="00C4683B">
              <w:rPr>
                <w:noProof/>
                <w:webHidden/>
              </w:rPr>
              <w:t>6</w:t>
            </w:r>
            <w:r w:rsidR="00A26DE2">
              <w:rPr>
                <w:noProof/>
                <w:webHidden/>
              </w:rPr>
              <w:fldChar w:fldCharType="end"/>
            </w:r>
          </w:hyperlink>
        </w:p>
        <w:p w:rsidR="00A26DE2" w:rsidRDefault="00CB31C3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417569661" w:history="1">
            <w:r w:rsidR="00A26DE2" w:rsidRPr="00422807">
              <w:rPr>
                <w:rStyle w:val="Hyperlink"/>
                <w:noProof/>
                <w:lang w:val="en-US"/>
              </w:rPr>
              <w:t>3.6.</w:t>
            </w:r>
            <w:r w:rsidR="00A26DE2">
              <w:rPr>
                <w:rFonts w:eastAsiaTheme="minorEastAsia"/>
                <w:noProof/>
                <w:sz w:val="22"/>
                <w:lang w:val="en-GB" w:eastAsia="en-GB"/>
              </w:rPr>
              <w:tab/>
            </w:r>
            <w:r w:rsidR="00A26DE2" w:rsidRPr="00422807">
              <w:rPr>
                <w:rStyle w:val="Hyperlink"/>
                <w:noProof/>
                <w:lang w:val="en-US"/>
              </w:rPr>
              <w:t>Regulatory efficiency</w:t>
            </w:r>
            <w:r w:rsidR="00A26DE2">
              <w:rPr>
                <w:noProof/>
                <w:webHidden/>
              </w:rPr>
              <w:tab/>
            </w:r>
            <w:r w:rsidR="00A26DE2">
              <w:rPr>
                <w:noProof/>
                <w:webHidden/>
              </w:rPr>
              <w:fldChar w:fldCharType="begin"/>
            </w:r>
            <w:r w:rsidR="00A26DE2">
              <w:rPr>
                <w:noProof/>
                <w:webHidden/>
              </w:rPr>
              <w:instrText xml:space="preserve"> PAGEREF _Toc417569661 \h </w:instrText>
            </w:r>
            <w:r w:rsidR="00A26DE2">
              <w:rPr>
                <w:noProof/>
                <w:webHidden/>
              </w:rPr>
            </w:r>
            <w:r w:rsidR="00A26DE2">
              <w:rPr>
                <w:noProof/>
                <w:webHidden/>
              </w:rPr>
              <w:fldChar w:fldCharType="separate"/>
            </w:r>
            <w:r w:rsidR="00C4683B">
              <w:rPr>
                <w:noProof/>
                <w:webHidden/>
              </w:rPr>
              <w:t>6</w:t>
            </w:r>
            <w:r w:rsidR="00A26DE2">
              <w:rPr>
                <w:noProof/>
                <w:webHidden/>
              </w:rPr>
              <w:fldChar w:fldCharType="end"/>
            </w:r>
          </w:hyperlink>
        </w:p>
        <w:p w:rsidR="00A26DE2" w:rsidRDefault="00CB31C3">
          <w:pPr>
            <w:pStyle w:val="TOC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417569662" w:history="1">
            <w:r w:rsidR="00A26DE2" w:rsidRPr="00422807">
              <w:rPr>
                <w:rStyle w:val="Hyperlink"/>
                <w:noProof/>
                <w:lang w:val="en-US"/>
              </w:rPr>
              <w:t>4.</w:t>
            </w:r>
            <w:r w:rsidR="00A26DE2">
              <w:rPr>
                <w:rFonts w:eastAsiaTheme="minorEastAsia"/>
                <w:noProof/>
                <w:sz w:val="22"/>
                <w:lang w:val="en-GB" w:eastAsia="en-GB"/>
              </w:rPr>
              <w:tab/>
            </w:r>
            <w:r w:rsidR="00A26DE2" w:rsidRPr="00422807">
              <w:rPr>
                <w:rStyle w:val="Hyperlink"/>
                <w:noProof/>
                <w:lang w:val="en-US"/>
              </w:rPr>
              <w:t>CONCLUSION</w:t>
            </w:r>
            <w:r w:rsidR="00A26DE2">
              <w:rPr>
                <w:noProof/>
                <w:webHidden/>
              </w:rPr>
              <w:tab/>
            </w:r>
            <w:r w:rsidR="00A26DE2">
              <w:rPr>
                <w:noProof/>
                <w:webHidden/>
              </w:rPr>
              <w:fldChar w:fldCharType="begin"/>
            </w:r>
            <w:r w:rsidR="00A26DE2">
              <w:rPr>
                <w:noProof/>
                <w:webHidden/>
              </w:rPr>
              <w:instrText xml:space="preserve"> PAGEREF _Toc417569662 \h </w:instrText>
            </w:r>
            <w:r w:rsidR="00A26DE2">
              <w:rPr>
                <w:noProof/>
                <w:webHidden/>
              </w:rPr>
            </w:r>
            <w:r w:rsidR="00A26DE2">
              <w:rPr>
                <w:noProof/>
                <w:webHidden/>
              </w:rPr>
              <w:fldChar w:fldCharType="separate"/>
            </w:r>
            <w:r w:rsidR="00C4683B">
              <w:rPr>
                <w:noProof/>
                <w:webHidden/>
              </w:rPr>
              <w:t>7</w:t>
            </w:r>
            <w:r w:rsidR="00A26DE2">
              <w:rPr>
                <w:noProof/>
                <w:webHidden/>
              </w:rPr>
              <w:fldChar w:fldCharType="end"/>
            </w:r>
          </w:hyperlink>
        </w:p>
        <w:p w:rsidR="00275A80" w:rsidRPr="00421DFA" w:rsidRDefault="00A60D40" w:rsidP="00C21C30">
          <w:pPr>
            <w:jc w:val="both"/>
            <w:rPr>
              <w:rFonts w:ascii="Tahoma" w:hAnsi="Tahoma" w:cs="Tahoma"/>
              <w:color w:val="262626" w:themeColor="text1" w:themeTint="D9"/>
            </w:rPr>
          </w:pPr>
          <w:r w:rsidRPr="00421DFA">
            <w:rPr>
              <w:rFonts w:ascii="Tahoma" w:hAnsi="Tahoma" w:cs="Tahoma"/>
              <w:color w:val="262626" w:themeColor="text1" w:themeTint="D9"/>
              <w:szCs w:val="20"/>
            </w:rPr>
            <w:fldChar w:fldCharType="end"/>
          </w:r>
        </w:p>
      </w:sdtContent>
    </w:sdt>
    <w:p w:rsidR="00434EC5" w:rsidRPr="00421DFA" w:rsidRDefault="00434EC5" w:rsidP="00C21C30">
      <w:pPr>
        <w:jc w:val="both"/>
        <w:rPr>
          <w:rFonts w:ascii="Tahoma" w:hAnsi="Tahoma" w:cs="Tahoma"/>
          <w:color w:val="262626" w:themeColor="text1" w:themeTint="D9"/>
        </w:rPr>
      </w:pPr>
      <w:r w:rsidRPr="00421DFA">
        <w:rPr>
          <w:rFonts w:ascii="Tahoma" w:hAnsi="Tahoma" w:cs="Tahoma"/>
          <w:color w:val="262626" w:themeColor="text1" w:themeTint="D9"/>
        </w:rPr>
        <w:br w:type="page"/>
      </w:r>
    </w:p>
    <w:p w:rsidR="00434EC5" w:rsidRPr="00B553A9" w:rsidRDefault="005163E8" w:rsidP="00C21C30">
      <w:pPr>
        <w:pStyle w:val="Heading1"/>
        <w:jc w:val="both"/>
        <w:rPr>
          <w:color w:val="auto"/>
        </w:rPr>
      </w:pPr>
      <w:bookmarkStart w:id="2" w:name="_Toc417569654"/>
      <w:r w:rsidRPr="00B553A9">
        <w:rPr>
          <w:color w:val="auto"/>
        </w:rPr>
        <w:lastRenderedPageBreak/>
        <w:t>PURPOSE</w:t>
      </w:r>
      <w:bookmarkEnd w:id="2"/>
    </w:p>
    <w:p w:rsidR="00DD5B35" w:rsidRPr="00B553A9" w:rsidRDefault="005163E8" w:rsidP="00C21C30">
      <w:pPr>
        <w:jc w:val="both"/>
        <w:rPr>
          <w:rFonts w:asciiTheme="majorHAnsi" w:hAnsiTheme="majorHAnsi" w:cs="Tahoma"/>
          <w:lang w:val="en-US"/>
        </w:rPr>
      </w:pPr>
      <w:r w:rsidRPr="00B553A9">
        <w:rPr>
          <w:rFonts w:asciiTheme="majorHAnsi" w:hAnsiTheme="majorHAnsi" w:cs="Tahoma"/>
          <w:lang w:val="en-US"/>
        </w:rPr>
        <w:t xml:space="preserve">The purpose of this document is to provide the </w:t>
      </w:r>
      <w:r w:rsidR="00B553A9" w:rsidRPr="00B553A9">
        <w:rPr>
          <w:rFonts w:asciiTheme="majorHAnsi" w:hAnsiTheme="majorHAnsi" w:cs="Tahoma"/>
          <w:lang w:val="en-US"/>
        </w:rPr>
        <w:t>Reserve Bank of Australia</w:t>
      </w:r>
      <w:r w:rsidR="00E253FD" w:rsidRPr="00B553A9">
        <w:rPr>
          <w:rFonts w:asciiTheme="majorHAnsi" w:hAnsiTheme="majorHAnsi" w:cs="Tahoma"/>
          <w:lang w:val="en-US"/>
        </w:rPr>
        <w:t xml:space="preserve"> (</w:t>
      </w:r>
      <w:r w:rsidR="00DF1930" w:rsidRPr="00B553A9">
        <w:rPr>
          <w:rFonts w:asciiTheme="majorHAnsi" w:hAnsiTheme="majorHAnsi" w:cs="Tahoma"/>
          <w:lang w:val="en-US"/>
        </w:rPr>
        <w:t>hereinafter</w:t>
      </w:r>
      <w:r w:rsidR="00DF1930">
        <w:rPr>
          <w:rFonts w:asciiTheme="majorHAnsi" w:hAnsiTheme="majorHAnsi" w:cs="Tahoma"/>
          <w:lang w:val="en-US"/>
        </w:rPr>
        <w:t>, RBA</w:t>
      </w:r>
      <w:r w:rsidR="00E253FD" w:rsidRPr="00B553A9">
        <w:rPr>
          <w:rFonts w:asciiTheme="majorHAnsi" w:hAnsiTheme="majorHAnsi" w:cs="Tahoma"/>
          <w:lang w:val="en-US"/>
        </w:rPr>
        <w:t>)</w:t>
      </w:r>
      <w:r w:rsidRPr="00B553A9">
        <w:rPr>
          <w:rFonts w:asciiTheme="majorHAnsi" w:hAnsiTheme="majorHAnsi" w:cs="Tahoma"/>
          <w:lang w:val="en-US"/>
        </w:rPr>
        <w:t xml:space="preserve"> with Payvision</w:t>
      </w:r>
      <w:r w:rsidR="00DD5B35" w:rsidRPr="00B553A9">
        <w:rPr>
          <w:rFonts w:asciiTheme="majorHAnsi" w:hAnsiTheme="majorHAnsi" w:cs="Tahoma"/>
          <w:lang w:val="en-US"/>
        </w:rPr>
        <w:t xml:space="preserve"> B.V.</w:t>
      </w:r>
      <w:r w:rsidRPr="00B553A9">
        <w:rPr>
          <w:rFonts w:asciiTheme="majorHAnsi" w:hAnsiTheme="majorHAnsi" w:cs="Tahoma"/>
          <w:lang w:val="en-US"/>
        </w:rPr>
        <w:t xml:space="preserve">’s feedback on the </w:t>
      </w:r>
      <w:r w:rsidR="00EF1FED">
        <w:rPr>
          <w:rFonts w:asciiTheme="majorHAnsi" w:hAnsiTheme="majorHAnsi" w:cs="Tahoma"/>
          <w:lang w:val="en-US"/>
        </w:rPr>
        <w:t>I</w:t>
      </w:r>
      <w:r w:rsidR="00B553A9" w:rsidRPr="00B553A9">
        <w:rPr>
          <w:rFonts w:asciiTheme="majorHAnsi" w:hAnsiTheme="majorHAnsi" w:cs="Tahoma"/>
          <w:lang w:val="en-US"/>
        </w:rPr>
        <w:t xml:space="preserve">ssues </w:t>
      </w:r>
      <w:r w:rsidR="00EF1FED">
        <w:rPr>
          <w:rFonts w:asciiTheme="majorHAnsi" w:hAnsiTheme="majorHAnsi" w:cs="Tahoma"/>
          <w:lang w:val="en-US"/>
        </w:rPr>
        <w:t>P</w:t>
      </w:r>
      <w:r w:rsidR="00B553A9" w:rsidRPr="00B553A9">
        <w:rPr>
          <w:rFonts w:asciiTheme="majorHAnsi" w:hAnsiTheme="majorHAnsi" w:cs="Tahoma"/>
          <w:lang w:val="en-US"/>
        </w:rPr>
        <w:t>aper published in March 2015 regarding a potential review of the Card Payments Regulation</w:t>
      </w:r>
      <w:r w:rsidR="003A2FDA" w:rsidRPr="00B553A9">
        <w:rPr>
          <w:rFonts w:asciiTheme="majorHAnsi" w:hAnsiTheme="majorHAnsi" w:cs="Tahoma"/>
          <w:lang w:val="en-US"/>
        </w:rPr>
        <w:t>.</w:t>
      </w:r>
      <w:r w:rsidR="002C1803" w:rsidRPr="00B553A9">
        <w:rPr>
          <w:rFonts w:asciiTheme="majorHAnsi" w:hAnsiTheme="majorHAnsi" w:cs="Tahoma"/>
          <w:lang w:val="en-US"/>
        </w:rPr>
        <w:t xml:space="preserve"> </w:t>
      </w:r>
    </w:p>
    <w:p w:rsidR="00B553A9" w:rsidRPr="00D849BA" w:rsidRDefault="00B553A9" w:rsidP="00C21C30">
      <w:pPr>
        <w:jc w:val="both"/>
        <w:rPr>
          <w:rFonts w:asciiTheme="majorHAnsi" w:hAnsiTheme="majorHAnsi" w:cs="Tahoma"/>
          <w:color w:val="FF0000"/>
          <w:lang w:val="en-US"/>
        </w:rPr>
      </w:pPr>
    </w:p>
    <w:p w:rsidR="00DD5B35" w:rsidRPr="00B553A9" w:rsidRDefault="00DD5B35" w:rsidP="00C21C30">
      <w:pPr>
        <w:pStyle w:val="Default"/>
        <w:ind w:left="357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B553A9">
        <w:rPr>
          <w:rFonts w:asciiTheme="majorHAnsi" w:hAnsiTheme="majorHAnsi" w:cs="Tahoma"/>
          <w:color w:val="auto"/>
          <w:sz w:val="20"/>
          <w:szCs w:val="20"/>
        </w:rPr>
        <w:t>During the past decade, Payvision has developed a specialist Payment Service Provider suite of pr</w:t>
      </w:r>
      <w:r w:rsidR="00237806" w:rsidRPr="00B553A9">
        <w:rPr>
          <w:rFonts w:asciiTheme="majorHAnsi" w:hAnsiTheme="majorHAnsi" w:cs="Tahoma"/>
          <w:color w:val="auto"/>
          <w:sz w:val="20"/>
          <w:szCs w:val="20"/>
        </w:rPr>
        <w:t>oducts in the card-not-present p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ayment </w:t>
      </w:r>
      <w:r w:rsidR="00237806" w:rsidRPr="00B553A9">
        <w:rPr>
          <w:rFonts w:asciiTheme="majorHAnsi" w:hAnsiTheme="majorHAnsi" w:cs="Tahoma"/>
          <w:color w:val="auto"/>
          <w:sz w:val="20"/>
          <w:szCs w:val="20"/>
        </w:rPr>
        <w:t>s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ervices </w:t>
      </w:r>
      <w:r w:rsidR="00237806" w:rsidRPr="00B553A9">
        <w:rPr>
          <w:rFonts w:asciiTheme="majorHAnsi" w:hAnsiTheme="majorHAnsi" w:cs="Tahoma"/>
          <w:color w:val="auto"/>
          <w:sz w:val="20"/>
          <w:szCs w:val="20"/>
        </w:rPr>
        <w:t>i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>ndustry</w:t>
      </w:r>
      <w:r w:rsidR="00C700C2" w:rsidRPr="00B553A9">
        <w:rPr>
          <w:rFonts w:asciiTheme="majorHAnsi" w:hAnsiTheme="majorHAnsi" w:cs="Tahoma"/>
          <w:color w:val="auto"/>
          <w:sz w:val="20"/>
          <w:szCs w:val="20"/>
        </w:rPr>
        <w:t xml:space="preserve"> and it is now expanding fast</w:t>
      </w:r>
      <w:r w:rsidR="00237806" w:rsidRPr="00B553A9">
        <w:rPr>
          <w:rFonts w:asciiTheme="majorHAnsi" w:hAnsiTheme="majorHAnsi" w:cs="Tahoma"/>
          <w:color w:val="auto"/>
          <w:sz w:val="20"/>
          <w:szCs w:val="20"/>
        </w:rPr>
        <w:t xml:space="preserve"> in the card-p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>resent environment through innovative mobile payment</w:t>
      </w:r>
      <w:r w:rsidR="00C700C2" w:rsidRPr="00B553A9">
        <w:rPr>
          <w:rFonts w:asciiTheme="majorHAnsi" w:hAnsiTheme="majorHAnsi" w:cs="Tahoma"/>
          <w:color w:val="auto"/>
          <w:sz w:val="20"/>
          <w:szCs w:val="20"/>
        </w:rPr>
        <w:t>s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 and </w:t>
      </w:r>
      <w:r w:rsidR="00C700C2" w:rsidRPr="00B553A9">
        <w:rPr>
          <w:rFonts w:asciiTheme="majorHAnsi" w:hAnsiTheme="majorHAnsi" w:cs="Tahoma"/>
          <w:color w:val="auto"/>
          <w:sz w:val="20"/>
          <w:szCs w:val="20"/>
        </w:rPr>
        <w:t xml:space="preserve">innovative </w:t>
      </w:r>
      <w:proofErr w:type="spellStart"/>
      <w:r w:rsidRPr="00B553A9">
        <w:rPr>
          <w:rFonts w:asciiTheme="majorHAnsi" w:hAnsiTheme="majorHAnsi" w:cs="Tahoma"/>
          <w:color w:val="auto"/>
          <w:sz w:val="20"/>
          <w:szCs w:val="20"/>
        </w:rPr>
        <w:t>mPOS</w:t>
      </w:r>
      <w:proofErr w:type="spellEnd"/>
      <w:r w:rsidRPr="00B553A9">
        <w:rPr>
          <w:rStyle w:val="FootnoteReference"/>
          <w:rFonts w:asciiTheme="majorHAnsi" w:hAnsiTheme="majorHAnsi" w:cs="Tahoma"/>
          <w:color w:val="auto"/>
          <w:sz w:val="20"/>
          <w:szCs w:val="20"/>
        </w:rPr>
        <w:footnoteReference w:id="1"/>
      </w:r>
      <w:r w:rsidR="00E253FD" w:rsidRPr="00B553A9">
        <w:rPr>
          <w:rFonts w:asciiTheme="majorHAnsi" w:hAnsiTheme="majorHAnsi" w:cs="Tahoma"/>
          <w:color w:val="auto"/>
          <w:sz w:val="20"/>
          <w:szCs w:val="20"/>
        </w:rPr>
        <w:t xml:space="preserve"> solutions. As a result, a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cquiring </w:t>
      </w:r>
      <w:r w:rsidR="00E253FD" w:rsidRPr="00B553A9">
        <w:rPr>
          <w:rFonts w:asciiTheme="majorHAnsi" w:hAnsiTheme="majorHAnsi" w:cs="Tahoma"/>
          <w:color w:val="auto"/>
          <w:sz w:val="20"/>
          <w:szCs w:val="20"/>
        </w:rPr>
        <w:t>b</w:t>
      </w:r>
      <w:r w:rsidR="00237806" w:rsidRPr="00B553A9">
        <w:rPr>
          <w:rFonts w:asciiTheme="majorHAnsi" w:hAnsiTheme="majorHAnsi" w:cs="Tahoma"/>
          <w:color w:val="auto"/>
          <w:sz w:val="20"/>
          <w:szCs w:val="20"/>
        </w:rPr>
        <w:t>anks and other f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>inancial and non-</w:t>
      </w:r>
      <w:r w:rsidR="00237806" w:rsidRPr="00B553A9">
        <w:rPr>
          <w:rFonts w:asciiTheme="majorHAnsi" w:hAnsiTheme="majorHAnsi" w:cs="Tahoma"/>
          <w:color w:val="auto"/>
          <w:sz w:val="20"/>
          <w:szCs w:val="20"/>
        </w:rPr>
        <w:t>f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inancial </w:t>
      </w:r>
      <w:r w:rsidR="00237806" w:rsidRPr="00B553A9">
        <w:rPr>
          <w:rFonts w:asciiTheme="majorHAnsi" w:hAnsiTheme="majorHAnsi" w:cs="Tahoma"/>
          <w:color w:val="auto"/>
          <w:sz w:val="20"/>
          <w:szCs w:val="20"/>
        </w:rPr>
        <w:t>i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nstitutions have increasingly relied on outsourcing card-payment related services to Payvision. As a payment provider certified by the leading </w:t>
      </w:r>
      <w:r w:rsidR="00B7014C" w:rsidRPr="00B553A9">
        <w:rPr>
          <w:rFonts w:asciiTheme="majorHAnsi" w:hAnsiTheme="majorHAnsi" w:cs="Tahoma"/>
          <w:color w:val="auto"/>
          <w:sz w:val="20"/>
          <w:szCs w:val="20"/>
        </w:rPr>
        <w:t>Card Schemes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 such as Visa, </w:t>
      </w:r>
      <w:r w:rsidR="005E080C" w:rsidRPr="00B553A9">
        <w:rPr>
          <w:rFonts w:asciiTheme="majorHAnsi" w:hAnsiTheme="majorHAnsi" w:cs="Tahoma"/>
          <w:color w:val="auto"/>
          <w:sz w:val="20"/>
          <w:szCs w:val="20"/>
        </w:rPr>
        <w:t>MasterCard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, American Express, JCB, and China </w:t>
      </w:r>
      <w:proofErr w:type="spellStart"/>
      <w:r w:rsidRPr="00B553A9">
        <w:rPr>
          <w:rFonts w:asciiTheme="majorHAnsi" w:hAnsiTheme="majorHAnsi" w:cs="Tahoma"/>
          <w:color w:val="auto"/>
          <w:sz w:val="20"/>
          <w:szCs w:val="20"/>
        </w:rPr>
        <w:t>UnionPay</w:t>
      </w:r>
      <w:proofErr w:type="spellEnd"/>
      <w:r w:rsidR="005E080C" w:rsidRPr="00B553A9">
        <w:rPr>
          <w:rFonts w:asciiTheme="majorHAnsi" w:hAnsiTheme="majorHAnsi" w:cs="Tahoma"/>
          <w:color w:val="auto"/>
          <w:sz w:val="20"/>
          <w:szCs w:val="20"/>
        </w:rPr>
        <w:t>,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proofErr w:type="spellStart"/>
      <w:r w:rsidRPr="00B553A9">
        <w:rPr>
          <w:rFonts w:asciiTheme="majorHAnsi" w:hAnsiTheme="majorHAnsi" w:cs="Tahoma"/>
          <w:color w:val="auto"/>
          <w:sz w:val="20"/>
          <w:szCs w:val="20"/>
        </w:rPr>
        <w:t>Payvision</w:t>
      </w:r>
      <w:proofErr w:type="spellEnd"/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 can offer secure payment processing solutions globally.</w:t>
      </w:r>
    </w:p>
    <w:p w:rsidR="00DD5B35" w:rsidRPr="00B553A9" w:rsidRDefault="00DD5B35" w:rsidP="00C21C30">
      <w:pPr>
        <w:pStyle w:val="Default"/>
        <w:jc w:val="both"/>
        <w:rPr>
          <w:rFonts w:asciiTheme="majorHAnsi" w:hAnsiTheme="majorHAnsi" w:cs="Tahoma"/>
          <w:color w:val="auto"/>
          <w:sz w:val="20"/>
          <w:szCs w:val="20"/>
        </w:rPr>
      </w:pPr>
    </w:p>
    <w:p w:rsidR="00DD5B35" w:rsidRPr="00B553A9" w:rsidRDefault="00DD5B35" w:rsidP="00C21C30">
      <w:pPr>
        <w:pStyle w:val="Default"/>
        <w:ind w:left="357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B553A9">
        <w:rPr>
          <w:rFonts w:asciiTheme="majorHAnsi" w:hAnsiTheme="majorHAnsi" w:cs="Tahoma"/>
          <w:color w:val="auto"/>
          <w:sz w:val="20"/>
          <w:szCs w:val="20"/>
        </w:rPr>
        <w:t>In 2011 Payvision was granted by the Dutch Central Bank</w:t>
      </w:r>
      <w:r w:rsidR="005E080C" w:rsidRPr="00B553A9">
        <w:rPr>
          <w:rFonts w:asciiTheme="majorHAnsi" w:hAnsiTheme="majorHAnsi" w:cs="Tahoma"/>
          <w:color w:val="auto"/>
          <w:sz w:val="20"/>
          <w:szCs w:val="20"/>
        </w:rPr>
        <w:t xml:space="preserve"> (DNB)</w:t>
      </w:r>
      <w:r w:rsidR="00237806" w:rsidRPr="00B553A9">
        <w:rPr>
          <w:rFonts w:asciiTheme="majorHAnsi" w:hAnsiTheme="majorHAnsi" w:cs="Tahoma"/>
          <w:color w:val="auto"/>
          <w:sz w:val="20"/>
          <w:szCs w:val="20"/>
        </w:rPr>
        <w:t xml:space="preserve"> a </w:t>
      </w:r>
      <w:r w:rsidR="008F78F1" w:rsidRPr="00B553A9">
        <w:rPr>
          <w:rFonts w:asciiTheme="majorHAnsi" w:hAnsiTheme="majorHAnsi" w:cs="Tahoma"/>
          <w:color w:val="auto"/>
          <w:sz w:val="20"/>
          <w:szCs w:val="20"/>
        </w:rPr>
        <w:t>P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ayment </w:t>
      </w:r>
      <w:r w:rsidR="00237806" w:rsidRPr="00B553A9">
        <w:rPr>
          <w:rFonts w:asciiTheme="majorHAnsi" w:hAnsiTheme="majorHAnsi" w:cs="Tahoma"/>
          <w:color w:val="auto"/>
          <w:sz w:val="20"/>
          <w:szCs w:val="20"/>
        </w:rPr>
        <w:t>I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>nstitution (‘PI’) license</w:t>
      </w:r>
      <w:r w:rsidR="00057971" w:rsidRPr="00B553A9">
        <w:rPr>
          <w:rStyle w:val="FootnoteReference"/>
          <w:rFonts w:asciiTheme="majorHAnsi" w:hAnsiTheme="majorHAnsi" w:cs="Tahoma"/>
          <w:color w:val="auto"/>
          <w:sz w:val="20"/>
          <w:szCs w:val="20"/>
        </w:rPr>
        <w:footnoteReference w:id="2"/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 under the E</w:t>
      </w:r>
      <w:r w:rsidR="005E080C" w:rsidRPr="00B553A9">
        <w:rPr>
          <w:rFonts w:asciiTheme="majorHAnsi" w:hAnsiTheme="majorHAnsi" w:cs="Tahoma"/>
          <w:color w:val="auto"/>
          <w:sz w:val="20"/>
          <w:szCs w:val="20"/>
        </w:rPr>
        <w:t xml:space="preserve">uropean 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>U</w:t>
      </w:r>
      <w:r w:rsidR="005E080C" w:rsidRPr="00B553A9">
        <w:rPr>
          <w:rFonts w:asciiTheme="majorHAnsi" w:hAnsiTheme="majorHAnsi" w:cs="Tahoma"/>
          <w:color w:val="auto"/>
          <w:sz w:val="20"/>
          <w:szCs w:val="20"/>
        </w:rPr>
        <w:t>nion (EU)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r w:rsidRPr="00B553A9">
        <w:rPr>
          <w:rFonts w:asciiTheme="majorHAnsi" w:hAnsiTheme="majorHAnsi" w:cs="Tahoma"/>
          <w:i/>
          <w:color w:val="auto"/>
          <w:sz w:val="20"/>
          <w:szCs w:val="20"/>
        </w:rPr>
        <w:t>Payment Services Directive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 (‘PSD’)</w:t>
      </w:r>
      <w:r w:rsidR="00057971" w:rsidRPr="00B553A9">
        <w:rPr>
          <w:rStyle w:val="FootnoteReference"/>
          <w:color w:val="auto"/>
        </w:rPr>
        <w:footnoteReference w:id="3"/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. The PSD provides a system of licenses under EU law for </w:t>
      </w:r>
      <w:r w:rsidR="00237806" w:rsidRPr="00B553A9">
        <w:rPr>
          <w:rFonts w:asciiTheme="majorHAnsi" w:hAnsiTheme="majorHAnsi" w:cs="Tahoma"/>
          <w:color w:val="auto"/>
          <w:sz w:val="20"/>
          <w:szCs w:val="20"/>
        </w:rPr>
        <w:t>PIs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, such as those organizations providing payment services which are not licensed banks.  The PSD determines the European standard under which </w:t>
      </w:r>
      <w:r w:rsidR="00237806" w:rsidRPr="00B553A9">
        <w:rPr>
          <w:rFonts w:asciiTheme="majorHAnsi" w:hAnsiTheme="majorHAnsi" w:cs="Tahoma"/>
          <w:color w:val="auto"/>
          <w:sz w:val="20"/>
          <w:szCs w:val="20"/>
        </w:rPr>
        <w:t>PIs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 have to operate as well as a framework for central banks </w:t>
      </w:r>
      <w:r w:rsidR="00C700C2" w:rsidRPr="00B553A9">
        <w:rPr>
          <w:rFonts w:asciiTheme="majorHAnsi" w:hAnsiTheme="majorHAnsi" w:cs="Tahoma"/>
          <w:color w:val="auto"/>
          <w:sz w:val="20"/>
          <w:szCs w:val="20"/>
        </w:rPr>
        <w:t>to supervise such institutions. In Q1 2012, as a result of receiving the PI license</w:t>
      </w:r>
      <w:r w:rsidR="00AE4E33" w:rsidRPr="00B553A9">
        <w:rPr>
          <w:rFonts w:asciiTheme="majorHAnsi" w:hAnsiTheme="majorHAnsi" w:cs="Tahoma"/>
          <w:color w:val="auto"/>
          <w:sz w:val="20"/>
          <w:szCs w:val="20"/>
        </w:rPr>
        <w:t>,</w:t>
      </w:r>
      <w:r w:rsidR="005E080C" w:rsidRPr="00B553A9">
        <w:rPr>
          <w:rFonts w:asciiTheme="majorHAnsi" w:hAnsiTheme="majorHAnsi" w:cs="Tahoma"/>
          <w:color w:val="auto"/>
          <w:sz w:val="20"/>
          <w:szCs w:val="20"/>
        </w:rPr>
        <w:t xml:space="preserve"> Payvision also beca</w:t>
      </w:r>
      <w:r w:rsidR="00C700C2" w:rsidRPr="00B553A9">
        <w:rPr>
          <w:rFonts w:asciiTheme="majorHAnsi" w:hAnsiTheme="majorHAnsi" w:cs="Tahoma"/>
          <w:color w:val="auto"/>
          <w:sz w:val="20"/>
          <w:szCs w:val="20"/>
        </w:rPr>
        <w:t xml:space="preserve">me a principal acquiring member of Visa Europe and </w:t>
      </w:r>
      <w:proofErr w:type="spellStart"/>
      <w:r w:rsidR="00C700C2" w:rsidRPr="00B553A9">
        <w:rPr>
          <w:rFonts w:asciiTheme="majorHAnsi" w:hAnsiTheme="majorHAnsi" w:cs="Tahoma"/>
          <w:color w:val="auto"/>
          <w:sz w:val="20"/>
          <w:szCs w:val="20"/>
        </w:rPr>
        <w:t>Mastercard</w:t>
      </w:r>
      <w:proofErr w:type="spellEnd"/>
      <w:r w:rsidR="00C700C2" w:rsidRPr="00B553A9">
        <w:rPr>
          <w:rFonts w:asciiTheme="majorHAnsi" w:hAnsiTheme="majorHAnsi" w:cs="Tahoma"/>
          <w:color w:val="auto"/>
          <w:sz w:val="20"/>
          <w:szCs w:val="20"/>
        </w:rPr>
        <w:t xml:space="preserve"> Worldwide; and was then invited to sit and participate on a number of </w:t>
      </w:r>
      <w:r w:rsidR="005E080C" w:rsidRPr="00B553A9">
        <w:rPr>
          <w:rFonts w:asciiTheme="majorHAnsi" w:hAnsiTheme="majorHAnsi" w:cs="Tahoma"/>
          <w:color w:val="auto"/>
          <w:sz w:val="20"/>
          <w:szCs w:val="20"/>
        </w:rPr>
        <w:t>industry</w:t>
      </w:r>
      <w:r w:rsidR="00C700C2" w:rsidRPr="00B553A9">
        <w:rPr>
          <w:rFonts w:asciiTheme="majorHAnsi" w:hAnsiTheme="majorHAnsi" w:cs="Tahoma"/>
          <w:color w:val="auto"/>
          <w:sz w:val="20"/>
          <w:szCs w:val="20"/>
        </w:rPr>
        <w:t xml:space="preserve"> panels and working groups managed by the </w:t>
      </w:r>
      <w:r w:rsidR="00B7014C" w:rsidRPr="00B553A9">
        <w:rPr>
          <w:rFonts w:asciiTheme="majorHAnsi" w:hAnsiTheme="majorHAnsi" w:cs="Tahoma"/>
          <w:color w:val="auto"/>
          <w:sz w:val="20"/>
          <w:szCs w:val="20"/>
        </w:rPr>
        <w:t>Card Schemes</w:t>
      </w:r>
      <w:r w:rsidR="00B017EB" w:rsidRPr="00B553A9">
        <w:rPr>
          <w:rFonts w:asciiTheme="majorHAnsi" w:hAnsiTheme="majorHAnsi" w:cs="Tahoma"/>
          <w:color w:val="auto"/>
          <w:sz w:val="20"/>
          <w:szCs w:val="20"/>
        </w:rPr>
        <w:t xml:space="preserve"> and other European stakeholders</w:t>
      </w:r>
      <w:r w:rsidR="00C700C2" w:rsidRPr="00B553A9">
        <w:rPr>
          <w:rFonts w:asciiTheme="majorHAnsi" w:hAnsiTheme="majorHAnsi" w:cs="Tahoma"/>
          <w:color w:val="auto"/>
          <w:sz w:val="20"/>
          <w:szCs w:val="20"/>
        </w:rPr>
        <w:t>.</w:t>
      </w:r>
      <w:r w:rsidR="00155953" w:rsidRPr="00B553A9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 In Q3 2014, </w:t>
      </w:r>
      <w:r w:rsidR="0039675B" w:rsidRPr="00B553A9">
        <w:rPr>
          <w:rFonts w:asciiTheme="majorHAnsi" w:hAnsiTheme="majorHAnsi" w:cs="Tahoma"/>
          <w:color w:val="auto"/>
          <w:sz w:val="20"/>
          <w:szCs w:val="20"/>
        </w:rPr>
        <w:t>Union Pay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 International has granted </w:t>
      </w:r>
      <w:proofErr w:type="spellStart"/>
      <w:r w:rsidR="008654EF" w:rsidRPr="00B553A9">
        <w:rPr>
          <w:rFonts w:asciiTheme="majorHAnsi" w:hAnsiTheme="majorHAnsi" w:cs="Tahoma"/>
          <w:color w:val="auto"/>
          <w:sz w:val="20"/>
          <w:szCs w:val="20"/>
        </w:rPr>
        <w:t>Payvision</w:t>
      </w:r>
      <w:proofErr w:type="spellEnd"/>
      <w:r w:rsidR="00C15CE4" w:rsidRPr="00B553A9">
        <w:rPr>
          <w:rFonts w:asciiTheme="majorHAnsi" w:hAnsiTheme="majorHAnsi" w:cs="Tahoma"/>
          <w:color w:val="auto"/>
          <w:sz w:val="20"/>
          <w:szCs w:val="20"/>
        </w:rPr>
        <w:t xml:space="preserve"> the </w:t>
      </w:r>
      <w:proofErr w:type="spellStart"/>
      <w:r w:rsidR="00C15CE4" w:rsidRPr="00B553A9">
        <w:rPr>
          <w:rFonts w:asciiTheme="majorHAnsi" w:hAnsiTheme="majorHAnsi" w:cs="Tahoma"/>
          <w:color w:val="auto"/>
          <w:sz w:val="20"/>
          <w:szCs w:val="20"/>
        </w:rPr>
        <w:t>UnionP</w:t>
      </w:r>
      <w:r w:rsidR="00126BB1" w:rsidRPr="00B553A9">
        <w:rPr>
          <w:rFonts w:asciiTheme="majorHAnsi" w:hAnsiTheme="majorHAnsi" w:cs="Tahoma"/>
          <w:color w:val="auto"/>
          <w:sz w:val="20"/>
          <w:szCs w:val="20"/>
        </w:rPr>
        <w:t>ay</w:t>
      </w:r>
      <w:proofErr w:type="spellEnd"/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 Online Payment</w:t>
      </w:r>
      <w:r w:rsidR="00126BB1" w:rsidRPr="00B553A9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Acquirer license </w:t>
      </w:r>
      <w:r w:rsidR="008654EF" w:rsidRPr="00B553A9">
        <w:rPr>
          <w:rFonts w:asciiTheme="majorHAnsi" w:hAnsiTheme="majorHAnsi" w:cs="Tahoma"/>
          <w:color w:val="auto"/>
          <w:sz w:val="20"/>
          <w:szCs w:val="20"/>
        </w:rPr>
        <w:t>(“UPOP”)</w:t>
      </w:r>
      <w:r w:rsidR="00F300AA" w:rsidRPr="00B553A9">
        <w:rPr>
          <w:rFonts w:asciiTheme="majorHAnsi" w:hAnsiTheme="majorHAnsi" w:cs="Tahoma"/>
          <w:color w:val="auto"/>
          <w:sz w:val="20"/>
          <w:szCs w:val="20"/>
        </w:rPr>
        <w:t>, which allows Payvision to operate in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r w:rsidR="008654EF" w:rsidRPr="00B553A9">
        <w:rPr>
          <w:rFonts w:asciiTheme="majorHAnsi" w:hAnsiTheme="majorHAnsi" w:cs="Tahoma"/>
          <w:color w:val="auto"/>
          <w:sz w:val="20"/>
          <w:szCs w:val="20"/>
        </w:rPr>
        <w:t xml:space="preserve">the 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>Europe</w:t>
      </w:r>
      <w:r w:rsidR="008654EF" w:rsidRPr="00B553A9">
        <w:rPr>
          <w:rFonts w:asciiTheme="majorHAnsi" w:hAnsiTheme="majorHAnsi" w:cs="Tahoma"/>
          <w:color w:val="auto"/>
          <w:sz w:val="20"/>
          <w:szCs w:val="20"/>
        </w:rPr>
        <w:t>an Union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, </w:t>
      </w:r>
      <w:r w:rsidR="008654EF" w:rsidRPr="00B553A9">
        <w:rPr>
          <w:rFonts w:asciiTheme="majorHAnsi" w:hAnsiTheme="majorHAnsi" w:cs="Tahoma"/>
          <w:color w:val="auto"/>
          <w:sz w:val="20"/>
          <w:szCs w:val="20"/>
        </w:rPr>
        <w:t xml:space="preserve">the United States 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and Japan. The </w:t>
      </w:r>
      <w:r w:rsidR="00C15CE4" w:rsidRPr="00B553A9">
        <w:rPr>
          <w:rFonts w:asciiTheme="majorHAnsi" w:hAnsiTheme="majorHAnsi" w:cs="Tahoma"/>
          <w:color w:val="auto"/>
          <w:sz w:val="20"/>
          <w:szCs w:val="20"/>
        </w:rPr>
        <w:t xml:space="preserve">UPOP 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license could be further extended to Australia once </w:t>
      </w:r>
      <w:r w:rsidR="00C15CE4" w:rsidRPr="00B553A9">
        <w:rPr>
          <w:rFonts w:asciiTheme="majorHAnsi" w:hAnsiTheme="majorHAnsi" w:cs="Tahoma"/>
          <w:color w:val="auto"/>
          <w:sz w:val="20"/>
          <w:szCs w:val="20"/>
        </w:rPr>
        <w:t>Payvision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r w:rsidR="00F300AA" w:rsidRPr="00B553A9">
        <w:rPr>
          <w:rFonts w:asciiTheme="majorHAnsi" w:hAnsiTheme="majorHAnsi" w:cs="Tahoma"/>
          <w:color w:val="auto"/>
          <w:sz w:val="20"/>
          <w:szCs w:val="20"/>
        </w:rPr>
        <w:t>gains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r w:rsidR="0039675B" w:rsidRPr="00B553A9">
        <w:rPr>
          <w:rFonts w:asciiTheme="majorHAnsi" w:hAnsiTheme="majorHAnsi" w:cs="Tahoma"/>
          <w:color w:val="auto"/>
          <w:sz w:val="20"/>
          <w:szCs w:val="20"/>
        </w:rPr>
        <w:t xml:space="preserve">access 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to serve as an </w:t>
      </w:r>
      <w:r w:rsidR="00A60EF3" w:rsidRPr="00B553A9">
        <w:rPr>
          <w:rFonts w:asciiTheme="majorHAnsi" w:hAnsiTheme="majorHAnsi" w:cs="Tahoma"/>
          <w:color w:val="auto"/>
          <w:sz w:val="20"/>
          <w:szCs w:val="20"/>
        </w:rPr>
        <w:t>a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cquirer </w:t>
      </w:r>
      <w:r w:rsidR="00F300AA" w:rsidRPr="00B553A9">
        <w:rPr>
          <w:rFonts w:asciiTheme="majorHAnsi" w:hAnsiTheme="majorHAnsi" w:cs="Tahoma"/>
          <w:color w:val="auto"/>
          <w:sz w:val="20"/>
          <w:szCs w:val="20"/>
        </w:rPr>
        <w:t>there</w:t>
      </w:r>
      <w:r w:rsidR="00D21FC2" w:rsidRPr="00B553A9">
        <w:rPr>
          <w:rFonts w:asciiTheme="majorHAnsi" w:hAnsiTheme="majorHAnsi" w:cs="Tahoma"/>
          <w:color w:val="auto"/>
          <w:sz w:val="20"/>
          <w:szCs w:val="20"/>
        </w:rPr>
        <w:t xml:space="preserve">. </w:t>
      </w:r>
      <w:r w:rsidR="00277493" w:rsidRPr="00B553A9">
        <w:rPr>
          <w:rFonts w:asciiTheme="majorHAnsi" w:hAnsiTheme="majorHAnsi" w:cs="Tahoma"/>
          <w:color w:val="auto"/>
          <w:sz w:val="20"/>
          <w:szCs w:val="20"/>
        </w:rPr>
        <w:t>Furthermore, o</w:t>
      </w:r>
      <w:r w:rsidR="005C57F6" w:rsidRPr="00B553A9">
        <w:rPr>
          <w:rFonts w:asciiTheme="majorHAnsi" w:hAnsiTheme="majorHAnsi" w:cs="Tahoma"/>
          <w:color w:val="auto"/>
          <w:sz w:val="20"/>
          <w:szCs w:val="20"/>
        </w:rPr>
        <w:t xml:space="preserve">n </w:t>
      </w:r>
      <w:r w:rsidR="0039675B" w:rsidRPr="00B553A9">
        <w:rPr>
          <w:rFonts w:asciiTheme="majorHAnsi" w:hAnsiTheme="majorHAnsi" w:cs="Tahoma"/>
          <w:color w:val="auto"/>
          <w:sz w:val="20"/>
          <w:szCs w:val="20"/>
        </w:rPr>
        <w:t xml:space="preserve">1 </w:t>
      </w:r>
      <w:r w:rsidR="005C57F6" w:rsidRPr="00B553A9">
        <w:rPr>
          <w:rFonts w:asciiTheme="majorHAnsi" w:hAnsiTheme="majorHAnsi" w:cs="Tahoma"/>
          <w:color w:val="auto"/>
          <w:sz w:val="20"/>
          <w:szCs w:val="20"/>
        </w:rPr>
        <w:t>October, 2014, Payvision officially</w:t>
      </w:r>
      <w:r w:rsidR="00277493" w:rsidRPr="00B553A9">
        <w:rPr>
          <w:rFonts w:asciiTheme="majorHAnsi" w:hAnsiTheme="majorHAnsi" w:cs="Tahoma"/>
          <w:color w:val="auto"/>
          <w:sz w:val="20"/>
          <w:szCs w:val="20"/>
        </w:rPr>
        <w:t xml:space="preserve"> became</w:t>
      </w:r>
      <w:r w:rsidR="005C57F6" w:rsidRPr="00B553A9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r w:rsidR="00D975CD" w:rsidRPr="00B553A9">
        <w:rPr>
          <w:rFonts w:asciiTheme="majorHAnsi" w:hAnsiTheme="majorHAnsi" w:cs="Tahoma"/>
          <w:color w:val="auto"/>
          <w:sz w:val="20"/>
          <w:szCs w:val="20"/>
        </w:rPr>
        <w:t>a member</w:t>
      </w:r>
      <w:r w:rsidR="005C57F6" w:rsidRPr="00B553A9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r w:rsidR="00277493" w:rsidRPr="00B553A9">
        <w:rPr>
          <w:rFonts w:asciiTheme="majorHAnsi" w:hAnsiTheme="majorHAnsi" w:cs="Tahoma"/>
          <w:color w:val="auto"/>
          <w:sz w:val="20"/>
          <w:szCs w:val="20"/>
        </w:rPr>
        <w:t xml:space="preserve">of </w:t>
      </w:r>
      <w:r w:rsidR="005C57F6" w:rsidRPr="00B553A9">
        <w:rPr>
          <w:rFonts w:asciiTheme="majorHAnsi" w:hAnsiTheme="majorHAnsi" w:cs="Tahoma"/>
          <w:color w:val="auto"/>
          <w:sz w:val="20"/>
          <w:szCs w:val="20"/>
        </w:rPr>
        <w:t>the Japan Consumer Credit Association (“JCA”). Th</w:t>
      </w:r>
      <w:r w:rsidR="00277493" w:rsidRPr="00B553A9">
        <w:rPr>
          <w:rFonts w:asciiTheme="majorHAnsi" w:hAnsiTheme="majorHAnsi" w:cs="Tahoma"/>
          <w:color w:val="auto"/>
          <w:sz w:val="20"/>
          <w:szCs w:val="20"/>
        </w:rPr>
        <w:t>is</w:t>
      </w:r>
      <w:r w:rsidR="005C57F6" w:rsidRPr="00B553A9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r w:rsidR="00277493" w:rsidRPr="00B553A9">
        <w:rPr>
          <w:rFonts w:asciiTheme="majorHAnsi" w:hAnsiTheme="majorHAnsi" w:cs="Tahoma"/>
          <w:color w:val="auto"/>
          <w:sz w:val="20"/>
          <w:szCs w:val="20"/>
        </w:rPr>
        <w:t>mirrors</w:t>
      </w:r>
      <w:r w:rsidR="005C57F6" w:rsidRPr="00B553A9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proofErr w:type="spellStart"/>
      <w:r w:rsidR="005C57F6" w:rsidRPr="00B553A9">
        <w:rPr>
          <w:rFonts w:asciiTheme="majorHAnsi" w:hAnsiTheme="majorHAnsi" w:cs="Tahoma"/>
          <w:color w:val="auto"/>
          <w:sz w:val="20"/>
          <w:szCs w:val="20"/>
        </w:rPr>
        <w:t>Payvision’s</w:t>
      </w:r>
      <w:proofErr w:type="spellEnd"/>
      <w:r w:rsidR="005C57F6" w:rsidRPr="00B553A9">
        <w:rPr>
          <w:rFonts w:asciiTheme="majorHAnsi" w:hAnsiTheme="majorHAnsi" w:cs="Tahoma"/>
          <w:color w:val="auto"/>
          <w:sz w:val="20"/>
          <w:szCs w:val="20"/>
        </w:rPr>
        <w:t xml:space="preserve"> commitment to be a </w:t>
      </w:r>
      <w:r w:rsidR="00277493" w:rsidRPr="00B553A9">
        <w:rPr>
          <w:rFonts w:asciiTheme="majorHAnsi" w:hAnsiTheme="majorHAnsi" w:cs="Tahoma"/>
          <w:color w:val="auto"/>
          <w:sz w:val="20"/>
          <w:szCs w:val="20"/>
        </w:rPr>
        <w:t>sound</w:t>
      </w:r>
      <w:r w:rsidR="005C57F6" w:rsidRPr="00B553A9">
        <w:rPr>
          <w:rFonts w:asciiTheme="majorHAnsi" w:hAnsiTheme="majorHAnsi" w:cs="Tahoma"/>
          <w:color w:val="auto"/>
          <w:sz w:val="20"/>
          <w:szCs w:val="20"/>
        </w:rPr>
        <w:t xml:space="preserve"> player in the Japanese payments industry.</w:t>
      </w:r>
    </w:p>
    <w:p w:rsidR="00DD5B35" w:rsidRPr="00B553A9" w:rsidRDefault="00DD5B35" w:rsidP="00C21C30">
      <w:pPr>
        <w:pStyle w:val="Default"/>
        <w:jc w:val="both"/>
        <w:rPr>
          <w:rFonts w:asciiTheme="majorHAnsi" w:hAnsiTheme="majorHAnsi" w:cs="Tahoma"/>
          <w:color w:val="auto"/>
          <w:sz w:val="20"/>
          <w:szCs w:val="20"/>
        </w:rPr>
      </w:pPr>
    </w:p>
    <w:p w:rsidR="00DD5B35" w:rsidRPr="00B553A9" w:rsidRDefault="00DD5B35" w:rsidP="00C21C30">
      <w:pPr>
        <w:pStyle w:val="Default"/>
        <w:ind w:left="357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Payvision </w:t>
      </w:r>
      <w:r w:rsidR="00C700C2" w:rsidRPr="00B553A9">
        <w:rPr>
          <w:rFonts w:asciiTheme="majorHAnsi" w:hAnsiTheme="majorHAnsi" w:cs="Tahoma"/>
          <w:color w:val="auto"/>
          <w:sz w:val="20"/>
          <w:szCs w:val="20"/>
        </w:rPr>
        <w:t>operates globally with offices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 xml:space="preserve"> located in The Netherlands</w:t>
      </w:r>
      <w:r w:rsidR="00C700C2" w:rsidRPr="00B553A9">
        <w:rPr>
          <w:rFonts w:asciiTheme="majorHAnsi" w:hAnsiTheme="majorHAnsi" w:cs="Tahoma"/>
          <w:color w:val="auto"/>
          <w:sz w:val="20"/>
          <w:szCs w:val="20"/>
        </w:rPr>
        <w:t xml:space="preserve"> (HQ)</w:t>
      </w:r>
      <w:r w:rsidRPr="00B553A9">
        <w:rPr>
          <w:rFonts w:asciiTheme="majorHAnsi" w:hAnsiTheme="majorHAnsi" w:cs="Tahoma"/>
          <w:color w:val="auto"/>
          <w:sz w:val="20"/>
          <w:szCs w:val="20"/>
        </w:rPr>
        <w:t>, Spain, France, Germany, the UK, the USA, Singapore, Hong Kong, Macau, Japan, and New Zealand.</w:t>
      </w:r>
    </w:p>
    <w:p w:rsidR="005E080C" w:rsidRPr="00B553A9" w:rsidRDefault="005E080C" w:rsidP="00C21C30">
      <w:pPr>
        <w:spacing w:after="200"/>
        <w:ind w:left="0"/>
        <w:jc w:val="both"/>
        <w:rPr>
          <w:rFonts w:ascii="Tahoma" w:eastAsiaTheme="majorEastAsia" w:hAnsi="Tahoma" w:cs="Tahoma"/>
          <w:b/>
          <w:bCs/>
          <w:caps/>
          <w:sz w:val="28"/>
          <w:szCs w:val="28"/>
          <w:lang w:val="en-US"/>
        </w:rPr>
      </w:pPr>
    </w:p>
    <w:p w:rsidR="00D01625" w:rsidRDefault="00D01625">
      <w:pPr>
        <w:spacing w:after="200"/>
        <w:ind w:left="0"/>
        <w:rPr>
          <w:rFonts w:ascii="Tahoma" w:eastAsiaTheme="majorEastAsia" w:hAnsi="Tahoma" w:cs="Tahoma"/>
          <w:b/>
          <w:bCs/>
          <w:caps/>
          <w:color w:val="FF0000"/>
          <w:sz w:val="28"/>
          <w:szCs w:val="28"/>
          <w:lang w:val="en-US"/>
        </w:rPr>
      </w:pPr>
      <w:r>
        <w:rPr>
          <w:color w:val="FF0000"/>
          <w:lang w:val="en-US"/>
        </w:rPr>
        <w:br w:type="page"/>
      </w:r>
    </w:p>
    <w:p w:rsidR="005163E8" w:rsidRPr="00CF74FA" w:rsidRDefault="00155953" w:rsidP="00C21C30">
      <w:pPr>
        <w:pStyle w:val="Heading1"/>
        <w:jc w:val="both"/>
        <w:rPr>
          <w:color w:val="auto"/>
          <w:lang w:val="en-US"/>
        </w:rPr>
      </w:pPr>
      <w:bookmarkStart w:id="3" w:name="_Toc417569655"/>
      <w:r w:rsidRPr="00CF74FA">
        <w:rPr>
          <w:color w:val="auto"/>
          <w:lang w:val="en-US"/>
        </w:rPr>
        <w:lastRenderedPageBreak/>
        <w:t xml:space="preserve">PAYVISION’S VIEWS ON </w:t>
      </w:r>
      <w:r w:rsidR="002C1803" w:rsidRPr="00CF74FA">
        <w:rPr>
          <w:color w:val="auto"/>
          <w:lang w:val="en-US"/>
        </w:rPr>
        <w:t xml:space="preserve">THE </w:t>
      </w:r>
      <w:r w:rsidR="00CF74FA">
        <w:rPr>
          <w:color w:val="auto"/>
          <w:lang w:val="en-US"/>
        </w:rPr>
        <w:t>PROPOSED REVIEW</w:t>
      </w:r>
      <w:bookmarkEnd w:id="3"/>
    </w:p>
    <w:p w:rsidR="00E3317D" w:rsidRPr="00CF74FA" w:rsidRDefault="00E3317D" w:rsidP="00C21C30">
      <w:pPr>
        <w:jc w:val="both"/>
        <w:rPr>
          <w:lang w:val="en-US"/>
        </w:rPr>
      </w:pPr>
    </w:p>
    <w:p w:rsidR="00B553A9" w:rsidRPr="00CF74FA" w:rsidRDefault="002C1803" w:rsidP="00D01625">
      <w:pPr>
        <w:ind w:left="0"/>
        <w:jc w:val="both"/>
        <w:rPr>
          <w:lang w:val="en-US"/>
        </w:rPr>
      </w:pPr>
      <w:r w:rsidRPr="00CF74FA">
        <w:rPr>
          <w:lang w:val="en-US"/>
        </w:rPr>
        <w:t xml:space="preserve">Payvision welcomes the </w:t>
      </w:r>
      <w:r w:rsidR="00B553A9" w:rsidRPr="00CF74FA">
        <w:rPr>
          <w:lang w:val="en-US"/>
        </w:rPr>
        <w:t xml:space="preserve">initiative by </w:t>
      </w:r>
      <w:r w:rsidR="00DF1930" w:rsidRPr="00CF74FA">
        <w:rPr>
          <w:lang w:val="en-US"/>
        </w:rPr>
        <w:t>RBA</w:t>
      </w:r>
      <w:r w:rsidR="00E60EA8" w:rsidRPr="00CF74FA">
        <w:rPr>
          <w:lang w:val="en-US"/>
        </w:rPr>
        <w:t xml:space="preserve"> to keep openi</w:t>
      </w:r>
      <w:r w:rsidR="00092D24">
        <w:rPr>
          <w:lang w:val="en-US"/>
        </w:rPr>
        <w:t>ng up the Australian market to g</w:t>
      </w:r>
      <w:r w:rsidR="00E60EA8" w:rsidRPr="00CF74FA">
        <w:rPr>
          <w:lang w:val="en-US"/>
        </w:rPr>
        <w:t>lobal trends that increase overall competition and consumer protection, so that electronic payments are really fostered.</w:t>
      </w:r>
      <w:r w:rsidR="00D01625" w:rsidRPr="00CF74FA">
        <w:rPr>
          <w:lang w:val="en-US"/>
        </w:rPr>
        <w:t xml:space="preserve"> </w:t>
      </w:r>
      <w:r w:rsidR="00092D24">
        <w:rPr>
          <w:lang w:val="en-US"/>
        </w:rPr>
        <w:t xml:space="preserve">Most </w:t>
      </w:r>
      <w:r w:rsidR="00D01625" w:rsidRPr="00CF74FA">
        <w:rPr>
          <w:lang w:val="en-US"/>
        </w:rPr>
        <w:t xml:space="preserve">of the proposals (such as the one that suggests allowing smaller merchants to group together to negotiate </w:t>
      </w:r>
      <w:r w:rsidR="004C1740">
        <w:rPr>
          <w:lang w:val="en-US"/>
        </w:rPr>
        <w:t>receiving</w:t>
      </w:r>
      <w:r w:rsidR="00D01625" w:rsidRPr="00CF74FA">
        <w:rPr>
          <w:lang w:val="en-US"/>
        </w:rPr>
        <w:t xml:space="preserve"> lower interchange rates) make business sense and are praise worthy. </w:t>
      </w:r>
    </w:p>
    <w:p w:rsidR="00E60EA8" w:rsidRPr="00CF74FA" w:rsidRDefault="00E60EA8" w:rsidP="00C21C30">
      <w:pPr>
        <w:jc w:val="both"/>
        <w:rPr>
          <w:lang w:val="en-US"/>
        </w:rPr>
      </w:pPr>
    </w:p>
    <w:p w:rsidR="00E60EA8" w:rsidRPr="00CF74FA" w:rsidRDefault="00E60EA8" w:rsidP="00D01625">
      <w:pPr>
        <w:ind w:left="0"/>
        <w:jc w:val="both"/>
        <w:rPr>
          <w:lang w:val="en-US"/>
        </w:rPr>
      </w:pPr>
      <w:r w:rsidRPr="00CF74FA">
        <w:rPr>
          <w:lang w:val="en-US"/>
        </w:rPr>
        <w:t xml:space="preserve">Nonetheless, </w:t>
      </w:r>
      <w:r w:rsidR="002F5BED" w:rsidRPr="00CF74FA">
        <w:rPr>
          <w:lang w:val="en-US"/>
        </w:rPr>
        <w:t xml:space="preserve">we think that </w:t>
      </w:r>
      <w:r w:rsidR="00715688" w:rsidRPr="00CF74FA">
        <w:rPr>
          <w:lang w:val="en-US"/>
        </w:rPr>
        <w:t>on addressing a framework review with such an impact on the industry and on consumers, there are</w:t>
      </w:r>
      <w:r w:rsidR="00092D24">
        <w:rPr>
          <w:lang w:val="en-US"/>
        </w:rPr>
        <w:t xml:space="preserve"> several risks worth mentioning.</w:t>
      </w:r>
    </w:p>
    <w:p w:rsidR="00715688" w:rsidRPr="00CF74FA" w:rsidRDefault="00715688" w:rsidP="00C21C30">
      <w:pPr>
        <w:jc w:val="both"/>
        <w:rPr>
          <w:lang w:val="en-US"/>
        </w:rPr>
      </w:pPr>
    </w:p>
    <w:p w:rsidR="002F3DBA" w:rsidRPr="00CF74FA" w:rsidRDefault="002F3DBA" w:rsidP="00512C89">
      <w:pPr>
        <w:pStyle w:val="Heading2"/>
        <w:rPr>
          <w:lang w:val="en-US"/>
        </w:rPr>
      </w:pPr>
      <w:bookmarkStart w:id="4" w:name="_Toc417569656"/>
      <w:r w:rsidRPr="00CF74FA">
        <w:rPr>
          <w:lang w:val="en-US"/>
        </w:rPr>
        <w:t>Surcharging</w:t>
      </w:r>
      <w:bookmarkEnd w:id="4"/>
    </w:p>
    <w:p w:rsidR="002F3DBA" w:rsidRPr="00CF74FA" w:rsidRDefault="002F3DBA" w:rsidP="002F3DBA">
      <w:pPr>
        <w:ind w:left="0"/>
        <w:jc w:val="both"/>
        <w:rPr>
          <w:lang w:val="en-US"/>
        </w:rPr>
      </w:pPr>
    </w:p>
    <w:p w:rsidR="00715688" w:rsidRPr="00CF74FA" w:rsidRDefault="00715688" w:rsidP="002F3DBA">
      <w:pPr>
        <w:ind w:left="0"/>
        <w:jc w:val="both"/>
        <w:rPr>
          <w:lang w:val="en-US"/>
        </w:rPr>
      </w:pPr>
      <w:r w:rsidRPr="00CF74FA">
        <w:rPr>
          <w:lang w:val="en-US"/>
        </w:rPr>
        <w:t>Surcharging</w:t>
      </w:r>
      <w:r w:rsidR="00C306FC" w:rsidRPr="00CF74FA">
        <w:rPr>
          <w:lang w:val="en-US"/>
        </w:rPr>
        <w:t xml:space="preserve"> might be a double edge sword for the industry</w:t>
      </w:r>
      <w:r w:rsidR="004C6F4C" w:rsidRPr="00CF74FA">
        <w:rPr>
          <w:lang w:val="en-US"/>
        </w:rPr>
        <w:t>, so it should be handled with care for it not to</w:t>
      </w:r>
      <w:r w:rsidR="0061674F" w:rsidRPr="00CF74FA">
        <w:rPr>
          <w:lang w:val="en-US"/>
        </w:rPr>
        <w:t xml:space="preserve"> be excessive or to</w:t>
      </w:r>
      <w:r w:rsidR="004C6F4C" w:rsidRPr="00CF74FA">
        <w:rPr>
          <w:lang w:val="en-US"/>
        </w:rPr>
        <w:t xml:space="preserve"> have unintended consequences.</w:t>
      </w:r>
    </w:p>
    <w:p w:rsidR="00193CCE" w:rsidRPr="00CF74FA" w:rsidRDefault="00193CCE" w:rsidP="00193CCE">
      <w:pPr>
        <w:jc w:val="both"/>
        <w:rPr>
          <w:lang w:val="en-US"/>
        </w:rPr>
      </w:pPr>
    </w:p>
    <w:p w:rsidR="00193CCE" w:rsidRPr="00CF74FA" w:rsidRDefault="00BD6CEB" w:rsidP="002F3DBA">
      <w:pPr>
        <w:ind w:left="0"/>
        <w:jc w:val="both"/>
        <w:rPr>
          <w:lang w:val="en-US"/>
        </w:rPr>
      </w:pPr>
      <w:r w:rsidRPr="00CF74FA">
        <w:rPr>
          <w:lang w:val="en-US"/>
        </w:rPr>
        <w:t>To start with, s</w:t>
      </w:r>
      <w:r w:rsidR="00573A59" w:rsidRPr="00CF74FA">
        <w:rPr>
          <w:lang w:val="en-US"/>
        </w:rPr>
        <w:t xml:space="preserve">urcharging might be an </w:t>
      </w:r>
      <w:r w:rsidR="00193CCE" w:rsidRPr="00CF74FA">
        <w:rPr>
          <w:lang w:val="en-US"/>
        </w:rPr>
        <w:t xml:space="preserve">unfriendly consumer experience. </w:t>
      </w:r>
      <w:r w:rsidR="004C6F4C" w:rsidRPr="00CF74FA">
        <w:rPr>
          <w:lang w:val="en-US"/>
        </w:rPr>
        <w:t>C</w:t>
      </w:r>
      <w:r w:rsidR="00193CCE" w:rsidRPr="00CF74FA">
        <w:rPr>
          <w:lang w:val="en-US"/>
        </w:rPr>
        <w:t xml:space="preserve">onsumers </w:t>
      </w:r>
      <w:r w:rsidR="004C6F4C" w:rsidRPr="00CF74FA">
        <w:rPr>
          <w:lang w:val="en-US"/>
        </w:rPr>
        <w:t xml:space="preserve">might perceive </w:t>
      </w:r>
      <w:r w:rsidRPr="00CF74FA">
        <w:rPr>
          <w:lang w:val="en-US"/>
        </w:rPr>
        <w:t>they</w:t>
      </w:r>
      <w:r w:rsidR="004C6F4C" w:rsidRPr="00CF74FA">
        <w:rPr>
          <w:lang w:val="en-US"/>
        </w:rPr>
        <w:t xml:space="preserve"> “pay for paying”’. I</w:t>
      </w:r>
      <w:r w:rsidR="00193CCE" w:rsidRPr="00CF74FA">
        <w:rPr>
          <w:lang w:val="en-US"/>
        </w:rPr>
        <w:t xml:space="preserve">t </w:t>
      </w:r>
      <w:r w:rsidR="004C6F4C" w:rsidRPr="00CF74FA">
        <w:rPr>
          <w:lang w:val="en-US"/>
        </w:rPr>
        <w:t xml:space="preserve">also </w:t>
      </w:r>
      <w:r w:rsidR="00573A59" w:rsidRPr="00CF74FA">
        <w:rPr>
          <w:lang w:val="en-US"/>
        </w:rPr>
        <w:t xml:space="preserve">has the potential to </w:t>
      </w:r>
      <w:r w:rsidR="00193CCE" w:rsidRPr="00CF74FA">
        <w:rPr>
          <w:lang w:val="en-US"/>
        </w:rPr>
        <w:t xml:space="preserve">mislead </w:t>
      </w:r>
      <w:r w:rsidR="00240A9F">
        <w:rPr>
          <w:lang w:val="en-US"/>
        </w:rPr>
        <w:t xml:space="preserve">such </w:t>
      </w:r>
      <w:r w:rsidR="00193CCE" w:rsidRPr="00CF74FA">
        <w:rPr>
          <w:lang w:val="en-US"/>
        </w:rPr>
        <w:t>customers on the true price of</w:t>
      </w:r>
      <w:r w:rsidR="00144928" w:rsidRPr="00CF74FA">
        <w:rPr>
          <w:lang w:val="en-US"/>
        </w:rPr>
        <w:t xml:space="preserve"> the</w:t>
      </w:r>
      <w:r w:rsidR="00193CCE" w:rsidRPr="00CF74FA">
        <w:rPr>
          <w:lang w:val="en-US"/>
        </w:rPr>
        <w:t xml:space="preserve"> goods and services</w:t>
      </w:r>
      <w:r w:rsidR="00573A59" w:rsidRPr="00CF74FA">
        <w:rPr>
          <w:lang w:val="en-US"/>
        </w:rPr>
        <w:t xml:space="preserve"> they purchase</w:t>
      </w:r>
      <w:r w:rsidR="00193CCE" w:rsidRPr="00CF74FA">
        <w:rPr>
          <w:lang w:val="en-US"/>
        </w:rPr>
        <w:t xml:space="preserve">. </w:t>
      </w:r>
      <w:r w:rsidRPr="00CF74FA">
        <w:rPr>
          <w:lang w:val="en-US"/>
        </w:rPr>
        <w:t>Moreover</w:t>
      </w:r>
      <w:r w:rsidR="00193CCE" w:rsidRPr="00CF74FA">
        <w:rPr>
          <w:lang w:val="en-US"/>
        </w:rPr>
        <w:t>,</w:t>
      </w:r>
      <w:r w:rsidR="00573A59" w:rsidRPr="00CF74FA">
        <w:rPr>
          <w:lang w:val="en-US"/>
        </w:rPr>
        <w:t xml:space="preserve"> even Consumer Associations at a European level</w:t>
      </w:r>
      <w:r w:rsidR="00240A9F">
        <w:rPr>
          <w:lang w:val="en-US"/>
        </w:rPr>
        <w:t xml:space="preserve"> (BEUC, </w:t>
      </w:r>
      <w:r w:rsidR="00240A9F" w:rsidRPr="00240A9F">
        <w:rPr>
          <w:i/>
          <w:lang w:val="en-US"/>
        </w:rPr>
        <w:t>The European Consumer Organization</w:t>
      </w:r>
      <w:r w:rsidR="00240A9F">
        <w:rPr>
          <w:lang w:val="en-US"/>
        </w:rPr>
        <w:t>)</w:t>
      </w:r>
      <w:r w:rsidR="00573A59" w:rsidRPr="00CF74FA">
        <w:rPr>
          <w:lang w:val="en-US"/>
        </w:rPr>
        <w:t xml:space="preserve"> advocate against it and state that some merchants use</w:t>
      </w:r>
      <w:r w:rsidR="00193CCE" w:rsidRPr="00CF74FA">
        <w:rPr>
          <w:lang w:val="en-US"/>
        </w:rPr>
        <w:t xml:space="preserve"> surcharges</w:t>
      </w:r>
      <w:r w:rsidR="00573A59" w:rsidRPr="00CF74FA">
        <w:rPr>
          <w:lang w:val="en-US"/>
        </w:rPr>
        <w:t xml:space="preserve"> to get some </w:t>
      </w:r>
      <w:r w:rsidR="00193CCE" w:rsidRPr="00CF74FA">
        <w:rPr>
          <w:lang w:val="en-US"/>
        </w:rPr>
        <w:t xml:space="preserve">extra profit from people paying by card. </w:t>
      </w:r>
      <w:r w:rsidR="00573A59" w:rsidRPr="00CF74FA">
        <w:rPr>
          <w:lang w:val="en-US"/>
        </w:rPr>
        <w:t>So if t</w:t>
      </w:r>
      <w:r w:rsidRPr="00CF74FA">
        <w:rPr>
          <w:lang w:val="en-US"/>
        </w:rPr>
        <w:t xml:space="preserve">he proposed reform has consumer </w:t>
      </w:r>
      <w:r w:rsidR="00573A59" w:rsidRPr="00CF74FA">
        <w:rPr>
          <w:lang w:val="en-US"/>
        </w:rPr>
        <w:t>protec</w:t>
      </w:r>
      <w:r w:rsidR="00144928" w:rsidRPr="00CF74FA">
        <w:rPr>
          <w:lang w:val="en-US"/>
        </w:rPr>
        <w:t xml:space="preserve">tion as one of its foundations, </w:t>
      </w:r>
      <w:r w:rsidRPr="00CF74FA">
        <w:rPr>
          <w:lang w:val="en-US"/>
        </w:rPr>
        <w:t xml:space="preserve">surcharges </w:t>
      </w:r>
      <w:r w:rsidR="00144928" w:rsidRPr="00CF74FA">
        <w:rPr>
          <w:lang w:val="en-US"/>
        </w:rPr>
        <w:t>should be limit</w:t>
      </w:r>
      <w:r w:rsidRPr="00CF74FA">
        <w:rPr>
          <w:lang w:val="en-US"/>
        </w:rPr>
        <w:t>ed</w:t>
      </w:r>
      <w:r w:rsidR="00144928" w:rsidRPr="00CF74FA">
        <w:rPr>
          <w:lang w:val="en-US"/>
        </w:rPr>
        <w:t xml:space="preserve"> to the minimum extent necessary to balance the merchant’s and consumer’s protection.</w:t>
      </w:r>
      <w:r w:rsidRPr="00CF74FA">
        <w:rPr>
          <w:lang w:val="en-US"/>
        </w:rPr>
        <w:t xml:space="preserve"> And always sticking </w:t>
      </w:r>
      <w:r w:rsidR="00EF1FED">
        <w:rPr>
          <w:lang w:val="en-US"/>
        </w:rPr>
        <w:t>as accurately as possible</w:t>
      </w:r>
      <w:r w:rsidRPr="00CF74FA">
        <w:rPr>
          <w:lang w:val="en-US"/>
        </w:rPr>
        <w:t xml:space="preserve"> to the costs borne </w:t>
      </w:r>
      <w:r w:rsidR="00EF1FED">
        <w:rPr>
          <w:lang w:val="en-US"/>
        </w:rPr>
        <w:t xml:space="preserve">by merchants </w:t>
      </w:r>
      <w:r w:rsidRPr="00CF74FA">
        <w:rPr>
          <w:lang w:val="en-US"/>
        </w:rPr>
        <w:t>for the acceptance of specific card payments.</w:t>
      </w:r>
    </w:p>
    <w:p w:rsidR="00144928" w:rsidRPr="00CF74FA" w:rsidRDefault="00144928" w:rsidP="002F3DBA">
      <w:pPr>
        <w:ind w:left="0"/>
        <w:jc w:val="both"/>
        <w:rPr>
          <w:lang w:val="en-US"/>
        </w:rPr>
      </w:pPr>
    </w:p>
    <w:p w:rsidR="00144928" w:rsidRPr="00CF74FA" w:rsidRDefault="00144928" w:rsidP="002F3DBA">
      <w:pPr>
        <w:ind w:left="0"/>
        <w:jc w:val="both"/>
        <w:rPr>
          <w:lang w:val="en-US"/>
        </w:rPr>
      </w:pPr>
      <w:r w:rsidRPr="00CF74FA">
        <w:rPr>
          <w:lang w:val="en-US"/>
        </w:rPr>
        <w:t xml:space="preserve">On another note, surcharging can also be misleading and difficult to implement by merchants, </w:t>
      </w:r>
      <w:r w:rsidR="004C6F4C" w:rsidRPr="00CF74FA">
        <w:rPr>
          <w:lang w:val="en-US"/>
        </w:rPr>
        <w:t>as</w:t>
      </w:r>
      <w:r w:rsidRPr="00CF74FA">
        <w:rPr>
          <w:lang w:val="en-US"/>
        </w:rPr>
        <w:t xml:space="preserve"> it is not </w:t>
      </w:r>
      <w:r w:rsidR="0061674F" w:rsidRPr="00CF74FA">
        <w:rPr>
          <w:lang w:val="en-US"/>
        </w:rPr>
        <w:t>always</w:t>
      </w:r>
      <w:r w:rsidRPr="00CF74FA">
        <w:rPr>
          <w:lang w:val="en-US"/>
        </w:rPr>
        <w:t xml:space="preserve"> easy </w:t>
      </w:r>
      <w:r w:rsidR="004C6F4C" w:rsidRPr="00CF74FA">
        <w:rPr>
          <w:lang w:val="en-US"/>
        </w:rPr>
        <w:t xml:space="preserve">for their employees </w:t>
      </w:r>
      <w:r w:rsidRPr="00CF74FA">
        <w:rPr>
          <w:lang w:val="en-US"/>
        </w:rPr>
        <w:t>to distinguish price regulated from non-pri</w:t>
      </w:r>
      <w:r w:rsidR="00C306FC" w:rsidRPr="00CF74FA">
        <w:rPr>
          <w:lang w:val="en-US"/>
        </w:rPr>
        <w:t xml:space="preserve">ce regulated transactions. </w:t>
      </w:r>
      <w:r w:rsidR="00321394" w:rsidRPr="00CF74FA">
        <w:rPr>
          <w:lang w:val="en-US"/>
        </w:rPr>
        <w:t>T</w:t>
      </w:r>
      <w:r w:rsidR="004C6F4C" w:rsidRPr="00CF74FA">
        <w:rPr>
          <w:lang w:val="en-US"/>
        </w:rPr>
        <w:t xml:space="preserve">his </w:t>
      </w:r>
      <w:r w:rsidR="00321394" w:rsidRPr="00CF74FA">
        <w:rPr>
          <w:lang w:val="en-US"/>
        </w:rPr>
        <w:t xml:space="preserve">selective surcharging </w:t>
      </w:r>
      <w:r w:rsidR="0061674F" w:rsidRPr="00CF74FA">
        <w:rPr>
          <w:lang w:val="en-US"/>
        </w:rPr>
        <w:t>might</w:t>
      </w:r>
      <w:r w:rsidR="004C6F4C" w:rsidRPr="00CF74FA">
        <w:rPr>
          <w:lang w:val="en-US"/>
        </w:rPr>
        <w:t xml:space="preserve"> </w:t>
      </w:r>
      <w:r w:rsidR="00321394" w:rsidRPr="00CF74FA">
        <w:rPr>
          <w:lang w:val="en-US"/>
        </w:rPr>
        <w:t xml:space="preserve">be inefficient and </w:t>
      </w:r>
      <w:r w:rsidR="004C6F4C" w:rsidRPr="00CF74FA">
        <w:rPr>
          <w:lang w:val="en-US"/>
        </w:rPr>
        <w:t>increase merchant’s compliance costs (as they will</w:t>
      </w:r>
      <w:r w:rsidR="00C306FC" w:rsidRPr="00CF74FA">
        <w:rPr>
          <w:lang w:val="en-US"/>
        </w:rPr>
        <w:t xml:space="preserve"> have to invest in employees</w:t>
      </w:r>
      <w:r w:rsidR="004C6F4C" w:rsidRPr="00CF74FA">
        <w:rPr>
          <w:lang w:val="en-US"/>
        </w:rPr>
        <w:t xml:space="preserve">’ </w:t>
      </w:r>
      <w:r w:rsidR="00C306FC" w:rsidRPr="00CF74FA">
        <w:rPr>
          <w:lang w:val="en-US"/>
        </w:rPr>
        <w:t>training</w:t>
      </w:r>
      <w:r w:rsidR="004C6F4C" w:rsidRPr="00CF74FA">
        <w:rPr>
          <w:lang w:val="en-US"/>
        </w:rPr>
        <w:t>). O</w:t>
      </w:r>
      <w:r w:rsidR="00C306FC" w:rsidRPr="00CF74FA">
        <w:rPr>
          <w:lang w:val="en-US"/>
        </w:rPr>
        <w:t xml:space="preserve">n the other hand it would be somewhat difficult to police and enforce </w:t>
      </w:r>
      <w:r w:rsidR="004C6F4C" w:rsidRPr="00CF74FA">
        <w:rPr>
          <w:lang w:val="en-US"/>
        </w:rPr>
        <w:t>individual’s</w:t>
      </w:r>
      <w:r w:rsidR="00C306FC" w:rsidRPr="00CF74FA">
        <w:rPr>
          <w:lang w:val="en-US"/>
        </w:rPr>
        <w:t xml:space="preserve"> merchant</w:t>
      </w:r>
      <w:r w:rsidR="00815F9D">
        <w:rPr>
          <w:lang w:val="en-US"/>
        </w:rPr>
        <w:t>’s</w:t>
      </w:r>
      <w:r w:rsidR="00C306FC" w:rsidRPr="00CF74FA">
        <w:rPr>
          <w:lang w:val="en-US"/>
        </w:rPr>
        <w:t xml:space="preserve"> compliance.</w:t>
      </w:r>
    </w:p>
    <w:p w:rsidR="00C306FC" w:rsidRPr="00CF74FA" w:rsidRDefault="00C306FC" w:rsidP="002F3DBA">
      <w:pPr>
        <w:ind w:left="0"/>
        <w:jc w:val="both"/>
        <w:rPr>
          <w:lang w:val="en-US"/>
        </w:rPr>
      </w:pPr>
    </w:p>
    <w:p w:rsidR="00C306FC" w:rsidRPr="00CF74FA" w:rsidRDefault="00C306FC" w:rsidP="002F3DBA">
      <w:pPr>
        <w:ind w:left="0"/>
        <w:jc w:val="both"/>
        <w:rPr>
          <w:lang w:val="en-US"/>
        </w:rPr>
      </w:pPr>
      <w:r w:rsidRPr="00CF74FA">
        <w:rPr>
          <w:lang w:val="en-US"/>
        </w:rPr>
        <w:t>Finally</w:t>
      </w:r>
      <w:r w:rsidR="00EF1FED">
        <w:rPr>
          <w:lang w:val="en-US"/>
        </w:rPr>
        <w:t xml:space="preserve"> to a certain extent</w:t>
      </w:r>
      <w:r w:rsidRPr="00CF74FA">
        <w:rPr>
          <w:lang w:val="en-US"/>
        </w:rPr>
        <w:t xml:space="preserve"> surcharging </w:t>
      </w:r>
      <w:r w:rsidR="00321394" w:rsidRPr="00CF74FA">
        <w:rPr>
          <w:lang w:val="en-US"/>
        </w:rPr>
        <w:t>might end</w:t>
      </w:r>
      <w:r w:rsidRPr="00CF74FA">
        <w:rPr>
          <w:lang w:val="en-US"/>
        </w:rPr>
        <w:t xml:space="preserve"> up promoting</w:t>
      </w:r>
      <w:r w:rsidR="00EF1FED">
        <w:rPr>
          <w:lang w:val="en-US"/>
        </w:rPr>
        <w:t xml:space="preserve"> </w:t>
      </w:r>
      <w:r w:rsidRPr="00CF74FA">
        <w:rPr>
          <w:lang w:val="en-US"/>
        </w:rPr>
        <w:t>cash</w:t>
      </w:r>
      <w:r w:rsidR="002F3DBA" w:rsidRPr="00CF74FA">
        <w:rPr>
          <w:lang w:val="en-US"/>
        </w:rPr>
        <w:t xml:space="preserve"> over card payments</w:t>
      </w:r>
      <w:r w:rsidRPr="00CF74FA">
        <w:rPr>
          <w:lang w:val="en-US"/>
        </w:rPr>
        <w:t xml:space="preserve">, </w:t>
      </w:r>
      <w:r w:rsidR="002F3DBA" w:rsidRPr="00CF74FA">
        <w:rPr>
          <w:lang w:val="en-US"/>
        </w:rPr>
        <w:t xml:space="preserve">potentially </w:t>
      </w:r>
      <w:r w:rsidRPr="00CF74FA">
        <w:rPr>
          <w:lang w:val="en-US"/>
        </w:rPr>
        <w:t>foster</w:t>
      </w:r>
      <w:r w:rsidR="002F3DBA" w:rsidRPr="00CF74FA">
        <w:rPr>
          <w:lang w:val="en-US"/>
        </w:rPr>
        <w:t>ing</w:t>
      </w:r>
      <w:r w:rsidRPr="00CF74FA">
        <w:rPr>
          <w:lang w:val="en-US"/>
        </w:rPr>
        <w:t xml:space="preserve"> anonymity</w:t>
      </w:r>
      <w:r w:rsidR="0061674F" w:rsidRPr="00CF74FA">
        <w:rPr>
          <w:lang w:val="en-US"/>
        </w:rPr>
        <w:t xml:space="preserve"> and therefore</w:t>
      </w:r>
      <w:r w:rsidRPr="00CF74FA">
        <w:rPr>
          <w:lang w:val="en-US"/>
        </w:rPr>
        <w:t xml:space="preserve"> </w:t>
      </w:r>
      <w:r w:rsidR="002F3DBA" w:rsidRPr="00CF74FA">
        <w:rPr>
          <w:lang w:val="en-US"/>
        </w:rPr>
        <w:t>increasing</w:t>
      </w:r>
      <w:r w:rsidR="00CA53C6" w:rsidRPr="00CF74FA">
        <w:rPr>
          <w:lang w:val="en-US"/>
        </w:rPr>
        <w:t xml:space="preserve"> money laundering risks</w:t>
      </w:r>
      <w:r w:rsidR="002F3DBA" w:rsidRPr="00CF74FA">
        <w:rPr>
          <w:lang w:val="en-US"/>
        </w:rPr>
        <w:t>.</w:t>
      </w:r>
    </w:p>
    <w:p w:rsidR="002F3DBA" w:rsidRPr="00CF74FA" w:rsidRDefault="002F3DBA" w:rsidP="002F3DBA">
      <w:pPr>
        <w:pStyle w:val="ListParagraph"/>
        <w:ind w:left="717"/>
        <w:jc w:val="both"/>
        <w:rPr>
          <w:lang w:val="en-US"/>
        </w:rPr>
      </w:pPr>
    </w:p>
    <w:p w:rsidR="004C1740" w:rsidRDefault="004C1740">
      <w:pPr>
        <w:spacing w:after="200"/>
        <w:ind w:left="0"/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4C1740" w:rsidRPr="00512C89" w:rsidRDefault="004C1740" w:rsidP="00512C89">
      <w:pPr>
        <w:pStyle w:val="Heading2"/>
        <w:rPr>
          <w:lang w:val="en-US"/>
        </w:rPr>
      </w:pPr>
      <w:bookmarkStart w:id="5" w:name="_Toc417569657"/>
      <w:r w:rsidRPr="00512C89">
        <w:rPr>
          <w:lang w:val="en-US"/>
        </w:rPr>
        <w:lastRenderedPageBreak/>
        <w:t>Transparency and simplicity</w:t>
      </w:r>
      <w:bookmarkEnd w:id="5"/>
    </w:p>
    <w:p w:rsidR="004C1740" w:rsidRPr="004C1740" w:rsidRDefault="004C1740" w:rsidP="004C1740">
      <w:pPr>
        <w:ind w:left="0"/>
        <w:jc w:val="both"/>
        <w:rPr>
          <w:b/>
          <w:u w:val="single"/>
          <w:lang w:val="en-US"/>
        </w:rPr>
      </w:pPr>
    </w:p>
    <w:p w:rsidR="004C1740" w:rsidRPr="004C1740" w:rsidRDefault="004C1740" w:rsidP="004C1740">
      <w:pPr>
        <w:ind w:left="0"/>
        <w:jc w:val="both"/>
        <w:rPr>
          <w:lang w:val="en-US"/>
        </w:rPr>
      </w:pPr>
      <w:r w:rsidRPr="004C1740">
        <w:rPr>
          <w:lang w:val="en-US"/>
        </w:rPr>
        <w:t xml:space="preserve">Transparency is always welcome for all the stakeholders within the value chain. </w:t>
      </w:r>
      <w:r w:rsidR="00DC255A">
        <w:rPr>
          <w:lang w:val="en-US"/>
        </w:rPr>
        <w:t>To promote a fair implementation of any changes in this direction, c</w:t>
      </w:r>
      <w:r w:rsidRPr="004C1740">
        <w:rPr>
          <w:lang w:val="en-US"/>
        </w:rPr>
        <w:t>are should be taken so that the all the necessary details</w:t>
      </w:r>
      <w:r w:rsidR="00EF1FED">
        <w:rPr>
          <w:lang w:val="en-US"/>
        </w:rPr>
        <w:t xml:space="preserve"> </w:t>
      </w:r>
      <w:r w:rsidRPr="004C1740">
        <w:rPr>
          <w:lang w:val="en-US"/>
        </w:rPr>
        <w:t xml:space="preserve">are </w:t>
      </w:r>
      <w:r w:rsidR="00EF1FED">
        <w:rPr>
          <w:lang w:val="en-US"/>
        </w:rPr>
        <w:t>clear</w:t>
      </w:r>
      <w:r w:rsidRPr="004C1740">
        <w:rPr>
          <w:lang w:val="en-US"/>
        </w:rPr>
        <w:t xml:space="preserve"> on origin for acquirers </w:t>
      </w:r>
      <w:r w:rsidR="00111BDE">
        <w:rPr>
          <w:lang w:val="en-US"/>
        </w:rPr>
        <w:t xml:space="preserve">and acquiring PSPs </w:t>
      </w:r>
      <w:r w:rsidRPr="004C1740">
        <w:rPr>
          <w:lang w:val="en-US"/>
        </w:rPr>
        <w:t>to be able to share them</w:t>
      </w:r>
      <w:r w:rsidR="00EF1FED">
        <w:rPr>
          <w:lang w:val="en-US"/>
        </w:rPr>
        <w:t xml:space="preserve"> </w:t>
      </w:r>
      <w:r w:rsidR="006D1B98">
        <w:rPr>
          <w:lang w:val="en-US"/>
        </w:rPr>
        <w:t>transparently</w:t>
      </w:r>
      <w:r w:rsidRPr="004C1740">
        <w:rPr>
          <w:lang w:val="en-US"/>
        </w:rPr>
        <w:t xml:space="preserve"> with the rest of the chain without incurring in excessive </w:t>
      </w:r>
      <w:r w:rsidR="00DC255A">
        <w:rPr>
          <w:lang w:val="en-US"/>
        </w:rPr>
        <w:t>implementation</w:t>
      </w:r>
      <w:r w:rsidRPr="004C1740">
        <w:rPr>
          <w:lang w:val="en-US"/>
        </w:rPr>
        <w:t xml:space="preserve"> costs.</w:t>
      </w:r>
      <w:r w:rsidR="00EF1FED">
        <w:rPr>
          <w:lang w:val="en-US"/>
        </w:rPr>
        <w:t xml:space="preserve"> </w:t>
      </w:r>
    </w:p>
    <w:p w:rsidR="004C1740" w:rsidRPr="004C1740" w:rsidRDefault="004C1740" w:rsidP="004C1740">
      <w:pPr>
        <w:ind w:left="0"/>
        <w:jc w:val="both"/>
        <w:rPr>
          <w:b/>
          <w:u w:val="single"/>
          <w:lang w:val="en-US"/>
        </w:rPr>
      </w:pPr>
    </w:p>
    <w:p w:rsidR="004C1740" w:rsidRDefault="004C1740" w:rsidP="004C1740">
      <w:pPr>
        <w:ind w:left="0"/>
        <w:jc w:val="both"/>
        <w:rPr>
          <w:lang w:val="en-US"/>
        </w:rPr>
      </w:pPr>
      <w:r w:rsidRPr="004C1740">
        <w:rPr>
          <w:lang w:val="en-US"/>
        </w:rPr>
        <w:t>On another note, as</w:t>
      </w:r>
      <w:r w:rsidR="00240A9F">
        <w:rPr>
          <w:lang w:val="en-US"/>
        </w:rPr>
        <w:t xml:space="preserve"> done</w:t>
      </w:r>
      <w:r w:rsidRPr="004C1740">
        <w:rPr>
          <w:lang w:val="en-US"/>
        </w:rPr>
        <w:t xml:space="preserve"> in other jurisdictions cited as an example of similar regulatory reforms, not all the </w:t>
      </w:r>
      <w:r w:rsidR="00111BDE">
        <w:rPr>
          <w:lang w:val="en-US"/>
        </w:rPr>
        <w:t>new requirements</w:t>
      </w:r>
      <w:r w:rsidRPr="004C1740">
        <w:rPr>
          <w:lang w:val="en-US"/>
        </w:rPr>
        <w:t xml:space="preserve"> should apply to all transaction types (in the European Union</w:t>
      </w:r>
      <w:r w:rsidR="00111BDE">
        <w:rPr>
          <w:lang w:val="en-US"/>
        </w:rPr>
        <w:t xml:space="preserve"> </w:t>
      </w:r>
      <w:r w:rsidR="006D1B98">
        <w:rPr>
          <w:lang w:val="en-US"/>
        </w:rPr>
        <w:t xml:space="preserve">the </w:t>
      </w:r>
      <w:r w:rsidR="00111BDE">
        <w:rPr>
          <w:lang w:val="en-US"/>
        </w:rPr>
        <w:t>Interchange Fee Regulation</w:t>
      </w:r>
      <w:r w:rsidRPr="004C1740">
        <w:rPr>
          <w:lang w:val="en-US"/>
        </w:rPr>
        <w:t xml:space="preserve"> certain requirements</w:t>
      </w:r>
      <w:r w:rsidR="00111BDE">
        <w:rPr>
          <w:lang w:val="en-US"/>
        </w:rPr>
        <w:t xml:space="preserve"> –e.g. ban on surcharging-</w:t>
      </w:r>
      <w:r w:rsidRPr="004C1740">
        <w:rPr>
          <w:lang w:val="en-US"/>
        </w:rPr>
        <w:t xml:space="preserve"> won’t apply to those transactions</w:t>
      </w:r>
      <w:r w:rsidR="00512C89">
        <w:rPr>
          <w:lang w:val="en-US"/>
        </w:rPr>
        <w:t>/payment instruments</w:t>
      </w:r>
      <w:r w:rsidRPr="004C1740">
        <w:rPr>
          <w:lang w:val="en-US"/>
        </w:rPr>
        <w:t xml:space="preserve"> which fees are already capped). Any such reform should at least go along these lines. </w:t>
      </w:r>
      <w:r>
        <w:rPr>
          <w:lang w:val="en-US"/>
        </w:rPr>
        <w:t>And this</w:t>
      </w:r>
      <w:r w:rsidR="00DC255A">
        <w:rPr>
          <w:lang w:val="en-US"/>
        </w:rPr>
        <w:t xml:space="preserve"> set up</w:t>
      </w:r>
      <w:r>
        <w:rPr>
          <w:lang w:val="en-US"/>
        </w:rPr>
        <w:t xml:space="preserve"> will add </w:t>
      </w:r>
      <w:r w:rsidRPr="004C1740">
        <w:rPr>
          <w:lang w:val="en-US"/>
        </w:rPr>
        <w:t xml:space="preserve">complexity for consumers and merchants. Therefore, </w:t>
      </w:r>
      <w:r w:rsidR="00DC255A">
        <w:rPr>
          <w:lang w:val="en-US"/>
        </w:rPr>
        <w:t xml:space="preserve">efforts should be made so that </w:t>
      </w:r>
      <w:r w:rsidRPr="004C1740">
        <w:rPr>
          <w:lang w:val="en-US"/>
        </w:rPr>
        <w:t>transparency strike</w:t>
      </w:r>
      <w:r w:rsidR="00DC255A">
        <w:rPr>
          <w:lang w:val="en-US"/>
        </w:rPr>
        <w:t>s</w:t>
      </w:r>
      <w:r w:rsidRPr="004C1740">
        <w:rPr>
          <w:lang w:val="en-US"/>
        </w:rPr>
        <w:t xml:space="preserve"> a balance with simplicity, </w:t>
      </w:r>
      <w:r w:rsidR="00DC255A">
        <w:rPr>
          <w:lang w:val="en-US"/>
        </w:rPr>
        <w:t xml:space="preserve">for </w:t>
      </w:r>
      <w:r w:rsidRPr="004C1740">
        <w:rPr>
          <w:lang w:val="en-US"/>
        </w:rPr>
        <w:t xml:space="preserve">the new framework </w:t>
      </w:r>
      <w:r>
        <w:rPr>
          <w:lang w:val="en-US"/>
        </w:rPr>
        <w:t xml:space="preserve">not </w:t>
      </w:r>
      <w:r w:rsidR="00DC255A">
        <w:rPr>
          <w:lang w:val="en-US"/>
        </w:rPr>
        <w:t xml:space="preserve">to </w:t>
      </w:r>
      <w:r>
        <w:rPr>
          <w:lang w:val="en-US"/>
        </w:rPr>
        <w:t>impact</w:t>
      </w:r>
      <w:r w:rsidRPr="004C1740">
        <w:rPr>
          <w:lang w:val="en-US"/>
        </w:rPr>
        <w:t xml:space="preserve"> customer</w:t>
      </w:r>
      <w:r w:rsidR="00DC255A">
        <w:rPr>
          <w:lang w:val="en-US"/>
        </w:rPr>
        <w:t xml:space="preserve"> experience more than necessary, and become </w:t>
      </w:r>
      <w:r w:rsidRPr="004C1740">
        <w:rPr>
          <w:lang w:val="en-US"/>
        </w:rPr>
        <w:t>a conversion killer.</w:t>
      </w:r>
      <w:r>
        <w:rPr>
          <w:lang w:val="en-US"/>
        </w:rPr>
        <w:t xml:space="preserve"> </w:t>
      </w:r>
    </w:p>
    <w:p w:rsidR="004C1740" w:rsidRDefault="004C1740" w:rsidP="004C1740">
      <w:pPr>
        <w:ind w:left="0"/>
        <w:jc w:val="both"/>
        <w:rPr>
          <w:lang w:val="en-US"/>
        </w:rPr>
      </w:pPr>
    </w:p>
    <w:p w:rsidR="002F3DBA" w:rsidRPr="00512C89" w:rsidRDefault="002F3DBA" w:rsidP="00512C89">
      <w:pPr>
        <w:pStyle w:val="Heading2"/>
        <w:rPr>
          <w:lang w:val="en-US"/>
        </w:rPr>
      </w:pPr>
      <w:bookmarkStart w:id="6" w:name="_Toc417569658"/>
      <w:r w:rsidRPr="00512C89">
        <w:rPr>
          <w:lang w:val="en-US"/>
        </w:rPr>
        <w:t>Debit Vs credit</w:t>
      </w:r>
      <w:bookmarkEnd w:id="6"/>
    </w:p>
    <w:p w:rsidR="006A2BCA" w:rsidRPr="00CF74FA" w:rsidRDefault="006A2BCA" w:rsidP="002F3DBA">
      <w:pPr>
        <w:ind w:left="0"/>
        <w:jc w:val="both"/>
        <w:rPr>
          <w:lang w:val="en-US"/>
        </w:rPr>
      </w:pPr>
    </w:p>
    <w:p w:rsidR="00715688" w:rsidRPr="00CF74FA" w:rsidRDefault="006A2BCA" w:rsidP="002F3DBA">
      <w:pPr>
        <w:ind w:left="0"/>
        <w:jc w:val="both"/>
        <w:rPr>
          <w:lang w:val="en-US"/>
        </w:rPr>
      </w:pPr>
      <w:r w:rsidRPr="00CF74FA">
        <w:rPr>
          <w:lang w:val="en-US"/>
        </w:rPr>
        <w:t xml:space="preserve">As the approach to debit products is way different than that of the credit ones in this regard, a sensible methodology to differentiate them should be established. </w:t>
      </w:r>
      <w:r w:rsidR="0061674F" w:rsidRPr="00CF74FA">
        <w:rPr>
          <w:lang w:val="en-US"/>
        </w:rPr>
        <w:t>A common trend for doing this</w:t>
      </w:r>
      <w:r w:rsidR="00CB58A0" w:rsidRPr="00CF74FA">
        <w:rPr>
          <w:lang w:val="en-US"/>
        </w:rPr>
        <w:t xml:space="preserve"> currently</w:t>
      </w:r>
      <w:r w:rsidRPr="00CF74FA">
        <w:rPr>
          <w:lang w:val="en-US"/>
        </w:rPr>
        <w:t xml:space="preserve"> is mainly based on settlement timeframes (above or below 48 hours). And this extent alone does not clarify whether the card used is a credit or a debit instrument, as there are several scenarios where the debit transactions are settled later than 48 hours (this is the case, for instance, of offline-authorized transactions or transactions processed during weekends).</w:t>
      </w:r>
    </w:p>
    <w:p w:rsidR="002F3DBA" w:rsidRPr="00CF74FA" w:rsidRDefault="002F3DBA" w:rsidP="002F3DBA">
      <w:pPr>
        <w:ind w:left="0"/>
        <w:jc w:val="both"/>
        <w:rPr>
          <w:lang w:val="en-US"/>
        </w:rPr>
      </w:pPr>
    </w:p>
    <w:p w:rsidR="002F3DBA" w:rsidRPr="00512C89" w:rsidRDefault="002F3DBA" w:rsidP="00512C89">
      <w:pPr>
        <w:pStyle w:val="Heading2"/>
        <w:rPr>
          <w:lang w:val="en-US"/>
        </w:rPr>
      </w:pPr>
      <w:bookmarkStart w:id="7" w:name="_Toc417569659"/>
      <w:r w:rsidRPr="00512C89">
        <w:rPr>
          <w:lang w:val="en-US"/>
        </w:rPr>
        <w:t>Merchant indifference test</w:t>
      </w:r>
      <w:bookmarkEnd w:id="7"/>
    </w:p>
    <w:p w:rsidR="002F3DBA" w:rsidRPr="00CF74FA" w:rsidRDefault="002F3DBA" w:rsidP="002F3DBA">
      <w:pPr>
        <w:jc w:val="both"/>
        <w:rPr>
          <w:lang w:val="en-US"/>
        </w:rPr>
      </w:pPr>
    </w:p>
    <w:p w:rsidR="00715688" w:rsidRPr="00CF74FA" w:rsidRDefault="00CB58A0" w:rsidP="002F3DBA">
      <w:pPr>
        <w:ind w:left="0"/>
        <w:jc w:val="both"/>
        <w:rPr>
          <w:lang w:val="en-US"/>
        </w:rPr>
      </w:pPr>
      <w:r w:rsidRPr="00CF74FA">
        <w:rPr>
          <w:lang w:val="en-US"/>
        </w:rPr>
        <w:t xml:space="preserve">In the same way </w:t>
      </w:r>
      <w:r w:rsidR="00443C50" w:rsidRPr="00CF74FA">
        <w:rPr>
          <w:lang w:val="en-US"/>
        </w:rPr>
        <w:t>the m</w:t>
      </w:r>
      <w:r w:rsidR="0061674F" w:rsidRPr="00CF74FA">
        <w:rPr>
          <w:lang w:val="en-US"/>
        </w:rPr>
        <w:t xml:space="preserve">erchant indifference test, </w:t>
      </w:r>
      <w:r w:rsidR="00715688" w:rsidRPr="00CF74FA">
        <w:rPr>
          <w:lang w:val="en-US"/>
        </w:rPr>
        <w:t xml:space="preserve">as a methodology to </w:t>
      </w:r>
      <w:r w:rsidR="0061674F" w:rsidRPr="00CF74FA">
        <w:rPr>
          <w:lang w:val="en-US"/>
        </w:rPr>
        <w:t xml:space="preserve">calculate </w:t>
      </w:r>
      <w:r w:rsidR="00715688" w:rsidRPr="00CF74FA">
        <w:rPr>
          <w:lang w:val="en-US"/>
        </w:rPr>
        <w:t>the fee caps</w:t>
      </w:r>
      <w:r w:rsidR="0061674F" w:rsidRPr="00CF74FA">
        <w:rPr>
          <w:lang w:val="en-US"/>
        </w:rPr>
        <w:t>,</w:t>
      </w:r>
      <w:r w:rsidR="00715688" w:rsidRPr="00CF74FA">
        <w:rPr>
          <w:lang w:val="en-US"/>
        </w:rPr>
        <w:t xml:space="preserve"> might </w:t>
      </w:r>
      <w:r w:rsidR="00512C89">
        <w:rPr>
          <w:lang w:val="en-US"/>
        </w:rPr>
        <w:t xml:space="preserve">be validly applicable </w:t>
      </w:r>
      <w:r w:rsidR="00715688" w:rsidRPr="00CF74FA">
        <w:rPr>
          <w:lang w:val="en-US"/>
        </w:rPr>
        <w:t>for debit</w:t>
      </w:r>
      <w:r w:rsidR="00512C89">
        <w:rPr>
          <w:lang w:val="en-US"/>
        </w:rPr>
        <w:t xml:space="preserve"> (as debit </w:t>
      </w:r>
      <w:r w:rsidR="00443C50" w:rsidRPr="00CF74FA">
        <w:rPr>
          <w:lang w:val="en-US"/>
        </w:rPr>
        <w:t xml:space="preserve">cardholders are provided with </w:t>
      </w:r>
      <w:r w:rsidR="00512C89">
        <w:rPr>
          <w:lang w:val="en-US"/>
        </w:rPr>
        <w:t>cash</w:t>
      </w:r>
      <w:r w:rsidR="00443C50" w:rsidRPr="00CF74FA">
        <w:rPr>
          <w:lang w:val="en-US"/>
        </w:rPr>
        <w:t xml:space="preserve"> they have got at the moment they purchase)</w:t>
      </w:r>
      <w:r w:rsidR="00715688" w:rsidRPr="00CF74FA">
        <w:rPr>
          <w:lang w:val="en-US"/>
        </w:rPr>
        <w:t xml:space="preserve">, although </w:t>
      </w:r>
      <w:r w:rsidR="0061674F" w:rsidRPr="00CF74FA">
        <w:rPr>
          <w:lang w:val="en-US"/>
        </w:rPr>
        <w:t>it might not be appropriate for credit</w:t>
      </w:r>
      <w:r w:rsidRPr="00CF74FA">
        <w:rPr>
          <w:lang w:val="en-US"/>
        </w:rPr>
        <w:t>, as in that case the cardholders</w:t>
      </w:r>
      <w:r w:rsidR="00715688" w:rsidRPr="00CF74FA">
        <w:rPr>
          <w:lang w:val="en-US"/>
        </w:rPr>
        <w:t xml:space="preserve"> are be</w:t>
      </w:r>
      <w:r w:rsidR="00DC255A">
        <w:rPr>
          <w:lang w:val="en-US"/>
        </w:rPr>
        <w:t xml:space="preserve">ing provided with </w:t>
      </w:r>
      <w:r w:rsidR="00512C89">
        <w:rPr>
          <w:lang w:val="en-US"/>
        </w:rPr>
        <w:t>cash</w:t>
      </w:r>
      <w:r w:rsidR="00DC255A">
        <w:rPr>
          <w:lang w:val="en-US"/>
        </w:rPr>
        <w:t xml:space="preserve"> they </w:t>
      </w:r>
      <w:r w:rsidR="00512C89">
        <w:rPr>
          <w:lang w:val="en-US"/>
        </w:rPr>
        <w:t>do not necessarily</w:t>
      </w:r>
      <w:r w:rsidR="00715688" w:rsidRPr="00CF74FA">
        <w:rPr>
          <w:lang w:val="en-US"/>
        </w:rPr>
        <w:t xml:space="preserve"> have at the moment they purchase.</w:t>
      </w:r>
    </w:p>
    <w:p w:rsidR="002F3DBA" w:rsidRPr="00CF74FA" w:rsidRDefault="002F3DBA" w:rsidP="002F3DBA">
      <w:pPr>
        <w:ind w:left="0"/>
        <w:jc w:val="both"/>
        <w:rPr>
          <w:lang w:val="en-US"/>
        </w:rPr>
      </w:pPr>
    </w:p>
    <w:p w:rsidR="00512C89" w:rsidRDefault="00512C89">
      <w:pPr>
        <w:spacing w:after="200"/>
        <w:ind w:left="0"/>
        <w:rPr>
          <w:rFonts w:ascii="Tahoma" w:eastAsiaTheme="majorEastAsia" w:hAnsi="Tahoma" w:cs="Tahoma"/>
          <w:b/>
          <w:bCs/>
          <w:color w:val="595959" w:themeColor="text1" w:themeTint="A6"/>
          <w:sz w:val="26"/>
          <w:szCs w:val="26"/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2F3DBA" w:rsidRPr="00512C89" w:rsidRDefault="00CB58A0" w:rsidP="00512C89">
      <w:pPr>
        <w:pStyle w:val="Heading2"/>
        <w:rPr>
          <w:lang w:val="en-US"/>
        </w:rPr>
      </w:pPr>
      <w:bookmarkStart w:id="8" w:name="_Toc417569660"/>
      <w:r w:rsidRPr="00512C89">
        <w:rPr>
          <w:lang w:val="en-US"/>
        </w:rPr>
        <w:lastRenderedPageBreak/>
        <w:t>Regulating with a holistic</w:t>
      </w:r>
      <w:r w:rsidR="004C1740" w:rsidRPr="00512C89">
        <w:rPr>
          <w:lang w:val="en-US"/>
        </w:rPr>
        <w:t>, flexible</w:t>
      </w:r>
      <w:r w:rsidRPr="00512C89">
        <w:rPr>
          <w:lang w:val="en-US"/>
        </w:rPr>
        <w:t xml:space="preserve"> and r</w:t>
      </w:r>
      <w:r w:rsidR="002F3DBA" w:rsidRPr="00512C89">
        <w:rPr>
          <w:lang w:val="en-US"/>
        </w:rPr>
        <w:t>isk based approach</w:t>
      </w:r>
      <w:bookmarkEnd w:id="8"/>
      <w:r w:rsidR="002F3DBA" w:rsidRPr="00512C89">
        <w:rPr>
          <w:lang w:val="en-US"/>
        </w:rPr>
        <w:t xml:space="preserve"> </w:t>
      </w:r>
    </w:p>
    <w:p w:rsidR="002F3DBA" w:rsidRPr="00CF74FA" w:rsidRDefault="002F3DBA" w:rsidP="002F3DBA">
      <w:pPr>
        <w:jc w:val="both"/>
        <w:rPr>
          <w:lang w:val="en-US"/>
        </w:rPr>
      </w:pPr>
    </w:p>
    <w:p w:rsidR="00512C89" w:rsidRDefault="00CB58A0" w:rsidP="00512C89">
      <w:pPr>
        <w:ind w:left="0"/>
        <w:jc w:val="both"/>
        <w:rPr>
          <w:lang w:val="en-US"/>
        </w:rPr>
      </w:pPr>
      <w:r w:rsidRPr="00CF74FA">
        <w:rPr>
          <w:lang w:val="en-US"/>
        </w:rPr>
        <w:t xml:space="preserve">Another potential risk </w:t>
      </w:r>
      <w:r w:rsidR="00E12CBE" w:rsidRPr="00CF74FA">
        <w:rPr>
          <w:lang w:val="en-US"/>
        </w:rPr>
        <w:t xml:space="preserve">of regulating these matters is not to adjust the </w:t>
      </w:r>
      <w:r w:rsidR="00DC255A">
        <w:rPr>
          <w:lang w:val="en-US"/>
        </w:rPr>
        <w:t xml:space="preserve">potential </w:t>
      </w:r>
      <w:r w:rsidR="00E12CBE" w:rsidRPr="00CF74FA">
        <w:rPr>
          <w:lang w:val="en-US"/>
        </w:rPr>
        <w:t>requirements</w:t>
      </w:r>
      <w:r w:rsidR="00DC255A">
        <w:rPr>
          <w:lang w:val="en-US"/>
        </w:rPr>
        <w:t xml:space="preserve"> laid out</w:t>
      </w:r>
      <w:r w:rsidR="00F31827" w:rsidRPr="00CF74FA">
        <w:rPr>
          <w:lang w:val="en-US"/>
        </w:rPr>
        <w:t xml:space="preserve"> to </w:t>
      </w:r>
      <w:r w:rsidR="00E12CBE" w:rsidRPr="00CF74FA">
        <w:rPr>
          <w:lang w:val="en-US"/>
        </w:rPr>
        <w:t>the different conditions</w:t>
      </w:r>
      <w:r w:rsidR="00F31827" w:rsidRPr="00CF74FA">
        <w:rPr>
          <w:lang w:val="en-US"/>
        </w:rPr>
        <w:t>/features</w:t>
      </w:r>
      <w:r w:rsidR="00E12CBE" w:rsidRPr="00CF74FA">
        <w:rPr>
          <w:lang w:val="en-US"/>
        </w:rPr>
        <w:t xml:space="preserve"> of the </w:t>
      </w:r>
      <w:r w:rsidR="00FD4086">
        <w:rPr>
          <w:lang w:val="en-US"/>
        </w:rPr>
        <w:t xml:space="preserve">varied </w:t>
      </w:r>
      <w:r w:rsidR="00E12CBE" w:rsidRPr="00CF74FA">
        <w:rPr>
          <w:lang w:val="en-US"/>
        </w:rPr>
        <w:t xml:space="preserve">services or products within scope. For instance, digital wallets –like </w:t>
      </w:r>
      <w:proofErr w:type="spellStart"/>
      <w:r w:rsidR="00E12CBE" w:rsidRPr="00CF74FA">
        <w:rPr>
          <w:lang w:val="en-US"/>
        </w:rPr>
        <w:t>Paypal</w:t>
      </w:r>
      <w:proofErr w:type="spellEnd"/>
      <w:r w:rsidR="00474257" w:rsidRPr="00CF74FA">
        <w:rPr>
          <w:lang w:val="en-US"/>
        </w:rPr>
        <w:t xml:space="preserve"> or other alternative payment methods</w:t>
      </w:r>
      <w:r w:rsidR="00E12CBE" w:rsidRPr="00CF74FA">
        <w:rPr>
          <w:lang w:val="en-US"/>
        </w:rPr>
        <w:t>- are not the same as the e-wallets issued by a 4 party scheme</w:t>
      </w:r>
      <w:r w:rsidR="00BD6CEB" w:rsidRPr="00CF74FA">
        <w:rPr>
          <w:lang w:val="en-US"/>
        </w:rPr>
        <w:t xml:space="preserve"> (and in many cases they serve clients from these 4 party schemes)</w:t>
      </w:r>
      <w:r w:rsidR="00E12CBE" w:rsidRPr="00CF74FA">
        <w:rPr>
          <w:lang w:val="en-US"/>
        </w:rPr>
        <w:t xml:space="preserve">. </w:t>
      </w:r>
      <w:r w:rsidR="00F31827" w:rsidRPr="00CF74FA">
        <w:rPr>
          <w:lang w:val="en-US"/>
        </w:rPr>
        <w:t>This should b</w:t>
      </w:r>
      <w:r w:rsidR="00BD6CEB" w:rsidRPr="00CF74FA">
        <w:rPr>
          <w:lang w:val="en-US"/>
        </w:rPr>
        <w:t xml:space="preserve">e taken care of in order not to regulate products/services already in scope, as this </w:t>
      </w:r>
      <w:r w:rsidR="00474257" w:rsidRPr="00CF74FA">
        <w:rPr>
          <w:lang w:val="en-US"/>
        </w:rPr>
        <w:t>may</w:t>
      </w:r>
      <w:r w:rsidR="00BD6CEB" w:rsidRPr="00CF74FA">
        <w:rPr>
          <w:lang w:val="en-US"/>
        </w:rPr>
        <w:t xml:space="preserve"> </w:t>
      </w:r>
      <w:r w:rsidR="00474257" w:rsidRPr="00CF74FA">
        <w:rPr>
          <w:lang w:val="en-US"/>
        </w:rPr>
        <w:t>tackle innovation and</w:t>
      </w:r>
      <w:r w:rsidR="00BD6CEB" w:rsidRPr="00CF74FA">
        <w:rPr>
          <w:lang w:val="en-US"/>
        </w:rPr>
        <w:t xml:space="preserve"> limit the availability of </w:t>
      </w:r>
      <w:r w:rsidR="00F31827" w:rsidRPr="00CF74FA">
        <w:rPr>
          <w:lang w:val="en-US"/>
        </w:rPr>
        <w:t xml:space="preserve">cheaper </w:t>
      </w:r>
      <w:r w:rsidR="00BD6CEB" w:rsidRPr="00CF74FA">
        <w:rPr>
          <w:lang w:val="en-US"/>
        </w:rPr>
        <w:t xml:space="preserve">and more efficient </w:t>
      </w:r>
      <w:r w:rsidR="00F31827" w:rsidRPr="00CF74FA">
        <w:rPr>
          <w:lang w:val="en-US"/>
        </w:rPr>
        <w:t xml:space="preserve">payment services, from </w:t>
      </w:r>
      <w:r w:rsidR="00BD6CEB" w:rsidRPr="00CF74FA">
        <w:rPr>
          <w:lang w:val="en-US"/>
        </w:rPr>
        <w:t>which consumers can benefit</w:t>
      </w:r>
      <w:r w:rsidR="00F31827" w:rsidRPr="00CF74FA">
        <w:rPr>
          <w:lang w:val="en-US"/>
        </w:rPr>
        <w:t>.</w:t>
      </w:r>
      <w:r w:rsidR="001635F2" w:rsidRPr="00CF74FA">
        <w:rPr>
          <w:lang w:val="en-US"/>
        </w:rPr>
        <w:t xml:space="preserve"> </w:t>
      </w:r>
    </w:p>
    <w:p w:rsidR="00512C89" w:rsidRDefault="00512C89" w:rsidP="00512C89">
      <w:pPr>
        <w:ind w:left="0"/>
        <w:jc w:val="both"/>
        <w:rPr>
          <w:lang w:val="en-US"/>
        </w:rPr>
      </w:pPr>
    </w:p>
    <w:p w:rsidR="00512C89" w:rsidRDefault="00512C89" w:rsidP="00512C89">
      <w:pPr>
        <w:ind w:left="0"/>
        <w:jc w:val="both"/>
        <w:rPr>
          <w:lang w:val="en-US"/>
        </w:rPr>
      </w:pPr>
    </w:p>
    <w:p w:rsidR="00F178BA" w:rsidRPr="00512C89" w:rsidRDefault="00F178BA" w:rsidP="00512C89">
      <w:pPr>
        <w:pStyle w:val="Heading2"/>
        <w:rPr>
          <w:lang w:val="en-US"/>
        </w:rPr>
      </w:pPr>
      <w:bookmarkStart w:id="9" w:name="_Toc417569661"/>
      <w:r w:rsidRPr="00512C89">
        <w:rPr>
          <w:lang w:val="en-US"/>
        </w:rPr>
        <w:t>Regulatory efficiency</w:t>
      </w:r>
      <w:bookmarkEnd w:id="9"/>
    </w:p>
    <w:p w:rsidR="00F178BA" w:rsidRPr="00CF74FA" w:rsidRDefault="00F178BA" w:rsidP="002F3DBA">
      <w:pPr>
        <w:ind w:left="0"/>
        <w:jc w:val="both"/>
        <w:rPr>
          <w:lang w:val="en-US"/>
        </w:rPr>
      </w:pPr>
    </w:p>
    <w:p w:rsidR="00F178BA" w:rsidRPr="00CF74FA" w:rsidRDefault="00F178BA" w:rsidP="002F3DBA">
      <w:pPr>
        <w:ind w:left="0"/>
        <w:jc w:val="both"/>
        <w:rPr>
          <w:lang w:val="en-US"/>
        </w:rPr>
      </w:pPr>
      <w:r w:rsidRPr="00CF74FA">
        <w:rPr>
          <w:lang w:val="en-US"/>
        </w:rPr>
        <w:t xml:space="preserve">Implementing a regulation like this one </w:t>
      </w:r>
      <w:r w:rsidR="00A26DE2">
        <w:rPr>
          <w:lang w:val="en-US"/>
        </w:rPr>
        <w:t xml:space="preserve">will most likely </w:t>
      </w:r>
      <w:r w:rsidRPr="00CF74FA">
        <w:rPr>
          <w:lang w:val="en-US"/>
        </w:rPr>
        <w:t xml:space="preserve">require a complex and expensive regulatory process. In Europe </w:t>
      </w:r>
      <w:r w:rsidR="00583BD6" w:rsidRPr="00CF74FA">
        <w:rPr>
          <w:lang w:val="en-US"/>
        </w:rPr>
        <w:t xml:space="preserve">it </w:t>
      </w:r>
      <w:r w:rsidRPr="00CF74FA">
        <w:rPr>
          <w:lang w:val="en-US"/>
        </w:rPr>
        <w:t xml:space="preserve">will </w:t>
      </w:r>
      <w:r w:rsidR="00FD4086">
        <w:rPr>
          <w:lang w:val="en-US"/>
        </w:rPr>
        <w:t>at least</w:t>
      </w:r>
      <w:r w:rsidRPr="00CF74FA">
        <w:rPr>
          <w:lang w:val="en-US"/>
        </w:rPr>
        <w:t xml:space="preserve"> require further development, monitoring and enforcement </w:t>
      </w:r>
      <w:r w:rsidR="007B6CCD">
        <w:rPr>
          <w:lang w:val="en-US"/>
        </w:rPr>
        <w:t xml:space="preserve">from supervisory and regulatory authorities </w:t>
      </w:r>
      <w:r w:rsidRPr="00CF74FA">
        <w:rPr>
          <w:lang w:val="en-US"/>
        </w:rPr>
        <w:t>at a European and local level</w:t>
      </w:r>
      <w:r w:rsidR="00DC255A">
        <w:rPr>
          <w:lang w:val="en-US"/>
        </w:rPr>
        <w:t xml:space="preserve">, who will have to </w:t>
      </w:r>
      <w:r w:rsidR="00512C89">
        <w:rPr>
          <w:lang w:val="en-US"/>
        </w:rPr>
        <w:t xml:space="preserve">apply </w:t>
      </w:r>
      <w:r w:rsidR="00DC255A">
        <w:rPr>
          <w:lang w:val="en-US"/>
        </w:rPr>
        <w:t xml:space="preserve">Level 2 measures and issue </w:t>
      </w:r>
      <w:r w:rsidR="002237F7">
        <w:rPr>
          <w:lang w:val="en-US"/>
        </w:rPr>
        <w:t xml:space="preserve">implementation </w:t>
      </w:r>
      <w:r w:rsidR="00DC255A">
        <w:rPr>
          <w:lang w:val="en-US"/>
        </w:rPr>
        <w:t>guidelines and recommendations</w:t>
      </w:r>
      <w:r w:rsidR="00815F9D">
        <w:rPr>
          <w:lang w:val="en-US"/>
        </w:rPr>
        <w:t xml:space="preserve">. </w:t>
      </w:r>
      <w:r w:rsidR="00A26DE2">
        <w:rPr>
          <w:lang w:val="en-US"/>
        </w:rPr>
        <w:t>And not less importantly, this requires</w:t>
      </w:r>
      <w:r w:rsidR="00815F9D">
        <w:rPr>
          <w:lang w:val="en-US"/>
        </w:rPr>
        <w:t xml:space="preserve"> policing and enforcing </w:t>
      </w:r>
      <w:r w:rsidR="00A26DE2">
        <w:rPr>
          <w:lang w:val="en-US"/>
        </w:rPr>
        <w:t xml:space="preserve">the requirements laid down in the final </w:t>
      </w:r>
      <w:r w:rsidR="00815F9D">
        <w:rPr>
          <w:lang w:val="en-US"/>
        </w:rPr>
        <w:t>framework with budget limitations that are the norm in these times of global crisis</w:t>
      </w:r>
      <w:r w:rsidRPr="00CF74FA">
        <w:rPr>
          <w:lang w:val="en-US"/>
        </w:rPr>
        <w:t xml:space="preserve">. </w:t>
      </w:r>
      <w:r w:rsidR="00FD4086">
        <w:rPr>
          <w:lang w:val="en-US"/>
        </w:rPr>
        <w:t>Therefore, a</w:t>
      </w:r>
      <w:r w:rsidR="00583BD6" w:rsidRPr="00CF74FA">
        <w:rPr>
          <w:lang w:val="en-US"/>
        </w:rPr>
        <w:t xml:space="preserve">ny regulatory </w:t>
      </w:r>
      <w:r w:rsidR="007B6CCD">
        <w:rPr>
          <w:lang w:val="en-US"/>
        </w:rPr>
        <w:t>proposal</w:t>
      </w:r>
      <w:r w:rsidR="00583BD6" w:rsidRPr="00CF74FA">
        <w:rPr>
          <w:lang w:val="en-US"/>
        </w:rPr>
        <w:t xml:space="preserve"> should be mindful of this when measuring the feasibility</w:t>
      </w:r>
      <w:r w:rsidR="00884639" w:rsidRPr="00CF74FA">
        <w:rPr>
          <w:lang w:val="en-US"/>
        </w:rPr>
        <w:t xml:space="preserve"> of any steps brought forward.</w:t>
      </w:r>
    </w:p>
    <w:p w:rsidR="00815F9D" w:rsidRDefault="00815F9D">
      <w:pPr>
        <w:spacing w:after="200"/>
        <w:ind w:left="0"/>
        <w:rPr>
          <w:rFonts w:ascii="Tahoma" w:eastAsiaTheme="majorEastAsia" w:hAnsi="Tahoma" w:cs="Tahoma"/>
          <w:b/>
          <w:bCs/>
          <w:caps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EE52C9" w:rsidRPr="00CF74FA" w:rsidRDefault="00EE52C9" w:rsidP="00C21C30">
      <w:pPr>
        <w:pStyle w:val="Heading1"/>
        <w:jc w:val="both"/>
        <w:rPr>
          <w:color w:val="auto"/>
          <w:lang w:val="en-US"/>
        </w:rPr>
      </w:pPr>
      <w:bookmarkStart w:id="10" w:name="_Toc417569662"/>
      <w:r w:rsidRPr="00CF74FA">
        <w:rPr>
          <w:color w:val="auto"/>
          <w:lang w:val="en-US"/>
        </w:rPr>
        <w:lastRenderedPageBreak/>
        <w:t>CONCLUSION</w:t>
      </w:r>
      <w:bookmarkEnd w:id="10"/>
    </w:p>
    <w:p w:rsidR="00884639" w:rsidRPr="00CF74FA" w:rsidRDefault="00884639" w:rsidP="00884639">
      <w:pPr>
        <w:ind w:left="0"/>
        <w:rPr>
          <w:lang w:val="en-US"/>
        </w:rPr>
      </w:pPr>
    </w:p>
    <w:p w:rsidR="007B6CCD" w:rsidRDefault="00884639" w:rsidP="007B6CCD">
      <w:pPr>
        <w:ind w:left="0"/>
        <w:jc w:val="both"/>
        <w:rPr>
          <w:lang w:val="en-US"/>
        </w:rPr>
      </w:pPr>
      <w:r w:rsidRPr="00CF74FA">
        <w:rPr>
          <w:lang w:val="en-US"/>
        </w:rPr>
        <w:t xml:space="preserve">In Payvision </w:t>
      </w:r>
      <w:r w:rsidR="003A1CC3" w:rsidRPr="00CF74FA">
        <w:rPr>
          <w:lang w:val="en-US"/>
        </w:rPr>
        <w:t xml:space="preserve">we are in </w:t>
      </w:r>
      <w:proofErr w:type="spellStart"/>
      <w:r w:rsidR="003A1CC3" w:rsidRPr="00CF74FA">
        <w:rPr>
          <w:lang w:val="en-US"/>
        </w:rPr>
        <w:t>favour</w:t>
      </w:r>
      <w:proofErr w:type="spellEnd"/>
      <w:r w:rsidR="003A1CC3" w:rsidRPr="00CF74FA">
        <w:rPr>
          <w:lang w:val="en-US"/>
        </w:rPr>
        <w:t xml:space="preserve"> of increasing competitio</w:t>
      </w:r>
      <w:r w:rsidR="00FB1D69" w:rsidRPr="00CF74FA">
        <w:rPr>
          <w:lang w:val="en-US"/>
        </w:rPr>
        <w:t>n and consumer protection. As a global</w:t>
      </w:r>
      <w:r w:rsidR="003A1CC3" w:rsidRPr="00CF74FA">
        <w:rPr>
          <w:lang w:val="en-US"/>
        </w:rPr>
        <w:t xml:space="preserve"> SME we </w:t>
      </w:r>
      <w:r w:rsidRPr="00CF74FA">
        <w:rPr>
          <w:lang w:val="en-US"/>
        </w:rPr>
        <w:t xml:space="preserve">believe that, at this stage, there’s plenty of space in the payments environment for more market entries. A number of local markets are under served due to </w:t>
      </w:r>
      <w:r w:rsidR="00472F2A">
        <w:rPr>
          <w:lang w:val="en-US"/>
        </w:rPr>
        <w:t>a small amount of</w:t>
      </w:r>
      <w:r w:rsidRPr="00CF74FA">
        <w:rPr>
          <w:lang w:val="en-US"/>
        </w:rPr>
        <w:t xml:space="preserve"> players covering all the demand for efficient and cheap payments. This leads to inefficiencies and to less consumer choice and protection, with expensive and less innovative products. </w:t>
      </w:r>
      <w:r w:rsidR="00FB1D69" w:rsidRPr="00CF74FA">
        <w:rPr>
          <w:lang w:val="en-US"/>
        </w:rPr>
        <w:t>W</w:t>
      </w:r>
      <w:r w:rsidRPr="00CF74FA">
        <w:rPr>
          <w:lang w:val="en-US"/>
        </w:rPr>
        <w:t>e support the idea of prioritizing competition and widening access for smaller players, so that the industry as a whole may render more innovative services in a cost-effective and transparent manner.</w:t>
      </w:r>
      <w:r w:rsidR="00FB1D69" w:rsidRPr="00CF74FA">
        <w:rPr>
          <w:lang w:val="en-US"/>
        </w:rPr>
        <w:t xml:space="preserve"> This will in the end b</w:t>
      </w:r>
      <w:r w:rsidR="007B6CCD">
        <w:rPr>
          <w:lang w:val="en-US"/>
        </w:rPr>
        <w:t xml:space="preserve">enefit consumers, in terms of </w:t>
      </w:r>
      <w:r w:rsidR="00FB1D69" w:rsidRPr="00CF74FA">
        <w:rPr>
          <w:lang w:val="en-US"/>
        </w:rPr>
        <w:t xml:space="preserve">convenience </w:t>
      </w:r>
      <w:r w:rsidR="007B6CCD">
        <w:rPr>
          <w:lang w:val="en-US"/>
        </w:rPr>
        <w:t xml:space="preserve">(smooth payment experience) </w:t>
      </w:r>
      <w:r w:rsidR="00FB1D69" w:rsidRPr="00CF74FA">
        <w:rPr>
          <w:lang w:val="en-US"/>
        </w:rPr>
        <w:t>and pricing</w:t>
      </w:r>
      <w:r w:rsidR="007B6CCD">
        <w:rPr>
          <w:lang w:val="en-US"/>
        </w:rPr>
        <w:t xml:space="preserve"> (lower final prices)</w:t>
      </w:r>
      <w:r w:rsidR="00FB1D69" w:rsidRPr="00CF74FA">
        <w:rPr>
          <w:lang w:val="en-US"/>
        </w:rPr>
        <w:t>.</w:t>
      </w:r>
    </w:p>
    <w:p w:rsidR="00FB1D69" w:rsidRPr="00CF74FA" w:rsidRDefault="00FB1D69" w:rsidP="007B6CCD">
      <w:pPr>
        <w:ind w:left="0"/>
        <w:jc w:val="both"/>
        <w:rPr>
          <w:lang w:val="en-US"/>
        </w:rPr>
      </w:pPr>
      <w:r w:rsidRPr="00CF74FA">
        <w:rPr>
          <w:lang w:val="en-US"/>
        </w:rPr>
        <w:br/>
        <w:t xml:space="preserve">However, it is paramount that the above-mentioned risks are addressed with the utmost care as otherwise the proposed measures might be counterproductive, and end up weakening the position of consumers and/or smaller </w:t>
      </w:r>
      <w:r w:rsidR="00AE2787">
        <w:rPr>
          <w:lang w:val="en-US"/>
        </w:rPr>
        <w:t>players (merchants, acquirers, PSPs)</w:t>
      </w:r>
      <w:r w:rsidRPr="00CF74FA">
        <w:rPr>
          <w:lang w:val="en-US"/>
        </w:rPr>
        <w:t xml:space="preserve">, who might pay the price of </w:t>
      </w:r>
      <w:r w:rsidR="007B6CCD">
        <w:rPr>
          <w:lang w:val="en-US"/>
        </w:rPr>
        <w:t>the future change in the rules of the game</w:t>
      </w:r>
      <w:r w:rsidR="00AE2787">
        <w:rPr>
          <w:lang w:val="en-US"/>
        </w:rPr>
        <w:t xml:space="preserve"> (with </w:t>
      </w:r>
      <w:r w:rsidR="0028448E">
        <w:rPr>
          <w:lang w:val="en-US"/>
        </w:rPr>
        <w:t xml:space="preserve">increased </w:t>
      </w:r>
      <w:r w:rsidR="002237F7">
        <w:rPr>
          <w:lang w:val="en-US"/>
        </w:rPr>
        <w:t>retail</w:t>
      </w:r>
      <w:r w:rsidR="00AE2787">
        <w:rPr>
          <w:lang w:val="en-US"/>
        </w:rPr>
        <w:t xml:space="preserve"> prices or </w:t>
      </w:r>
      <w:r w:rsidR="0028448E">
        <w:rPr>
          <w:lang w:val="en-US"/>
        </w:rPr>
        <w:t xml:space="preserve">more </w:t>
      </w:r>
      <w:r w:rsidR="00AE2787">
        <w:rPr>
          <w:lang w:val="en-US"/>
        </w:rPr>
        <w:t>barriers to market entry, respectively)</w:t>
      </w:r>
      <w:r w:rsidRPr="00CF74FA">
        <w:rPr>
          <w:lang w:val="en-US"/>
        </w:rPr>
        <w:t>.</w:t>
      </w:r>
      <w:r w:rsidR="00AE2787">
        <w:rPr>
          <w:lang w:val="en-US"/>
        </w:rPr>
        <w:t xml:space="preserve"> </w:t>
      </w:r>
    </w:p>
    <w:p w:rsidR="00C40013" w:rsidRPr="00D849BA" w:rsidRDefault="00C40013" w:rsidP="00C21C30">
      <w:pPr>
        <w:jc w:val="both"/>
        <w:rPr>
          <w:rFonts w:ascii="Tahoma" w:hAnsi="Tahoma" w:cs="Tahoma"/>
          <w:color w:val="FF0000"/>
          <w:lang w:val="en-US"/>
        </w:rPr>
      </w:pPr>
    </w:p>
    <w:sectPr w:rsidR="00C40013" w:rsidRPr="00D849BA" w:rsidSect="00AB7D2E">
      <w:headerReference w:type="default" r:id="rId12"/>
      <w:footerReference w:type="default" r:id="rId13"/>
      <w:pgSz w:w="11906" w:h="16838"/>
      <w:pgMar w:top="2979" w:right="1417" w:bottom="1417" w:left="1417" w:header="9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60" w:rsidRDefault="00582760" w:rsidP="002B7E46">
      <w:r>
        <w:separator/>
      </w:r>
    </w:p>
    <w:p w:rsidR="00582760" w:rsidRDefault="00582760"/>
  </w:endnote>
  <w:endnote w:type="continuationSeparator" w:id="0">
    <w:p w:rsidR="00582760" w:rsidRDefault="00582760" w:rsidP="002B7E46">
      <w:r>
        <w:continuationSeparator/>
      </w:r>
    </w:p>
    <w:p w:rsidR="00582760" w:rsidRDefault="00582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27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CC3" w:rsidRDefault="003A1C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1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1CC3" w:rsidRDefault="003A1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60" w:rsidRDefault="00582760" w:rsidP="002B7E46">
      <w:r>
        <w:separator/>
      </w:r>
    </w:p>
    <w:p w:rsidR="00582760" w:rsidRDefault="00582760"/>
  </w:footnote>
  <w:footnote w:type="continuationSeparator" w:id="0">
    <w:p w:rsidR="00582760" w:rsidRDefault="00582760" w:rsidP="002B7E46">
      <w:r>
        <w:continuationSeparator/>
      </w:r>
    </w:p>
    <w:p w:rsidR="00582760" w:rsidRDefault="00582760"/>
  </w:footnote>
  <w:footnote w:id="1">
    <w:p w:rsidR="003A1CC3" w:rsidRPr="00455D1A" w:rsidRDefault="003A1CC3" w:rsidP="007C1AA0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455D1A">
        <w:rPr>
          <w:lang w:val="en-US"/>
        </w:rPr>
        <w:t xml:space="preserve"> </w:t>
      </w:r>
      <w:r>
        <w:rPr>
          <w:lang w:val="en-US"/>
        </w:rPr>
        <w:t>Mobile Point of Sales which enables a merchant to accept face-to-face payment through EMV (</w:t>
      </w:r>
      <w:proofErr w:type="spellStart"/>
      <w:r>
        <w:rPr>
          <w:lang w:val="en-US"/>
        </w:rPr>
        <w:t>chip&amp;PIN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chip&amp;signature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magstripe</w:t>
      </w:r>
      <w:proofErr w:type="spellEnd"/>
      <w:r>
        <w:rPr>
          <w:lang w:val="en-US"/>
        </w:rPr>
        <w:t xml:space="preserve"> &amp; signature, and contactless technology.</w:t>
      </w:r>
    </w:p>
  </w:footnote>
  <w:footnote w:id="2">
    <w:p w:rsidR="003A1CC3" w:rsidRPr="00455D1A" w:rsidRDefault="003A1CC3" w:rsidP="00D975CD">
      <w:pPr>
        <w:pStyle w:val="FootnoteText"/>
        <w:jc w:val="both"/>
        <w:rPr>
          <w:lang w:val="en-US"/>
        </w:rPr>
      </w:pPr>
      <w:r w:rsidRPr="00DD5B35">
        <w:rPr>
          <w:rStyle w:val="FootnoteReference"/>
        </w:rPr>
        <w:footnoteRef/>
      </w:r>
      <w:r>
        <w:rPr>
          <w:lang w:val="en-US"/>
        </w:rPr>
        <w:t>h</w:t>
      </w:r>
      <w:r w:rsidRPr="00455D1A">
        <w:rPr>
          <w:lang w:val="en-US"/>
        </w:rPr>
        <w:t>ttp://www.dnb.nl/en/binaries/The%20Register%20of%20Payment%20Institutions_tcm47-228691.pdf</w:t>
      </w:r>
    </w:p>
  </w:footnote>
  <w:footnote w:id="3">
    <w:p w:rsidR="003A1CC3" w:rsidRPr="00723E72" w:rsidRDefault="003A1CC3" w:rsidP="00D975C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723E72">
        <w:rPr>
          <w:lang w:val="en-US"/>
        </w:rPr>
        <w:t xml:space="preserve"> </w:t>
      </w:r>
      <w:r w:rsidRPr="00723E72">
        <w:rPr>
          <w:i/>
          <w:lang w:val="en-US"/>
        </w:rPr>
        <w:t xml:space="preserve">Directive 2007/64/EC on payment services in the internal market amending </w:t>
      </w:r>
      <w:r>
        <w:rPr>
          <w:i/>
          <w:lang w:val="en-US"/>
        </w:rPr>
        <w:t>D</w:t>
      </w:r>
      <w:r w:rsidRPr="00723E72">
        <w:rPr>
          <w:i/>
          <w:lang w:val="en-US"/>
        </w:rPr>
        <w:t>irectives 97/7/EC, 2002/65/EC, 2005/60/EC and 2006/48/EC and repealing Directive 97/5/EC.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C3" w:rsidRDefault="003A1CC3" w:rsidP="00220B1D">
    <w:pPr>
      <w:pStyle w:val="Header"/>
      <w:ind w:left="-900"/>
    </w:pPr>
    <w:r>
      <w:rPr>
        <w:noProof/>
        <w:lang w:val="en-AU" w:eastAsia="en-AU"/>
      </w:rPr>
      <w:drawing>
        <wp:inline distT="0" distB="0" distL="0" distR="0" wp14:anchorId="0FDBBC93" wp14:editId="7BDE0F0B">
          <wp:extent cx="6867261" cy="1247774"/>
          <wp:effectExtent l="19050" t="0" r="0" b="0"/>
          <wp:docPr id="2" name="Picture 5" descr="pv-ADAM-letterhead_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v-ADAM-letterhead_new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7261" cy="1247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1CC3" w:rsidRDefault="003A1CC3" w:rsidP="00220B1D">
    <w:pPr>
      <w:pStyle w:val="Header"/>
      <w:ind w:left="-90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F40951" wp14:editId="7D1626B0">
              <wp:simplePos x="0" y="0"/>
              <wp:positionH relativeFrom="column">
                <wp:posOffset>-905510</wp:posOffset>
              </wp:positionH>
              <wp:positionV relativeFrom="paragraph">
                <wp:posOffset>107315</wp:posOffset>
              </wp:positionV>
              <wp:extent cx="7754620" cy="2330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4620" cy="233045"/>
                      </a:xfrm>
                      <a:prstGeom prst="rect">
                        <a:avLst/>
                      </a:prstGeom>
                      <a:solidFill>
                        <a:srgbClr val="E8E8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CC3" w:rsidRPr="008820FA" w:rsidRDefault="003A1CC3" w:rsidP="00220B1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F40951" id="Rectangle 1" o:spid="_x0000_s1026" style="position:absolute;left:0;text-align:left;margin-left:-71.3pt;margin-top:8.45pt;width:610.6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" fillcolor="#e8e8e8" stroked="f">
              <v:textbox>
                <w:txbxContent>
                  <w:p w:rsidR="003A1CC3" w:rsidRPr="008820FA" w:rsidRDefault="003A1CC3" w:rsidP="00220B1D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3A1CC3" w:rsidRDefault="003A1CC3" w:rsidP="00220B1D">
    <w:pPr>
      <w:pStyle w:val="Header"/>
      <w:ind w:left="-900"/>
    </w:pPr>
  </w:p>
  <w:p w:rsidR="003A1CC3" w:rsidRDefault="003A1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063"/>
    <w:multiLevelType w:val="multilevel"/>
    <w:tmpl w:val="799E204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AB"/>
    <w:rsid w:val="00007616"/>
    <w:rsid w:val="00012E0E"/>
    <w:rsid w:val="000245DC"/>
    <w:rsid w:val="00024FC6"/>
    <w:rsid w:val="00030F72"/>
    <w:rsid w:val="00050832"/>
    <w:rsid w:val="00057971"/>
    <w:rsid w:val="00064362"/>
    <w:rsid w:val="00070A2F"/>
    <w:rsid w:val="00081B5B"/>
    <w:rsid w:val="00092D24"/>
    <w:rsid w:val="00092E6E"/>
    <w:rsid w:val="00094B98"/>
    <w:rsid w:val="000A0CF8"/>
    <w:rsid w:val="000A46C9"/>
    <w:rsid w:val="000B6D1B"/>
    <w:rsid w:val="000C14DF"/>
    <w:rsid w:val="000C17A7"/>
    <w:rsid w:val="000C1AFE"/>
    <w:rsid w:val="000E3731"/>
    <w:rsid w:val="000F30D4"/>
    <w:rsid w:val="000F59DB"/>
    <w:rsid w:val="000F6FC0"/>
    <w:rsid w:val="00111BDE"/>
    <w:rsid w:val="001140F6"/>
    <w:rsid w:val="00121724"/>
    <w:rsid w:val="00126BB1"/>
    <w:rsid w:val="00144880"/>
    <w:rsid w:val="00144928"/>
    <w:rsid w:val="00152721"/>
    <w:rsid w:val="0015543A"/>
    <w:rsid w:val="001557FF"/>
    <w:rsid w:val="00155953"/>
    <w:rsid w:val="001635F2"/>
    <w:rsid w:val="00165D6A"/>
    <w:rsid w:val="00187EEB"/>
    <w:rsid w:val="00193CCE"/>
    <w:rsid w:val="00193D1D"/>
    <w:rsid w:val="001B440B"/>
    <w:rsid w:val="001C183C"/>
    <w:rsid w:val="001D536D"/>
    <w:rsid w:val="001E7A59"/>
    <w:rsid w:val="002047CC"/>
    <w:rsid w:val="002125F0"/>
    <w:rsid w:val="002151FD"/>
    <w:rsid w:val="002152D7"/>
    <w:rsid w:val="00215A79"/>
    <w:rsid w:val="00220B1D"/>
    <w:rsid w:val="00221CF2"/>
    <w:rsid w:val="002237F7"/>
    <w:rsid w:val="002324DC"/>
    <w:rsid w:val="00237806"/>
    <w:rsid w:val="00240A9F"/>
    <w:rsid w:val="0024258D"/>
    <w:rsid w:val="00244585"/>
    <w:rsid w:val="002574E1"/>
    <w:rsid w:val="00267A56"/>
    <w:rsid w:val="00275A80"/>
    <w:rsid w:val="00277493"/>
    <w:rsid w:val="0028448E"/>
    <w:rsid w:val="00297E9E"/>
    <w:rsid w:val="002A4A9D"/>
    <w:rsid w:val="002A76C2"/>
    <w:rsid w:val="002B50E5"/>
    <w:rsid w:val="002B74A2"/>
    <w:rsid w:val="002B77EF"/>
    <w:rsid w:val="002B7E46"/>
    <w:rsid w:val="002C1803"/>
    <w:rsid w:val="002C1D1E"/>
    <w:rsid w:val="002D0811"/>
    <w:rsid w:val="002D55A4"/>
    <w:rsid w:val="002E7A91"/>
    <w:rsid w:val="002F3DBA"/>
    <w:rsid w:val="002F4891"/>
    <w:rsid w:val="002F5BED"/>
    <w:rsid w:val="00321394"/>
    <w:rsid w:val="00321810"/>
    <w:rsid w:val="003262A5"/>
    <w:rsid w:val="00326B0F"/>
    <w:rsid w:val="00334AAB"/>
    <w:rsid w:val="00334AB4"/>
    <w:rsid w:val="00334FE0"/>
    <w:rsid w:val="00344457"/>
    <w:rsid w:val="00367768"/>
    <w:rsid w:val="003826DE"/>
    <w:rsid w:val="0039675B"/>
    <w:rsid w:val="003A05E3"/>
    <w:rsid w:val="003A1CC3"/>
    <w:rsid w:val="003A2DAC"/>
    <w:rsid w:val="003A2FDA"/>
    <w:rsid w:val="003C199F"/>
    <w:rsid w:val="003C5AA9"/>
    <w:rsid w:val="003C688B"/>
    <w:rsid w:val="003D0E36"/>
    <w:rsid w:val="003D212B"/>
    <w:rsid w:val="003E0F6E"/>
    <w:rsid w:val="003E0FA9"/>
    <w:rsid w:val="003E66A1"/>
    <w:rsid w:val="003E75C3"/>
    <w:rsid w:val="003F0E1E"/>
    <w:rsid w:val="003F343A"/>
    <w:rsid w:val="003F5B14"/>
    <w:rsid w:val="00401B13"/>
    <w:rsid w:val="004036E4"/>
    <w:rsid w:val="0041438E"/>
    <w:rsid w:val="00421DFA"/>
    <w:rsid w:val="00422299"/>
    <w:rsid w:val="00422BC7"/>
    <w:rsid w:val="004317E3"/>
    <w:rsid w:val="00434EC5"/>
    <w:rsid w:val="00436B21"/>
    <w:rsid w:val="00443C50"/>
    <w:rsid w:val="00455D1A"/>
    <w:rsid w:val="00472F2A"/>
    <w:rsid w:val="00474257"/>
    <w:rsid w:val="00475061"/>
    <w:rsid w:val="00481DF7"/>
    <w:rsid w:val="004A550E"/>
    <w:rsid w:val="004B1359"/>
    <w:rsid w:val="004B187F"/>
    <w:rsid w:val="004B5DC5"/>
    <w:rsid w:val="004C1740"/>
    <w:rsid w:val="004C34A3"/>
    <w:rsid w:val="004C421B"/>
    <w:rsid w:val="004C6F4C"/>
    <w:rsid w:val="004C765C"/>
    <w:rsid w:val="004D0AD5"/>
    <w:rsid w:val="004D75E5"/>
    <w:rsid w:val="004E4826"/>
    <w:rsid w:val="004E4A4D"/>
    <w:rsid w:val="004E5AF4"/>
    <w:rsid w:val="004F3722"/>
    <w:rsid w:val="005034AB"/>
    <w:rsid w:val="00503A79"/>
    <w:rsid w:val="00505522"/>
    <w:rsid w:val="005068E1"/>
    <w:rsid w:val="00506FE5"/>
    <w:rsid w:val="00512C89"/>
    <w:rsid w:val="005163E8"/>
    <w:rsid w:val="00517E02"/>
    <w:rsid w:val="005221E0"/>
    <w:rsid w:val="00525C1D"/>
    <w:rsid w:val="005340F4"/>
    <w:rsid w:val="005351CE"/>
    <w:rsid w:val="00536A4F"/>
    <w:rsid w:val="00541B1B"/>
    <w:rsid w:val="00542C8E"/>
    <w:rsid w:val="005474AA"/>
    <w:rsid w:val="00565493"/>
    <w:rsid w:val="00567CA3"/>
    <w:rsid w:val="00573053"/>
    <w:rsid w:val="00573A59"/>
    <w:rsid w:val="00574040"/>
    <w:rsid w:val="0057661A"/>
    <w:rsid w:val="00582760"/>
    <w:rsid w:val="00583BD6"/>
    <w:rsid w:val="00591A28"/>
    <w:rsid w:val="005B073F"/>
    <w:rsid w:val="005B0B7C"/>
    <w:rsid w:val="005C11DC"/>
    <w:rsid w:val="005C57F6"/>
    <w:rsid w:val="005D4454"/>
    <w:rsid w:val="005E080C"/>
    <w:rsid w:val="005F2E79"/>
    <w:rsid w:val="005F7934"/>
    <w:rsid w:val="00602782"/>
    <w:rsid w:val="0061674F"/>
    <w:rsid w:val="00637305"/>
    <w:rsid w:val="00640C74"/>
    <w:rsid w:val="006424C0"/>
    <w:rsid w:val="006612C4"/>
    <w:rsid w:val="00661F87"/>
    <w:rsid w:val="00664836"/>
    <w:rsid w:val="0067078A"/>
    <w:rsid w:val="00672C95"/>
    <w:rsid w:val="00695FA5"/>
    <w:rsid w:val="006A1617"/>
    <w:rsid w:val="006A2BCA"/>
    <w:rsid w:val="006C14BC"/>
    <w:rsid w:val="006D1B98"/>
    <w:rsid w:val="006D4027"/>
    <w:rsid w:val="006E1B9E"/>
    <w:rsid w:val="006E3A09"/>
    <w:rsid w:val="006E5CF4"/>
    <w:rsid w:val="006E5FFB"/>
    <w:rsid w:val="0070454D"/>
    <w:rsid w:val="00711AF7"/>
    <w:rsid w:val="00715688"/>
    <w:rsid w:val="00723E72"/>
    <w:rsid w:val="0075275B"/>
    <w:rsid w:val="007608B2"/>
    <w:rsid w:val="00766799"/>
    <w:rsid w:val="00766E87"/>
    <w:rsid w:val="00777055"/>
    <w:rsid w:val="00777760"/>
    <w:rsid w:val="00782C95"/>
    <w:rsid w:val="00791162"/>
    <w:rsid w:val="00791C57"/>
    <w:rsid w:val="00795300"/>
    <w:rsid w:val="00795B5D"/>
    <w:rsid w:val="007B6CCD"/>
    <w:rsid w:val="007C1AA0"/>
    <w:rsid w:val="007C358E"/>
    <w:rsid w:val="007C6A27"/>
    <w:rsid w:val="007D357A"/>
    <w:rsid w:val="007D4AF8"/>
    <w:rsid w:val="007E2334"/>
    <w:rsid w:val="007E5940"/>
    <w:rsid w:val="007F4D11"/>
    <w:rsid w:val="00804C7E"/>
    <w:rsid w:val="008060C4"/>
    <w:rsid w:val="008104F4"/>
    <w:rsid w:val="008153C7"/>
    <w:rsid w:val="00815F9D"/>
    <w:rsid w:val="00817DA9"/>
    <w:rsid w:val="00830D99"/>
    <w:rsid w:val="00833A4D"/>
    <w:rsid w:val="00842728"/>
    <w:rsid w:val="00844196"/>
    <w:rsid w:val="00860CEB"/>
    <w:rsid w:val="008654EF"/>
    <w:rsid w:val="00867F2A"/>
    <w:rsid w:val="00873429"/>
    <w:rsid w:val="00874D4B"/>
    <w:rsid w:val="00881A05"/>
    <w:rsid w:val="00884639"/>
    <w:rsid w:val="00897E63"/>
    <w:rsid w:val="008B3E4F"/>
    <w:rsid w:val="008B6F3B"/>
    <w:rsid w:val="008C2AE7"/>
    <w:rsid w:val="008D20D7"/>
    <w:rsid w:val="008E4F89"/>
    <w:rsid w:val="008F78F1"/>
    <w:rsid w:val="00907CD5"/>
    <w:rsid w:val="00922928"/>
    <w:rsid w:val="00932AAE"/>
    <w:rsid w:val="009523F4"/>
    <w:rsid w:val="00960EF6"/>
    <w:rsid w:val="0097144A"/>
    <w:rsid w:val="00977F71"/>
    <w:rsid w:val="00985F3B"/>
    <w:rsid w:val="00994E62"/>
    <w:rsid w:val="00997E56"/>
    <w:rsid w:val="009A6E8B"/>
    <w:rsid w:val="009B21E5"/>
    <w:rsid w:val="009B66A2"/>
    <w:rsid w:val="009C36FB"/>
    <w:rsid w:val="009C53E7"/>
    <w:rsid w:val="009D5059"/>
    <w:rsid w:val="009D5940"/>
    <w:rsid w:val="009E0C3A"/>
    <w:rsid w:val="009E6995"/>
    <w:rsid w:val="009E7256"/>
    <w:rsid w:val="00A0449C"/>
    <w:rsid w:val="00A2411B"/>
    <w:rsid w:val="00A26DE2"/>
    <w:rsid w:val="00A30BFD"/>
    <w:rsid w:val="00A40E2C"/>
    <w:rsid w:val="00A46CAB"/>
    <w:rsid w:val="00A56004"/>
    <w:rsid w:val="00A60D40"/>
    <w:rsid w:val="00A60EF3"/>
    <w:rsid w:val="00A6245D"/>
    <w:rsid w:val="00A673EF"/>
    <w:rsid w:val="00A673F6"/>
    <w:rsid w:val="00A73992"/>
    <w:rsid w:val="00A755D8"/>
    <w:rsid w:val="00A86DCE"/>
    <w:rsid w:val="00A9010F"/>
    <w:rsid w:val="00AA130C"/>
    <w:rsid w:val="00AA4A2B"/>
    <w:rsid w:val="00AA52BB"/>
    <w:rsid w:val="00AA56AB"/>
    <w:rsid w:val="00AA6E0B"/>
    <w:rsid w:val="00AB306C"/>
    <w:rsid w:val="00AB7D2E"/>
    <w:rsid w:val="00AD02E7"/>
    <w:rsid w:val="00AD6C0E"/>
    <w:rsid w:val="00AE2787"/>
    <w:rsid w:val="00AE4E33"/>
    <w:rsid w:val="00AE6FC7"/>
    <w:rsid w:val="00B017EB"/>
    <w:rsid w:val="00B05B6D"/>
    <w:rsid w:val="00B067F5"/>
    <w:rsid w:val="00B1445B"/>
    <w:rsid w:val="00B15E52"/>
    <w:rsid w:val="00B30612"/>
    <w:rsid w:val="00B37B06"/>
    <w:rsid w:val="00B37B30"/>
    <w:rsid w:val="00B5107C"/>
    <w:rsid w:val="00B536A3"/>
    <w:rsid w:val="00B553A9"/>
    <w:rsid w:val="00B61A9E"/>
    <w:rsid w:val="00B65D71"/>
    <w:rsid w:val="00B7014C"/>
    <w:rsid w:val="00B75AD4"/>
    <w:rsid w:val="00B8005B"/>
    <w:rsid w:val="00B81BA7"/>
    <w:rsid w:val="00BA5AD4"/>
    <w:rsid w:val="00BA7D55"/>
    <w:rsid w:val="00BB35A1"/>
    <w:rsid w:val="00BB480C"/>
    <w:rsid w:val="00BB7359"/>
    <w:rsid w:val="00BC67F3"/>
    <w:rsid w:val="00BD6CEB"/>
    <w:rsid w:val="00BF6487"/>
    <w:rsid w:val="00C0416D"/>
    <w:rsid w:val="00C05F7C"/>
    <w:rsid w:val="00C15CE4"/>
    <w:rsid w:val="00C20EFC"/>
    <w:rsid w:val="00C21C30"/>
    <w:rsid w:val="00C25C50"/>
    <w:rsid w:val="00C273FF"/>
    <w:rsid w:val="00C306FC"/>
    <w:rsid w:val="00C35EDD"/>
    <w:rsid w:val="00C40013"/>
    <w:rsid w:val="00C4683B"/>
    <w:rsid w:val="00C55101"/>
    <w:rsid w:val="00C60445"/>
    <w:rsid w:val="00C700C2"/>
    <w:rsid w:val="00C81C37"/>
    <w:rsid w:val="00C87CEE"/>
    <w:rsid w:val="00C9560C"/>
    <w:rsid w:val="00C97AEA"/>
    <w:rsid w:val="00CA1709"/>
    <w:rsid w:val="00CA4CFB"/>
    <w:rsid w:val="00CA53C6"/>
    <w:rsid w:val="00CA59EB"/>
    <w:rsid w:val="00CB31C3"/>
    <w:rsid w:val="00CB58A0"/>
    <w:rsid w:val="00CC7B4B"/>
    <w:rsid w:val="00CD4741"/>
    <w:rsid w:val="00CF3E5A"/>
    <w:rsid w:val="00CF74FA"/>
    <w:rsid w:val="00D01625"/>
    <w:rsid w:val="00D02CFC"/>
    <w:rsid w:val="00D0629A"/>
    <w:rsid w:val="00D16DEB"/>
    <w:rsid w:val="00D21FC2"/>
    <w:rsid w:val="00D34207"/>
    <w:rsid w:val="00D5248E"/>
    <w:rsid w:val="00D5303A"/>
    <w:rsid w:val="00D60415"/>
    <w:rsid w:val="00D74D63"/>
    <w:rsid w:val="00D849BA"/>
    <w:rsid w:val="00D92A9A"/>
    <w:rsid w:val="00D975CD"/>
    <w:rsid w:val="00DC1A53"/>
    <w:rsid w:val="00DC255A"/>
    <w:rsid w:val="00DD55E6"/>
    <w:rsid w:val="00DD5B35"/>
    <w:rsid w:val="00DE7A3F"/>
    <w:rsid w:val="00DF0168"/>
    <w:rsid w:val="00DF02E4"/>
    <w:rsid w:val="00DF081A"/>
    <w:rsid w:val="00DF1930"/>
    <w:rsid w:val="00E03439"/>
    <w:rsid w:val="00E03820"/>
    <w:rsid w:val="00E12A1B"/>
    <w:rsid w:val="00E12CBE"/>
    <w:rsid w:val="00E178F8"/>
    <w:rsid w:val="00E253FD"/>
    <w:rsid w:val="00E2570F"/>
    <w:rsid w:val="00E3317D"/>
    <w:rsid w:val="00E37E7E"/>
    <w:rsid w:val="00E437F0"/>
    <w:rsid w:val="00E43B68"/>
    <w:rsid w:val="00E45418"/>
    <w:rsid w:val="00E521BE"/>
    <w:rsid w:val="00E558FD"/>
    <w:rsid w:val="00E60EA8"/>
    <w:rsid w:val="00E62D20"/>
    <w:rsid w:val="00E83006"/>
    <w:rsid w:val="00E952EE"/>
    <w:rsid w:val="00EA4F71"/>
    <w:rsid w:val="00EB3FDD"/>
    <w:rsid w:val="00ED364E"/>
    <w:rsid w:val="00EE52C9"/>
    <w:rsid w:val="00EE7730"/>
    <w:rsid w:val="00EF1FED"/>
    <w:rsid w:val="00EF3339"/>
    <w:rsid w:val="00F01973"/>
    <w:rsid w:val="00F04C2B"/>
    <w:rsid w:val="00F178BA"/>
    <w:rsid w:val="00F22636"/>
    <w:rsid w:val="00F27FDE"/>
    <w:rsid w:val="00F300AA"/>
    <w:rsid w:val="00F30551"/>
    <w:rsid w:val="00F30CBF"/>
    <w:rsid w:val="00F31827"/>
    <w:rsid w:val="00F367C6"/>
    <w:rsid w:val="00F4033C"/>
    <w:rsid w:val="00F4680A"/>
    <w:rsid w:val="00F549F5"/>
    <w:rsid w:val="00F54A1E"/>
    <w:rsid w:val="00F67340"/>
    <w:rsid w:val="00F72DD2"/>
    <w:rsid w:val="00F75444"/>
    <w:rsid w:val="00F80759"/>
    <w:rsid w:val="00F9009B"/>
    <w:rsid w:val="00F94C6E"/>
    <w:rsid w:val="00FA3B46"/>
    <w:rsid w:val="00FB1D69"/>
    <w:rsid w:val="00FD22F9"/>
    <w:rsid w:val="00FD4086"/>
    <w:rsid w:val="00FF3FDE"/>
    <w:rsid w:val="00FF4A37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F7"/>
    <w:pPr>
      <w:spacing w:after="0"/>
      <w:ind w:left="357"/>
    </w:pPr>
    <w:rPr>
      <w:sz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21DFA"/>
    <w:pPr>
      <w:keepNext/>
      <w:keepLines/>
      <w:numPr>
        <w:numId w:val="1"/>
      </w:numPr>
      <w:spacing w:before="480" w:after="120"/>
      <w:outlineLvl w:val="0"/>
    </w:pPr>
    <w:rPr>
      <w:rFonts w:ascii="Tahoma" w:eastAsiaTheme="majorEastAsia" w:hAnsi="Tahoma" w:cs="Tahoma"/>
      <w:b/>
      <w:bCs/>
      <w:caps/>
      <w:color w:val="7F7F7F" w:themeColor="text1" w:themeTint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FA"/>
    <w:pPr>
      <w:keepNext/>
      <w:keepLines/>
      <w:numPr>
        <w:ilvl w:val="1"/>
        <w:numId w:val="1"/>
      </w:numPr>
      <w:spacing w:before="200" w:after="120"/>
      <w:outlineLvl w:val="1"/>
    </w:pPr>
    <w:rPr>
      <w:rFonts w:ascii="Tahoma" w:eastAsiaTheme="majorEastAsia" w:hAnsi="Tahoma" w:cs="Tahoma"/>
      <w:b/>
      <w:bCs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78A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78A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C5"/>
  </w:style>
  <w:style w:type="paragraph" w:styleId="Footer">
    <w:name w:val="footer"/>
    <w:basedOn w:val="Normal"/>
    <w:link w:val="FooterChar"/>
    <w:uiPriority w:val="99"/>
    <w:unhideWhenUsed/>
    <w:rsid w:val="00434E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C5"/>
  </w:style>
  <w:style w:type="paragraph" w:styleId="BalloonText">
    <w:name w:val="Balloon Text"/>
    <w:basedOn w:val="Normal"/>
    <w:link w:val="BalloonTextChar"/>
    <w:uiPriority w:val="99"/>
    <w:semiHidden/>
    <w:unhideWhenUsed/>
    <w:rsid w:val="00434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5"/>
    <w:rPr>
      <w:rFonts w:ascii="Tahoma" w:hAnsi="Tahoma" w:cs="Tahoma"/>
      <w:sz w:val="16"/>
      <w:szCs w:val="16"/>
    </w:rPr>
  </w:style>
  <w:style w:type="character" w:customStyle="1" w:styleId="numbereditem">
    <w:name w:val="numbereditem"/>
    <w:basedOn w:val="DefaultParagraphFont"/>
    <w:rsid w:val="00401B13"/>
  </w:style>
  <w:style w:type="paragraph" w:styleId="NormalWeb">
    <w:name w:val="Normal (Web)"/>
    <w:basedOn w:val="Normal"/>
    <w:uiPriority w:val="99"/>
    <w:semiHidden/>
    <w:unhideWhenUsed/>
    <w:rsid w:val="00401B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421DFA"/>
    <w:rPr>
      <w:rFonts w:ascii="Tahoma" w:eastAsiaTheme="majorEastAsia" w:hAnsi="Tahoma" w:cs="Tahoma"/>
      <w:b/>
      <w:bCs/>
      <w:caps/>
      <w:color w:val="7F7F7F" w:themeColor="text1" w:themeTint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DFA"/>
    <w:rPr>
      <w:rFonts w:ascii="Tahoma" w:eastAsiaTheme="majorEastAsia" w:hAnsi="Tahoma" w:cs="Tahoma"/>
      <w:b/>
      <w:bCs/>
      <w:color w:val="595959" w:themeColor="text1" w:themeTint="A6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1DFA"/>
    <w:pPr>
      <w:pBdr>
        <w:bottom w:val="single" w:sz="8" w:space="5" w:color="404040" w:themeColor="text1" w:themeTint="BF"/>
      </w:pBdr>
      <w:spacing w:after="300" w:line="240" w:lineRule="auto"/>
      <w:contextualSpacing/>
    </w:pPr>
    <w:rPr>
      <w:rFonts w:ascii="Tahoma" w:eastAsiaTheme="majorEastAsia" w:hAnsi="Tahoma" w:cs="Tahoma"/>
      <w:caps/>
      <w:color w:val="7F7F7F" w:themeColor="text1" w:themeTint="80"/>
      <w:spacing w:val="5"/>
      <w:kern w:val="28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21DFA"/>
    <w:rPr>
      <w:rFonts w:ascii="Tahoma" w:eastAsiaTheme="majorEastAsia" w:hAnsi="Tahoma" w:cs="Tahoma"/>
      <w:caps/>
      <w:color w:val="7F7F7F" w:themeColor="text1" w:themeTint="80"/>
      <w:spacing w:val="5"/>
      <w:kern w:val="28"/>
      <w:sz w:val="48"/>
      <w:szCs w:val="4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5248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24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524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075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75A80"/>
    <w:pPr>
      <w:outlineLvl w:val="9"/>
    </w:pPr>
    <w:rPr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75A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5A8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75A8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B21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6B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07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0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E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">
    <w:name w:val="TableOfContents"/>
    <w:basedOn w:val="TOC1"/>
    <w:link w:val="TableOfContentsChar"/>
    <w:qFormat/>
    <w:rsid w:val="00092E6E"/>
    <w:pPr>
      <w:tabs>
        <w:tab w:val="left" w:pos="880"/>
        <w:tab w:val="right" w:leader="dot" w:pos="9062"/>
      </w:tabs>
    </w:pPr>
    <w:rPr>
      <w:rFonts w:asciiTheme="majorHAnsi" w:hAnsiTheme="majorHAnsi"/>
      <w:noProof/>
    </w:rPr>
  </w:style>
  <w:style w:type="character" w:customStyle="1" w:styleId="TOC1Char">
    <w:name w:val="TOC 1 Char"/>
    <w:basedOn w:val="DefaultParagraphFont"/>
    <w:link w:val="TOC1"/>
    <w:uiPriority w:val="39"/>
    <w:rsid w:val="00092E6E"/>
    <w:rPr>
      <w:rFonts w:ascii="Times New Roman" w:hAnsi="Times New Roman"/>
    </w:rPr>
  </w:style>
  <w:style w:type="character" w:customStyle="1" w:styleId="TableOfContentsChar">
    <w:name w:val="TableOfContents Char"/>
    <w:basedOn w:val="TOC1Char"/>
    <w:link w:val="TableOfContents"/>
    <w:rsid w:val="00092E6E"/>
    <w:rPr>
      <w:rFonts w:asciiTheme="majorHAnsi" w:hAnsiTheme="majorHAnsi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B6D1B"/>
    <w:pPr>
      <w:spacing w:after="100"/>
      <w:ind w:left="440"/>
    </w:pPr>
  </w:style>
  <w:style w:type="paragraph" w:customStyle="1" w:styleId="Default">
    <w:name w:val="Default"/>
    <w:basedOn w:val="Normal"/>
    <w:rsid w:val="007F4D11"/>
    <w:pPr>
      <w:suppressAutoHyphens/>
      <w:autoSpaceDE w:val="0"/>
      <w:autoSpaceDN w:val="0"/>
      <w:spacing w:line="240" w:lineRule="auto"/>
      <w:ind w:left="0"/>
    </w:pPr>
    <w:rPr>
      <w:rFonts w:ascii="Verdana" w:eastAsia="Calibri" w:hAnsi="Verdana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F7"/>
    <w:pPr>
      <w:spacing w:after="0"/>
      <w:ind w:left="357"/>
    </w:pPr>
    <w:rPr>
      <w:sz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21DFA"/>
    <w:pPr>
      <w:keepNext/>
      <w:keepLines/>
      <w:numPr>
        <w:numId w:val="1"/>
      </w:numPr>
      <w:spacing w:before="480" w:after="120"/>
      <w:outlineLvl w:val="0"/>
    </w:pPr>
    <w:rPr>
      <w:rFonts w:ascii="Tahoma" w:eastAsiaTheme="majorEastAsia" w:hAnsi="Tahoma" w:cs="Tahoma"/>
      <w:b/>
      <w:bCs/>
      <w:caps/>
      <w:color w:val="7F7F7F" w:themeColor="text1" w:themeTint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FA"/>
    <w:pPr>
      <w:keepNext/>
      <w:keepLines/>
      <w:numPr>
        <w:ilvl w:val="1"/>
        <w:numId w:val="1"/>
      </w:numPr>
      <w:spacing w:before="200" w:after="120"/>
      <w:outlineLvl w:val="1"/>
    </w:pPr>
    <w:rPr>
      <w:rFonts w:ascii="Tahoma" w:eastAsiaTheme="majorEastAsia" w:hAnsi="Tahoma" w:cs="Tahoma"/>
      <w:b/>
      <w:bCs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78A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78A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C5"/>
  </w:style>
  <w:style w:type="paragraph" w:styleId="Footer">
    <w:name w:val="footer"/>
    <w:basedOn w:val="Normal"/>
    <w:link w:val="FooterChar"/>
    <w:uiPriority w:val="99"/>
    <w:unhideWhenUsed/>
    <w:rsid w:val="00434E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C5"/>
  </w:style>
  <w:style w:type="paragraph" w:styleId="BalloonText">
    <w:name w:val="Balloon Text"/>
    <w:basedOn w:val="Normal"/>
    <w:link w:val="BalloonTextChar"/>
    <w:uiPriority w:val="99"/>
    <w:semiHidden/>
    <w:unhideWhenUsed/>
    <w:rsid w:val="00434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5"/>
    <w:rPr>
      <w:rFonts w:ascii="Tahoma" w:hAnsi="Tahoma" w:cs="Tahoma"/>
      <w:sz w:val="16"/>
      <w:szCs w:val="16"/>
    </w:rPr>
  </w:style>
  <w:style w:type="character" w:customStyle="1" w:styleId="numbereditem">
    <w:name w:val="numbereditem"/>
    <w:basedOn w:val="DefaultParagraphFont"/>
    <w:rsid w:val="00401B13"/>
  </w:style>
  <w:style w:type="paragraph" w:styleId="NormalWeb">
    <w:name w:val="Normal (Web)"/>
    <w:basedOn w:val="Normal"/>
    <w:uiPriority w:val="99"/>
    <w:semiHidden/>
    <w:unhideWhenUsed/>
    <w:rsid w:val="00401B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421DFA"/>
    <w:rPr>
      <w:rFonts w:ascii="Tahoma" w:eastAsiaTheme="majorEastAsia" w:hAnsi="Tahoma" w:cs="Tahoma"/>
      <w:b/>
      <w:bCs/>
      <w:caps/>
      <w:color w:val="7F7F7F" w:themeColor="text1" w:themeTint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DFA"/>
    <w:rPr>
      <w:rFonts w:ascii="Tahoma" w:eastAsiaTheme="majorEastAsia" w:hAnsi="Tahoma" w:cs="Tahoma"/>
      <w:b/>
      <w:bCs/>
      <w:color w:val="595959" w:themeColor="text1" w:themeTint="A6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1DFA"/>
    <w:pPr>
      <w:pBdr>
        <w:bottom w:val="single" w:sz="8" w:space="5" w:color="404040" w:themeColor="text1" w:themeTint="BF"/>
      </w:pBdr>
      <w:spacing w:after="300" w:line="240" w:lineRule="auto"/>
      <w:contextualSpacing/>
    </w:pPr>
    <w:rPr>
      <w:rFonts w:ascii="Tahoma" w:eastAsiaTheme="majorEastAsia" w:hAnsi="Tahoma" w:cs="Tahoma"/>
      <w:caps/>
      <w:color w:val="7F7F7F" w:themeColor="text1" w:themeTint="80"/>
      <w:spacing w:val="5"/>
      <w:kern w:val="28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21DFA"/>
    <w:rPr>
      <w:rFonts w:ascii="Tahoma" w:eastAsiaTheme="majorEastAsia" w:hAnsi="Tahoma" w:cs="Tahoma"/>
      <w:caps/>
      <w:color w:val="7F7F7F" w:themeColor="text1" w:themeTint="80"/>
      <w:spacing w:val="5"/>
      <w:kern w:val="28"/>
      <w:sz w:val="48"/>
      <w:szCs w:val="4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5248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24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524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075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75A80"/>
    <w:pPr>
      <w:outlineLvl w:val="9"/>
    </w:pPr>
    <w:rPr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75A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5A8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75A8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B21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6B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07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0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E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">
    <w:name w:val="TableOfContents"/>
    <w:basedOn w:val="TOC1"/>
    <w:link w:val="TableOfContentsChar"/>
    <w:qFormat/>
    <w:rsid w:val="00092E6E"/>
    <w:pPr>
      <w:tabs>
        <w:tab w:val="left" w:pos="880"/>
        <w:tab w:val="right" w:leader="dot" w:pos="9062"/>
      </w:tabs>
    </w:pPr>
    <w:rPr>
      <w:rFonts w:asciiTheme="majorHAnsi" w:hAnsiTheme="majorHAnsi"/>
      <w:noProof/>
    </w:rPr>
  </w:style>
  <w:style w:type="character" w:customStyle="1" w:styleId="TOC1Char">
    <w:name w:val="TOC 1 Char"/>
    <w:basedOn w:val="DefaultParagraphFont"/>
    <w:link w:val="TOC1"/>
    <w:uiPriority w:val="39"/>
    <w:rsid w:val="00092E6E"/>
    <w:rPr>
      <w:rFonts w:ascii="Times New Roman" w:hAnsi="Times New Roman"/>
    </w:rPr>
  </w:style>
  <w:style w:type="character" w:customStyle="1" w:styleId="TableOfContentsChar">
    <w:name w:val="TableOfContents Char"/>
    <w:basedOn w:val="TOC1Char"/>
    <w:link w:val="TableOfContents"/>
    <w:rsid w:val="00092E6E"/>
    <w:rPr>
      <w:rFonts w:asciiTheme="majorHAnsi" w:hAnsiTheme="majorHAnsi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B6D1B"/>
    <w:pPr>
      <w:spacing w:after="100"/>
      <w:ind w:left="440"/>
    </w:pPr>
  </w:style>
  <w:style w:type="paragraph" w:customStyle="1" w:styleId="Default">
    <w:name w:val="Default"/>
    <w:basedOn w:val="Normal"/>
    <w:rsid w:val="007F4D11"/>
    <w:pPr>
      <w:suppressAutoHyphens/>
      <w:autoSpaceDE w:val="0"/>
      <w:autoSpaceDN w:val="0"/>
      <w:spacing w:line="240" w:lineRule="auto"/>
      <w:ind w:left="0"/>
    </w:pPr>
    <w:rPr>
      <w:rFonts w:ascii="Verdana" w:eastAsia="Calibri" w:hAnsi="Verdana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8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3E137D5957644A95E89E182E8F323" ma:contentTypeVersion="0" ma:contentTypeDescription="Create a new document." ma:contentTypeScope="" ma:versionID="97c958c9d568581c914d36ead698972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E48E-4654-47EA-99B8-DCF17ED7B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2E0B27-9BBF-410A-93CF-940A7D7F6EF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43E7B1-528C-443F-9D7D-250D73AFB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49DB4-5487-4EA2-89CE-7300D5EC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27191816.dotm</Template>
  <TotalTime>1</TotalTime>
  <Pages>7</Pages>
  <Words>1497</Words>
  <Characters>8141</Characters>
  <Application>Microsoft Office Word</Application>
  <DocSecurity>4</DocSecurity>
  <Lines>198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González Páramo</dc:creator>
  <cp:lastModifiedBy>JIMENEZ, Ivan</cp:lastModifiedBy>
  <cp:revision>2</cp:revision>
  <cp:lastPrinted>2015-04-23T14:28:00Z</cp:lastPrinted>
  <dcterms:created xsi:type="dcterms:W3CDTF">2015-05-06T04:59:00Z</dcterms:created>
  <dcterms:modified xsi:type="dcterms:W3CDTF">2015-05-06T04:59:00Z</dcterms:modified>
</cp:coreProperties>
</file>