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4DEF" w:rsidRDefault="00DC12B4">
      <w:pPr>
        <w:pStyle w:val="Heading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120" w:line="360" w:lineRule="auto"/>
      </w:pPr>
      <w:r>
        <w:rPr>
          <w:noProof/>
          <w:lang w:val="en-AU"/>
        </w:rPr>
        <mc:AlternateContent>
          <mc:Choice Requires="wps">
            <w:drawing>
              <wp:anchor distT="152400" distB="152400" distL="152400" distR="152400" simplePos="0" relativeHeight="251659264" behindDoc="0" locked="0" layoutInCell="1" allowOverlap="1">
                <wp:simplePos x="0" y="0"/>
                <wp:positionH relativeFrom="page">
                  <wp:posOffset>4374515</wp:posOffset>
                </wp:positionH>
                <wp:positionV relativeFrom="page">
                  <wp:posOffset>428625</wp:posOffset>
                </wp:positionV>
                <wp:extent cx="2540000" cy="927100"/>
                <wp:effectExtent l="0" t="0" r="0" b="0"/>
                <wp:wrapSquare wrapText="bothSides" distT="152400" distB="152400" distL="152400" distR="152400"/>
                <wp:docPr id="1073741825" name="officeArt object"/>
                <wp:cNvGraphicFramePr/>
                <a:graphic xmlns:a="http://schemas.openxmlformats.org/drawingml/2006/main">
                  <a:graphicData uri="http://schemas.microsoft.com/office/word/2010/wordprocessingShape">
                    <wps:wsp>
                      <wps:cNvSpPr/>
                      <wps:spPr>
                        <a:xfrm>
                          <a:off x="0" y="0"/>
                          <a:ext cx="2540000" cy="927100"/>
                        </a:xfrm>
                        <a:prstGeom prst="rect">
                          <a:avLst/>
                        </a:prstGeom>
                        <a:noFill/>
                        <a:ln w="12700" cap="flat">
                          <a:noFill/>
                          <a:miter lim="400000"/>
                        </a:ln>
                        <a:effectLst/>
                      </wps:spPr>
                      <wps:txbx>
                        <w:txbxContent>
                          <w:p w:rsidR="003E4DEF" w:rsidRDefault="00DC12B4">
                            <w:pPr>
                              <w:pStyle w:val="FreeForm"/>
                              <w:tabs>
                                <w:tab w:val="left" w:pos="709"/>
                                <w:tab w:val="left" w:pos="1417"/>
                                <w:tab w:val="left" w:pos="2126"/>
                                <w:tab w:val="left" w:pos="2835"/>
                                <w:tab w:val="left" w:pos="3543"/>
                              </w:tabs>
                              <w:jc w:val="right"/>
                              <w:rPr>
                                <w:rFonts w:ascii="Cambria Bold" w:eastAsia="Cambria Bold" w:hAnsi="Cambria Bold" w:cs="Cambria Bold"/>
                                <w:b/>
                                <w:bCs/>
                                <w:sz w:val="20"/>
                                <w:szCs w:val="20"/>
                              </w:rPr>
                            </w:pPr>
                            <w:r>
                              <w:rPr>
                                <w:rFonts w:ascii="Cambria Bold" w:eastAsia="Cambria Bold" w:hAnsi="Cambria Bold" w:cs="Cambria Bold"/>
                                <w:b/>
                                <w:bCs/>
                                <w:sz w:val="20"/>
                                <w:szCs w:val="20"/>
                              </w:rPr>
                              <w:t>NATIONAL BILLING GROUP PTY LTD</w:t>
                            </w:r>
                          </w:p>
                          <w:p w:rsidR="003E4DEF" w:rsidRDefault="00DC12B4">
                            <w:pPr>
                              <w:pStyle w:val="FreeForm"/>
                              <w:tabs>
                                <w:tab w:val="left" w:pos="709"/>
                                <w:tab w:val="left" w:pos="1417"/>
                                <w:tab w:val="left" w:pos="2126"/>
                                <w:tab w:val="left" w:pos="2835"/>
                                <w:tab w:val="left" w:pos="3543"/>
                              </w:tabs>
                              <w:jc w:val="right"/>
                              <w:rPr>
                                <w:rFonts w:ascii="Cambria" w:eastAsia="Cambria" w:hAnsi="Cambria" w:cs="Cambria"/>
                                <w:sz w:val="20"/>
                                <w:szCs w:val="20"/>
                              </w:rPr>
                            </w:pPr>
                            <w:r>
                              <w:rPr>
                                <w:rFonts w:ascii="Cambria" w:eastAsia="Cambria" w:hAnsi="Cambria" w:cs="Cambria"/>
                                <w:sz w:val="20"/>
                                <w:szCs w:val="20"/>
                              </w:rPr>
                              <w:t>PO BOX 566</w:t>
                            </w:r>
                          </w:p>
                          <w:p w:rsidR="003E4DEF" w:rsidRDefault="00DC12B4">
                            <w:pPr>
                              <w:pStyle w:val="FreeForm"/>
                              <w:tabs>
                                <w:tab w:val="left" w:pos="709"/>
                                <w:tab w:val="left" w:pos="1417"/>
                                <w:tab w:val="left" w:pos="2126"/>
                                <w:tab w:val="left" w:pos="2835"/>
                                <w:tab w:val="left" w:pos="3543"/>
                              </w:tabs>
                              <w:jc w:val="right"/>
                              <w:rPr>
                                <w:rFonts w:ascii="Cambria" w:eastAsia="Cambria" w:hAnsi="Cambria" w:cs="Cambria"/>
                                <w:sz w:val="20"/>
                                <w:szCs w:val="20"/>
                              </w:rPr>
                            </w:pPr>
                            <w:r>
                              <w:rPr>
                                <w:rFonts w:ascii="Cambria" w:eastAsia="Cambria" w:hAnsi="Cambria" w:cs="Cambria"/>
                                <w:sz w:val="20"/>
                                <w:szCs w:val="20"/>
                              </w:rPr>
                              <w:t>NORTH MELBOURNE VIC 3051</w:t>
                            </w:r>
                          </w:p>
                          <w:p w:rsidR="003E4DEF" w:rsidRDefault="00DC12B4">
                            <w:pPr>
                              <w:pStyle w:val="FreeForm"/>
                              <w:tabs>
                                <w:tab w:val="left" w:pos="709"/>
                                <w:tab w:val="left" w:pos="1417"/>
                                <w:tab w:val="left" w:pos="2126"/>
                                <w:tab w:val="left" w:pos="2835"/>
                                <w:tab w:val="left" w:pos="3543"/>
                              </w:tabs>
                              <w:jc w:val="right"/>
                              <w:rPr>
                                <w:rFonts w:ascii="Cambria" w:eastAsia="Cambria" w:hAnsi="Cambria" w:cs="Cambria"/>
                                <w:sz w:val="18"/>
                                <w:szCs w:val="18"/>
                              </w:rPr>
                            </w:pPr>
                            <w:r>
                              <w:rPr>
                                <w:rFonts w:ascii="Cambria" w:eastAsia="Cambria" w:hAnsi="Cambria" w:cs="Cambria"/>
                                <w:sz w:val="18"/>
                                <w:szCs w:val="18"/>
                              </w:rPr>
                              <w:t>Tel 1300 721 966</w:t>
                            </w:r>
                          </w:p>
                          <w:p w:rsidR="003E4DEF" w:rsidRDefault="00DC12B4">
                            <w:pPr>
                              <w:pStyle w:val="FreeForm"/>
                              <w:tabs>
                                <w:tab w:val="left" w:pos="709"/>
                                <w:tab w:val="left" w:pos="1417"/>
                                <w:tab w:val="left" w:pos="2126"/>
                                <w:tab w:val="left" w:pos="2835"/>
                                <w:tab w:val="left" w:pos="3543"/>
                              </w:tabs>
                              <w:jc w:val="right"/>
                              <w:rPr>
                                <w:rFonts w:ascii="Cambria" w:eastAsia="Cambria" w:hAnsi="Cambria" w:cs="Cambria"/>
                                <w:sz w:val="18"/>
                                <w:szCs w:val="18"/>
                              </w:rPr>
                            </w:pPr>
                            <w:r>
                              <w:rPr>
                                <w:rFonts w:ascii="Cambria" w:eastAsia="Cambria" w:hAnsi="Cambria" w:cs="Cambria"/>
                                <w:sz w:val="18"/>
                                <w:szCs w:val="18"/>
                              </w:rPr>
                              <w:t>Fax +61 3 9600 9095</w:t>
                            </w:r>
                          </w:p>
                          <w:p w:rsidR="003E4DEF" w:rsidRDefault="00DC12B4">
                            <w:pPr>
                              <w:pStyle w:val="FreeForm"/>
                              <w:tabs>
                                <w:tab w:val="left" w:pos="709"/>
                                <w:tab w:val="left" w:pos="1417"/>
                                <w:tab w:val="left" w:pos="2126"/>
                                <w:tab w:val="left" w:pos="2835"/>
                                <w:tab w:val="left" w:pos="3543"/>
                              </w:tabs>
                              <w:jc w:val="right"/>
                            </w:pPr>
                            <w:r>
                              <w:rPr>
                                <w:rFonts w:ascii="Cambria" w:eastAsia="Cambria" w:hAnsi="Cambria" w:cs="Cambria"/>
                                <w:sz w:val="18"/>
                                <w:szCs w:val="18"/>
                              </w:rPr>
                              <w:t>ABN 76107408579</w:t>
                            </w:r>
                          </w:p>
                        </w:txbxContent>
                      </wps:txbx>
                      <wps:bodyPr wrap="square" lIns="0" tIns="0" rIns="0" bIns="0" numCol="1" anchor="t">
                        <a:noAutofit/>
                      </wps:bodyPr>
                    </wps:wsp>
                  </a:graphicData>
                </a:graphic>
              </wp:anchor>
            </w:drawing>
          </mc:Choice>
          <mc:Fallback>
            <w:pict>
              <v:rect id="_x0000_s1026" style="visibility:visible;position:absolute;margin-left:344.5pt;margin-top:33.8pt;width:200.0pt;height:73.0pt;z-index:25165926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Free Form"/>
                        <w:tabs>
                          <w:tab w:val="left" w:pos="709"/>
                          <w:tab w:val="left" w:pos="1417"/>
                          <w:tab w:val="left" w:pos="2126"/>
                          <w:tab w:val="left" w:pos="2835"/>
                          <w:tab w:val="left" w:pos="3543"/>
                        </w:tabs>
                        <w:jc w:val="right"/>
                        <w:rPr>
                          <w:rFonts w:ascii="Cambria Bold" w:cs="Cambria Bold" w:hAnsi="Cambria Bold" w:eastAsia="Cambria Bold"/>
                          <w:b w:val="1"/>
                          <w:bCs w:val="1"/>
                          <w:sz w:val="20"/>
                          <w:szCs w:val="20"/>
                        </w:rPr>
                      </w:pPr>
                      <w:r>
                        <w:rPr>
                          <w:rFonts w:ascii="Cambria Bold" w:cs="Cambria Bold" w:hAnsi="Cambria Bold" w:eastAsia="Cambria Bold"/>
                          <w:b w:val="1"/>
                          <w:bCs w:val="1"/>
                          <w:sz w:val="20"/>
                          <w:szCs w:val="20"/>
                          <w:rtl w:val="0"/>
                          <w:lang w:val="en-US"/>
                        </w:rPr>
                        <w:t>NATIONAL BILLING GROUP PTY LTD</w:t>
                      </w:r>
                    </w:p>
                    <w:p>
                      <w:pPr>
                        <w:pStyle w:val="Free Form"/>
                        <w:tabs>
                          <w:tab w:val="left" w:pos="709"/>
                          <w:tab w:val="left" w:pos="1417"/>
                          <w:tab w:val="left" w:pos="2126"/>
                          <w:tab w:val="left" w:pos="2835"/>
                          <w:tab w:val="left" w:pos="3543"/>
                        </w:tabs>
                        <w:jc w:val="right"/>
                        <w:rPr>
                          <w:rFonts w:ascii="Cambria" w:cs="Cambria" w:hAnsi="Cambria" w:eastAsia="Cambria"/>
                          <w:sz w:val="20"/>
                          <w:szCs w:val="20"/>
                        </w:rPr>
                      </w:pPr>
                      <w:r>
                        <w:rPr>
                          <w:rFonts w:ascii="Cambria" w:cs="Cambria" w:hAnsi="Cambria" w:eastAsia="Cambria"/>
                          <w:sz w:val="20"/>
                          <w:szCs w:val="20"/>
                          <w:rtl w:val="0"/>
                          <w:lang w:val="en-US"/>
                        </w:rPr>
                        <w:t>PO BOX 566</w:t>
                      </w:r>
                    </w:p>
                    <w:p>
                      <w:pPr>
                        <w:pStyle w:val="Free Form"/>
                        <w:tabs>
                          <w:tab w:val="left" w:pos="709"/>
                          <w:tab w:val="left" w:pos="1417"/>
                          <w:tab w:val="left" w:pos="2126"/>
                          <w:tab w:val="left" w:pos="2835"/>
                          <w:tab w:val="left" w:pos="3543"/>
                        </w:tabs>
                        <w:jc w:val="right"/>
                        <w:rPr>
                          <w:rFonts w:ascii="Cambria" w:cs="Cambria" w:hAnsi="Cambria" w:eastAsia="Cambria"/>
                          <w:sz w:val="20"/>
                          <w:szCs w:val="20"/>
                        </w:rPr>
                      </w:pPr>
                      <w:r>
                        <w:rPr>
                          <w:rFonts w:ascii="Cambria" w:cs="Cambria" w:hAnsi="Cambria" w:eastAsia="Cambria"/>
                          <w:sz w:val="20"/>
                          <w:szCs w:val="20"/>
                          <w:rtl w:val="0"/>
                          <w:lang w:val="en-US"/>
                        </w:rPr>
                        <w:t>NORTH MELBOURNE VIC 3051</w:t>
                      </w:r>
                    </w:p>
                    <w:p>
                      <w:pPr>
                        <w:pStyle w:val="Free Form"/>
                        <w:tabs>
                          <w:tab w:val="left" w:pos="709"/>
                          <w:tab w:val="left" w:pos="1417"/>
                          <w:tab w:val="left" w:pos="2126"/>
                          <w:tab w:val="left" w:pos="2835"/>
                          <w:tab w:val="left" w:pos="3543"/>
                        </w:tabs>
                        <w:jc w:val="right"/>
                        <w:rPr>
                          <w:rFonts w:ascii="Cambria" w:cs="Cambria" w:hAnsi="Cambria" w:eastAsia="Cambria"/>
                          <w:sz w:val="18"/>
                          <w:szCs w:val="18"/>
                        </w:rPr>
                      </w:pPr>
                      <w:r>
                        <w:rPr>
                          <w:rFonts w:ascii="Cambria" w:cs="Cambria" w:hAnsi="Cambria" w:eastAsia="Cambria"/>
                          <w:sz w:val="18"/>
                          <w:szCs w:val="18"/>
                          <w:rtl w:val="0"/>
                          <w:lang w:val="en-US"/>
                        </w:rPr>
                        <w:t>Tel 1300 721 966</w:t>
                      </w:r>
                    </w:p>
                    <w:p>
                      <w:pPr>
                        <w:pStyle w:val="Free Form"/>
                        <w:tabs>
                          <w:tab w:val="left" w:pos="709"/>
                          <w:tab w:val="left" w:pos="1417"/>
                          <w:tab w:val="left" w:pos="2126"/>
                          <w:tab w:val="left" w:pos="2835"/>
                          <w:tab w:val="left" w:pos="3543"/>
                        </w:tabs>
                        <w:jc w:val="right"/>
                        <w:rPr>
                          <w:rFonts w:ascii="Cambria" w:cs="Cambria" w:hAnsi="Cambria" w:eastAsia="Cambria"/>
                          <w:sz w:val="18"/>
                          <w:szCs w:val="18"/>
                        </w:rPr>
                      </w:pPr>
                      <w:r>
                        <w:rPr>
                          <w:rFonts w:ascii="Cambria" w:cs="Cambria" w:hAnsi="Cambria" w:eastAsia="Cambria"/>
                          <w:sz w:val="18"/>
                          <w:szCs w:val="18"/>
                          <w:rtl w:val="0"/>
                          <w:lang w:val="en-US"/>
                        </w:rPr>
                        <w:t>Fax +61 3 9600 9095</w:t>
                      </w:r>
                    </w:p>
                    <w:p>
                      <w:pPr>
                        <w:pStyle w:val="Free Form"/>
                        <w:tabs>
                          <w:tab w:val="left" w:pos="709"/>
                          <w:tab w:val="left" w:pos="1417"/>
                          <w:tab w:val="left" w:pos="2126"/>
                          <w:tab w:val="left" w:pos="2835"/>
                          <w:tab w:val="left" w:pos="3543"/>
                        </w:tabs>
                        <w:jc w:val="right"/>
                      </w:pPr>
                      <w:r>
                        <w:rPr>
                          <w:rFonts w:ascii="Cambria" w:cs="Cambria" w:hAnsi="Cambria" w:eastAsia="Cambria"/>
                          <w:sz w:val="18"/>
                          <w:szCs w:val="18"/>
                          <w:rtl w:val="0"/>
                          <w:lang w:val="en-US"/>
                        </w:rPr>
                        <w:t>ABN 76107408579</w:t>
                      </w:r>
                    </w:p>
                  </w:txbxContent>
                </v:textbox>
                <w10:wrap type="square" side="bothSides" anchorx="page" anchory="page"/>
              </v:rect>
            </w:pict>
          </mc:Fallback>
        </mc:AlternateContent>
      </w:r>
    </w:p>
    <w:p w:rsidR="003E4DEF" w:rsidRDefault="00DC12B4">
      <w:pPr>
        <w:spacing w:after="120" w:line="360" w:lineRule="auto"/>
        <w:ind w:right="418"/>
        <w:jc w:val="both"/>
        <w:rPr>
          <w:b/>
          <w:bCs/>
          <w:sz w:val="20"/>
          <w:szCs w:val="20"/>
        </w:rPr>
      </w:pPr>
      <w:r>
        <w:rPr>
          <w:b/>
          <w:bCs/>
          <w:sz w:val="20"/>
          <w:szCs w:val="20"/>
        </w:rPr>
        <w:t>21 April 2015</w:t>
      </w:r>
    </w:p>
    <w:p w:rsidR="003E4DEF" w:rsidRDefault="00DC12B4">
      <w:pPr>
        <w:jc w:val="both"/>
        <w:rPr>
          <w:sz w:val="20"/>
          <w:szCs w:val="20"/>
        </w:rPr>
      </w:pPr>
      <w:r>
        <w:rPr>
          <w:sz w:val="20"/>
          <w:szCs w:val="20"/>
        </w:rPr>
        <w:t>Head of Payments Policy Department</w:t>
      </w:r>
    </w:p>
    <w:p w:rsidR="003E4DEF" w:rsidRDefault="00DC12B4">
      <w:pPr>
        <w:jc w:val="both"/>
        <w:rPr>
          <w:sz w:val="20"/>
          <w:szCs w:val="20"/>
        </w:rPr>
      </w:pPr>
      <w:r>
        <w:rPr>
          <w:sz w:val="20"/>
          <w:szCs w:val="20"/>
        </w:rPr>
        <w:t>Reserve Bank of Australia</w:t>
      </w:r>
    </w:p>
    <w:p w:rsidR="003E4DEF" w:rsidRDefault="00DC12B4">
      <w:pPr>
        <w:jc w:val="both"/>
        <w:rPr>
          <w:sz w:val="20"/>
          <w:szCs w:val="20"/>
        </w:rPr>
      </w:pPr>
      <w:r>
        <w:rPr>
          <w:sz w:val="20"/>
          <w:szCs w:val="20"/>
        </w:rPr>
        <w:t>GPO BOX 3947</w:t>
      </w:r>
    </w:p>
    <w:p w:rsidR="003E4DEF" w:rsidRDefault="00DC12B4">
      <w:pPr>
        <w:jc w:val="both"/>
        <w:rPr>
          <w:b/>
          <w:bCs/>
          <w:sz w:val="20"/>
          <w:szCs w:val="20"/>
        </w:rPr>
      </w:pPr>
      <w:r>
        <w:rPr>
          <w:b/>
          <w:bCs/>
          <w:sz w:val="20"/>
          <w:szCs w:val="20"/>
        </w:rPr>
        <w:t>SYDNEY NSW 2000</w:t>
      </w:r>
    </w:p>
    <w:p w:rsidR="003E4DEF" w:rsidRDefault="003E4DEF">
      <w:pPr>
        <w:shd w:val="clear" w:color="auto" w:fill="FFFFFF"/>
        <w:spacing w:after="120" w:line="360" w:lineRule="auto"/>
        <w:jc w:val="both"/>
        <w:rPr>
          <w:sz w:val="20"/>
          <w:szCs w:val="20"/>
        </w:rPr>
      </w:pPr>
      <w:bookmarkStart w:id="0" w:name="_GoBack"/>
      <w:bookmarkEnd w:id="0"/>
    </w:p>
    <w:p w:rsidR="003E4DEF" w:rsidRDefault="00DC12B4">
      <w:pPr>
        <w:shd w:val="clear" w:color="auto" w:fill="FFFFFF"/>
        <w:spacing w:after="120" w:line="360" w:lineRule="auto"/>
        <w:jc w:val="both"/>
        <w:rPr>
          <w:sz w:val="20"/>
          <w:szCs w:val="20"/>
        </w:rPr>
      </w:pPr>
      <w:proofErr w:type="spellStart"/>
      <w:r>
        <w:rPr>
          <w:sz w:val="20"/>
          <w:szCs w:val="20"/>
        </w:rPr>
        <w:t>CabFare</w:t>
      </w:r>
      <w:proofErr w:type="spellEnd"/>
      <w:r>
        <w:rPr>
          <w:sz w:val="20"/>
          <w:szCs w:val="20"/>
        </w:rPr>
        <w:t xml:space="preserve"> welcomes the Recommendations of the Financial Systems Inquiry with respect to Surcharging on Card Transactions. </w:t>
      </w:r>
      <w:proofErr w:type="spellStart"/>
      <w:r>
        <w:rPr>
          <w:sz w:val="20"/>
          <w:szCs w:val="20"/>
        </w:rPr>
        <w:t>CabFare</w:t>
      </w:r>
      <w:proofErr w:type="spellEnd"/>
      <w:r>
        <w:rPr>
          <w:sz w:val="20"/>
          <w:szCs w:val="20"/>
        </w:rPr>
        <w:t xml:space="preserve"> supports the thrust of the Inquiry</w:t>
      </w:r>
      <w:r>
        <w:rPr>
          <w:sz w:val="20"/>
          <w:szCs w:val="20"/>
        </w:rPr>
        <w:t>’</w:t>
      </w:r>
      <w:r>
        <w:rPr>
          <w:sz w:val="20"/>
          <w:szCs w:val="20"/>
        </w:rPr>
        <w:t>s recommendations on Card Regulation.</w:t>
      </w:r>
    </w:p>
    <w:p w:rsidR="003E4DEF" w:rsidRDefault="00DC12B4">
      <w:pPr>
        <w:shd w:val="clear" w:color="auto" w:fill="FFFFFF"/>
        <w:spacing w:after="120" w:line="360" w:lineRule="auto"/>
        <w:jc w:val="both"/>
        <w:rPr>
          <w:sz w:val="20"/>
          <w:szCs w:val="20"/>
        </w:rPr>
      </w:pPr>
      <w:r>
        <w:rPr>
          <w:sz w:val="20"/>
          <w:szCs w:val="20"/>
        </w:rPr>
        <w:t>In terms of the current consultation by the Reserve Bank on the FSI recommendations relating to Card Surcharging and Interchange Fees we support the need to:</w:t>
      </w:r>
    </w:p>
    <w:p w:rsidR="003E4DEF" w:rsidRDefault="00DC12B4">
      <w:pPr>
        <w:shd w:val="clear" w:color="auto" w:fill="FFFFFF"/>
        <w:spacing w:after="120" w:line="360" w:lineRule="auto"/>
        <w:jc w:val="both"/>
        <w:rPr>
          <w:sz w:val="20"/>
          <w:szCs w:val="20"/>
        </w:rPr>
      </w:pPr>
      <w:r>
        <w:rPr>
          <w:b/>
          <w:bCs/>
          <w:sz w:val="20"/>
          <w:szCs w:val="20"/>
        </w:rPr>
        <w:t xml:space="preserve">1. </w:t>
      </w:r>
      <w:r>
        <w:rPr>
          <w:b/>
          <w:bCs/>
          <w:sz w:val="20"/>
          <w:szCs w:val="20"/>
        </w:rPr>
        <w:t> </w:t>
      </w:r>
      <w:r>
        <w:rPr>
          <w:b/>
          <w:bCs/>
          <w:sz w:val="20"/>
          <w:szCs w:val="20"/>
        </w:rPr>
        <w:t xml:space="preserve"> Bring all Credit and Debit Cards within a common regulatory framework.</w:t>
      </w:r>
      <w:r>
        <w:rPr>
          <w:sz w:val="20"/>
          <w:szCs w:val="20"/>
        </w:rPr>
        <w:t> </w:t>
      </w:r>
      <w:r>
        <w:rPr>
          <w:sz w:val="20"/>
          <w:szCs w:val="20"/>
        </w:rPr>
        <w:t xml:space="preserve"> </w:t>
      </w:r>
    </w:p>
    <w:p w:rsidR="003E4DEF" w:rsidRDefault="00DC12B4">
      <w:pPr>
        <w:shd w:val="clear" w:color="auto" w:fill="FFFFFF"/>
        <w:spacing w:after="120" w:line="360" w:lineRule="auto"/>
        <w:jc w:val="both"/>
        <w:rPr>
          <w:sz w:val="20"/>
          <w:szCs w:val="20"/>
        </w:rPr>
      </w:pPr>
      <w:r>
        <w:rPr>
          <w:sz w:val="20"/>
          <w:szCs w:val="20"/>
        </w:rPr>
        <w:t xml:space="preserve">There are too many unregulated cards operating in Australia including </w:t>
      </w:r>
      <w:proofErr w:type="spellStart"/>
      <w:r>
        <w:rPr>
          <w:sz w:val="20"/>
          <w:szCs w:val="20"/>
        </w:rPr>
        <w:t>Cabcharge</w:t>
      </w:r>
      <w:proofErr w:type="spellEnd"/>
      <w:r>
        <w:rPr>
          <w:sz w:val="20"/>
          <w:szCs w:val="20"/>
        </w:rPr>
        <w:t xml:space="preserve"> and Union Pay.</w:t>
      </w:r>
      <w:r>
        <w:rPr>
          <w:sz w:val="20"/>
          <w:szCs w:val="20"/>
        </w:rPr>
        <w:t> </w:t>
      </w:r>
      <w:r>
        <w:rPr>
          <w:sz w:val="20"/>
          <w:szCs w:val="20"/>
        </w:rPr>
        <w:t xml:space="preserve"> This creates technical as well as compliance costs and barriers to an efficient operation of a payment market place.</w:t>
      </w:r>
      <w:r>
        <w:rPr>
          <w:sz w:val="20"/>
          <w:szCs w:val="20"/>
        </w:rPr>
        <w:t> </w:t>
      </w:r>
      <w:r>
        <w:rPr>
          <w:sz w:val="20"/>
          <w:szCs w:val="20"/>
        </w:rPr>
        <w:t xml:space="preserve"> This has the potential to increase costs to Acquirers and Merchants when these cards are incorporated into the mainstream payment system.</w:t>
      </w:r>
    </w:p>
    <w:p w:rsidR="003E4DEF" w:rsidRDefault="00DC12B4">
      <w:pPr>
        <w:shd w:val="clear" w:color="auto" w:fill="FFFFFF"/>
        <w:spacing w:after="120" w:line="360" w:lineRule="auto"/>
        <w:jc w:val="both"/>
        <w:rPr>
          <w:sz w:val="20"/>
          <w:szCs w:val="20"/>
        </w:rPr>
      </w:pPr>
      <w:r>
        <w:rPr>
          <w:b/>
          <w:bCs/>
          <w:sz w:val="20"/>
          <w:szCs w:val="20"/>
        </w:rPr>
        <w:t>2. RBA to examine the costs of providing card services</w:t>
      </w:r>
      <w:r>
        <w:rPr>
          <w:sz w:val="20"/>
          <w:szCs w:val="20"/>
        </w:rPr>
        <w:t> </w:t>
      </w:r>
      <w:r>
        <w:rPr>
          <w:b/>
          <w:bCs/>
          <w:sz w:val="20"/>
          <w:szCs w:val="20"/>
        </w:rPr>
        <w:t>to the Australian Community</w:t>
      </w:r>
      <w:r>
        <w:rPr>
          <w:sz w:val="20"/>
          <w:szCs w:val="20"/>
        </w:rPr>
        <w:t>.</w:t>
      </w:r>
      <w:r>
        <w:rPr>
          <w:sz w:val="20"/>
          <w:szCs w:val="20"/>
        </w:rPr>
        <w:t> </w:t>
      </w:r>
      <w:r>
        <w:rPr>
          <w:sz w:val="20"/>
          <w:szCs w:val="20"/>
        </w:rPr>
        <w:t xml:space="preserve"> </w:t>
      </w:r>
    </w:p>
    <w:p w:rsidR="003E4DEF" w:rsidRDefault="00DC12B4">
      <w:pPr>
        <w:shd w:val="clear" w:color="auto" w:fill="FFFFFF"/>
        <w:spacing w:after="120" w:line="360" w:lineRule="auto"/>
        <w:jc w:val="both"/>
        <w:rPr>
          <w:sz w:val="20"/>
          <w:szCs w:val="20"/>
        </w:rPr>
      </w:pPr>
      <w:r>
        <w:rPr>
          <w:sz w:val="20"/>
          <w:szCs w:val="20"/>
        </w:rPr>
        <w:t>Such a review has to tackle what are the reasonable costs of acquiring transactions for a merchant including not only the interchange fees but also the fundamental question of how Merchant Service Fees are set by Card Companies.</w:t>
      </w:r>
    </w:p>
    <w:p w:rsidR="003E4DEF" w:rsidRDefault="00DC12B4">
      <w:pPr>
        <w:shd w:val="clear" w:color="auto" w:fill="FFFFFF"/>
        <w:spacing w:after="120" w:line="360" w:lineRule="auto"/>
        <w:jc w:val="both"/>
        <w:rPr>
          <w:sz w:val="20"/>
          <w:szCs w:val="20"/>
        </w:rPr>
      </w:pPr>
      <w:proofErr w:type="spellStart"/>
      <w:r>
        <w:rPr>
          <w:sz w:val="20"/>
          <w:szCs w:val="20"/>
        </w:rPr>
        <w:t>CabFare</w:t>
      </w:r>
      <w:proofErr w:type="spellEnd"/>
      <w:r>
        <w:rPr>
          <w:sz w:val="20"/>
          <w:szCs w:val="20"/>
        </w:rPr>
        <w:t xml:space="preserve"> cannot see any justification for maintaining Merchant Fees as a % (ad valorem) of the Transaction Value.</w:t>
      </w:r>
      <w:r>
        <w:rPr>
          <w:sz w:val="20"/>
          <w:szCs w:val="20"/>
        </w:rPr>
        <w:t> </w:t>
      </w:r>
      <w:r>
        <w:rPr>
          <w:sz w:val="20"/>
          <w:szCs w:val="20"/>
        </w:rPr>
        <w:t xml:space="preserve"> These fees are set at different levels for different merchants, and particularly discriminate against small businesses.</w:t>
      </w:r>
      <w:r>
        <w:rPr>
          <w:sz w:val="20"/>
          <w:szCs w:val="20"/>
        </w:rPr>
        <w:t> </w:t>
      </w:r>
      <w:r>
        <w:rPr>
          <w:sz w:val="20"/>
          <w:szCs w:val="20"/>
        </w:rPr>
        <w:t xml:space="preserve"> This approach cannot be justified in an electronic payment ecosystem where the costs of acquisition (or transaction), aside from the Merchant Fee, effectively are fixed. </w:t>
      </w:r>
      <w:r>
        <w:rPr>
          <w:sz w:val="20"/>
          <w:szCs w:val="20"/>
        </w:rPr>
        <w:t> </w:t>
      </w:r>
    </w:p>
    <w:p w:rsidR="003E4DEF" w:rsidRDefault="00DC12B4">
      <w:pPr>
        <w:shd w:val="clear" w:color="auto" w:fill="FFFFFF"/>
        <w:spacing w:after="120" w:line="360" w:lineRule="auto"/>
        <w:jc w:val="both"/>
        <w:rPr>
          <w:b/>
          <w:bCs/>
          <w:sz w:val="20"/>
          <w:szCs w:val="20"/>
        </w:rPr>
      </w:pPr>
      <w:r>
        <w:rPr>
          <w:b/>
          <w:bCs/>
          <w:sz w:val="20"/>
          <w:szCs w:val="20"/>
        </w:rPr>
        <w:t>3. Restructure Merchant Service Fees from Ad Valorem Pricing to Postage Stamp Pricing</w:t>
      </w:r>
    </w:p>
    <w:p w:rsidR="003E4DEF" w:rsidRDefault="00DC12B4">
      <w:pPr>
        <w:shd w:val="clear" w:color="auto" w:fill="FFFFFF"/>
        <w:spacing w:after="120" w:line="360" w:lineRule="auto"/>
        <w:jc w:val="both"/>
        <w:rPr>
          <w:sz w:val="20"/>
          <w:szCs w:val="20"/>
        </w:rPr>
      </w:pPr>
      <w:r>
        <w:rPr>
          <w:sz w:val="20"/>
          <w:szCs w:val="20"/>
        </w:rPr>
        <w:t>We make the following observations:</w:t>
      </w:r>
    </w:p>
    <w:p w:rsidR="003E4DEF" w:rsidRDefault="00DC12B4">
      <w:pPr>
        <w:pStyle w:val="ListParagraph"/>
        <w:numPr>
          <w:ilvl w:val="0"/>
          <w:numId w:val="3"/>
        </w:numPr>
        <w:shd w:val="clear" w:color="auto" w:fill="FFFFFF"/>
        <w:tabs>
          <w:tab w:val="clear" w:pos="720"/>
          <w:tab w:val="num" w:pos="792"/>
        </w:tabs>
        <w:spacing w:before="2" w:after="2" w:line="360" w:lineRule="auto"/>
        <w:ind w:left="792" w:hanging="432"/>
        <w:jc w:val="both"/>
        <w:rPr>
          <w:sz w:val="20"/>
          <w:szCs w:val="20"/>
        </w:rPr>
      </w:pPr>
      <w:r>
        <w:rPr>
          <w:rFonts w:ascii="Times New Roman"/>
          <w:sz w:val="20"/>
          <w:szCs w:val="20"/>
        </w:rPr>
        <w:t xml:space="preserve">The cost to the Card Insurer of servicing its Merchants is common irrespective of the size of the transaction. </w:t>
      </w:r>
      <w:r>
        <w:rPr>
          <w:rFonts w:hAnsi="Arial Unicode MS"/>
          <w:sz w:val="20"/>
          <w:szCs w:val="20"/>
        </w:rPr>
        <w:t> </w:t>
      </w:r>
    </w:p>
    <w:p w:rsidR="003E4DEF" w:rsidRDefault="00DC12B4">
      <w:pPr>
        <w:pStyle w:val="ListParagraph"/>
        <w:numPr>
          <w:ilvl w:val="0"/>
          <w:numId w:val="3"/>
        </w:numPr>
        <w:shd w:val="clear" w:color="auto" w:fill="FFFFFF"/>
        <w:tabs>
          <w:tab w:val="clear" w:pos="720"/>
          <w:tab w:val="num" w:pos="792"/>
        </w:tabs>
        <w:spacing w:before="2" w:after="2" w:line="360" w:lineRule="auto"/>
        <w:ind w:left="792" w:hanging="432"/>
        <w:jc w:val="both"/>
        <w:rPr>
          <w:sz w:val="20"/>
          <w:szCs w:val="20"/>
        </w:rPr>
      </w:pPr>
      <w:r>
        <w:rPr>
          <w:rFonts w:ascii="Times New Roman"/>
          <w:sz w:val="20"/>
          <w:szCs w:val="20"/>
        </w:rPr>
        <w:t>Card Issuers are using Merchant Fees as a surrogate for lending to the Cardholder.</w:t>
      </w:r>
      <w:r>
        <w:rPr>
          <w:rFonts w:hAnsi="Arial Unicode MS"/>
          <w:sz w:val="20"/>
          <w:szCs w:val="20"/>
        </w:rPr>
        <w:t> </w:t>
      </w:r>
      <w:r>
        <w:rPr>
          <w:rFonts w:hAnsi="Arial Unicode MS"/>
          <w:sz w:val="20"/>
          <w:szCs w:val="20"/>
        </w:rPr>
        <w:t xml:space="preserve"> </w:t>
      </w:r>
      <w:r>
        <w:rPr>
          <w:rFonts w:ascii="Times New Roman"/>
          <w:sz w:val="20"/>
          <w:szCs w:val="20"/>
        </w:rPr>
        <w:t>The costs of providing credit are ones that should be borne solely by the cardholder who is obtaining a short-term credit facility.</w:t>
      </w:r>
    </w:p>
    <w:p w:rsidR="003E4DEF" w:rsidRDefault="00DC12B4">
      <w:pPr>
        <w:pStyle w:val="ListParagraph"/>
        <w:numPr>
          <w:ilvl w:val="0"/>
          <w:numId w:val="3"/>
        </w:numPr>
        <w:shd w:val="clear" w:color="auto" w:fill="FFFFFF"/>
        <w:tabs>
          <w:tab w:val="clear" w:pos="720"/>
          <w:tab w:val="num" w:pos="792"/>
        </w:tabs>
        <w:spacing w:before="2" w:after="2" w:line="360" w:lineRule="auto"/>
        <w:ind w:left="792" w:hanging="432"/>
        <w:jc w:val="both"/>
        <w:rPr>
          <w:sz w:val="20"/>
          <w:szCs w:val="20"/>
        </w:rPr>
      </w:pPr>
      <w:r>
        <w:rPr>
          <w:rFonts w:ascii="Times New Roman"/>
          <w:sz w:val="20"/>
          <w:szCs w:val="20"/>
        </w:rPr>
        <w:t>Using a % Merchant Fee forces the Merchant either to recover the cost as a % of each individual card transaction; or to smear the costs across all sales.</w:t>
      </w:r>
      <w:r>
        <w:rPr>
          <w:rFonts w:hAnsi="Arial Unicode MS"/>
          <w:sz w:val="20"/>
          <w:szCs w:val="20"/>
        </w:rPr>
        <w:t> </w:t>
      </w:r>
      <w:r>
        <w:rPr>
          <w:rFonts w:hAnsi="Arial Unicode MS"/>
          <w:sz w:val="20"/>
          <w:szCs w:val="20"/>
        </w:rPr>
        <w:t xml:space="preserve"> </w:t>
      </w:r>
      <w:r>
        <w:rPr>
          <w:rFonts w:ascii="Times New Roman"/>
          <w:sz w:val="20"/>
          <w:szCs w:val="20"/>
        </w:rPr>
        <w:t xml:space="preserve">If the latter approach is chosen, which is the stated corporate policy of </w:t>
      </w:r>
      <w:proofErr w:type="gramStart"/>
      <w:r>
        <w:rPr>
          <w:rFonts w:ascii="Times New Roman"/>
          <w:sz w:val="20"/>
          <w:szCs w:val="20"/>
        </w:rPr>
        <w:t>both Visa</w:t>
      </w:r>
      <w:proofErr w:type="gramEnd"/>
      <w:r>
        <w:rPr>
          <w:rFonts w:ascii="Times New Roman"/>
          <w:sz w:val="20"/>
          <w:szCs w:val="20"/>
        </w:rPr>
        <w:t xml:space="preserve"> and MasterCard, then those consumers who don</w:t>
      </w:r>
      <w:r>
        <w:rPr>
          <w:rFonts w:hAnsi="Arial Unicode MS"/>
          <w:sz w:val="20"/>
          <w:szCs w:val="20"/>
        </w:rPr>
        <w:t>’</w:t>
      </w:r>
      <w:r>
        <w:rPr>
          <w:rFonts w:ascii="Times New Roman"/>
          <w:sz w:val="20"/>
          <w:szCs w:val="20"/>
        </w:rPr>
        <w:t>t use cards pay for the costs of the credit provided to those consumers who do.  In other words it becomes a deadweight loss on the payment system.</w:t>
      </w:r>
    </w:p>
    <w:p w:rsidR="003E4DEF" w:rsidRDefault="00DC12B4">
      <w:pPr>
        <w:pStyle w:val="ListParagraph"/>
        <w:numPr>
          <w:ilvl w:val="0"/>
          <w:numId w:val="3"/>
        </w:numPr>
        <w:shd w:val="clear" w:color="auto" w:fill="FFFFFF"/>
        <w:tabs>
          <w:tab w:val="clear" w:pos="720"/>
          <w:tab w:val="num" w:pos="792"/>
        </w:tabs>
        <w:spacing w:before="2" w:after="2" w:line="360" w:lineRule="auto"/>
        <w:ind w:left="792" w:hanging="432"/>
        <w:jc w:val="both"/>
        <w:rPr>
          <w:sz w:val="20"/>
          <w:szCs w:val="20"/>
        </w:rPr>
      </w:pPr>
      <w:r>
        <w:rPr>
          <w:rFonts w:ascii="Times New Roman"/>
          <w:sz w:val="20"/>
          <w:szCs w:val="20"/>
        </w:rPr>
        <w:lastRenderedPageBreak/>
        <w:t>No matter the approach a Merchant follows poor price signals are sent to consumers.</w:t>
      </w:r>
    </w:p>
    <w:p w:rsidR="003E4DEF" w:rsidRDefault="00DC12B4">
      <w:pPr>
        <w:shd w:val="clear" w:color="auto" w:fill="FFFFFF"/>
        <w:spacing w:after="120" w:line="360" w:lineRule="auto"/>
        <w:jc w:val="both"/>
        <w:rPr>
          <w:i/>
          <w:iCs/>
          <w:sz w:val="20"/>
          <w:szCs w:val="20"/>
        </w:rPr>
      </w:pPr>
      <w:r>
        <w:rPr>
          <w:i/>
          <w:iCs/>
          <w:sz w:val="20"/>
          <w:szCs w:val="20"/>
        </w:rPr>
        <w:t>Gouging of Merchants by Card Issuers</w:t>
      </w:r>
    </w:p>
    <w:p w:rsidR="003E4DEF" w:rsidRDefault="00DC12B4">
      <w:pPr>
        <w:shd w:val="clear" w:color="auto" w:fill="FFFFFF"/>
        <w:spacing w:after="120" w:line="360" w:lineRule="auto"/>
        <w:jc w:val="both"/>
        <w:rPr>
          <w:i/>
          <w:iCs/>
          <w:sz w:val="20"/>
          <w:szCs w:val="20"/>
        </w:rPr>
      </w:pPr>
      <w:r>
        <w:rPr>
          <w:sz w:val="20"/>
          <w:szCs w:val="20"/>
        </w:rPr>
        <w:t xml:space="preserve">The current practice of Ad valorem pricing mechanisms in Merchant Service Fees is </w:t>
      </w:r>
      <w:proofErr w:type="gramStart"/>
      <w:r>
        <w:rPr>
          <w:sz w:val="20"/>
          <w:szCs w:val="20"/>
        </w:rPr>
        <w:t xml:space="preserve">clear  </w:t>
      </w:r>
      <w:r>
        <w:rPr>
          <w:sz w:val="20"/>
          <w:szCs w:val="20"/>
        </w:rPr>
        <w:t>“</w:t>
      </w:r>
      <w:proofErr w:type="gramEnd"/>
      <w:r>
        <w:rPr>
          <w:sz w:val="20"/>
          <w:szCs w:val="20"/>
        </w:rPr>
        <w:t>gouging</w:t>
      </w:r>
      <w:r>
        <w:rPr>
          <w:sz w:val="20"/>
          <w:szCs w:val="20"/>
        </w:rPr>
        <w:t>”</w:t>
      </w:r>
      <w:r>
        <w:rPr>
          <w:sz w:val="20"/>
          <w:szCs w:val="20"/>
        </w:rPr>
        <w:t xml:space="preserve"> by Card companies of merchants.  </w:t>
      </w:r>
      <w:proofErr w:type="spellStart"/>
      <w:r>
        <w:rPr>
          <w:sz w:val="20"/>
          <w:szCs w:val="20"/>
        </w:rPr>
        <w:t>CabFare</w:t>
      </w:r>
      <w:r>
        <w:rPr>
          <w:sz w:val="20"/>
          <w:szCs w:val="20"/>
        </w:rPr>
        <w:t>’</w:t>
      </w:r>
      <w:r>
        <w:rPr>
          <w:sz w:val="20"/>
          <w:szCs w:val="20"/>
        </w:rPr>
        <w:t>s</w:t>
      </w:r>
      <w:proofErr w:type="spellEnd"/>
      <w:r>
        <w:rPr>
          <w:sz w:val="20"/>
          <w:szCs w:val="20"/>
        </w:rPr>
        <w:t xml:space="preserve"> perspective is that setting MSF in this way reflects poor risk and credit management practices in Card Issuers. Card Issuers should not use Merchant Service Fees as a way of </w:t>
      </w:r>
      <w:proofErr w:type="spellStart"/>
      <w:r>
        <w:rPr>
          <w:sz w:val="20"/>
          <w:szCs w:val="20"/>
        </w:rPr>
        <w:t>subsidising</w:t>
      </w:r>
      <w:proofErr w:type="spellEnd"/>
      <w:r>
        <w:rPr>
          <w:sz w:val="20"/>
          <w:szCs w:val="20"/>
        </w:rPr>
        <w:t xml:space="preserve"> unsecured credit provision to cardholders.</w:t>
      </w:r>
      <w:r>
        <w:rPr>
          <w:sz w:val="20"/>
          <w:szCs w:val="20"/>
        </w:rPr>
        <w:t> </w:t>
      </w:r>
      <w:r>
        <w:rPr>
          <w:sz w:val="20"/>
          <w:szCs w:val="20"/>
        </w:rPr>
        <w:t xml:space="preserve"> Allocating risk and pricing of credit needs to be the focus of the Card Issuer and not viewing the merchant as a low risk </w:t>
      </w:r>
      <w:r>
        <w:rPr>
          <w:sz w:val="20"/>
          <w:szCs w:val="20"/>
        </w:rPr>
        <w:t>“</w:t>
      </w:r>
      <w:r>
        <w:rPr>
          <w:sz w:val="20"/>
          <w:szCs w:val="20"/>
        </w:rPr>
        <w:t>soft target</w:t>
      </w:r>
      <w:r>
        <w:rPr>
          <w:sz w:val="20"/>
          <w:szCs w:val="20"/>
        </w:rPr>
        <w:t>”</w:t>
      </w:r>
      <w:r>
        <w:rPr>
          <w:sz w:val="20"/>
          <w:szCs w:val="20"/>
        </w:rPr>
        <w:t xml:space="preserve"> to </w:t>
      </w:r>
      <w:proofErr w:type="spellStart"/>
      <w:r>
        <w:rPr>
          <w:sz w:val="20"/>
          <w:szCs w:val="20"/>
        </w:rPr>
        <w:t>subsidise</w:t>
      </w:r>
      <w:proofErr w:type="spellEnd"/>
      <w:r>
        <w:rPr>
          <w:sz w:val="20"/>
          <w:szCs w:val="20"/>
        </w:rPr>
        <w:t xml:space="preserve"> the Card Issuer</w:t>
      </w:r>
      <w:r>
        <w:rPr>
          <w:sz w:val="20"/>
          <w:szCs w:val="20"/>
        </w:rPr>
        <w:t>’</w:t>
      </w:r>
      <w:r>
        <w:rPr>
          <w:sz w:val="20"/>
          <w:szCs w:val="20"/>
        </w:rPr>
        <w:t>s poor risk management practices.</w:t>
      </w:r>
      <w:r>
        <w:rPr>
          <w:sz w:val="20"/>
          <w:szCs w:val="20"/>
        </w:rPr>
        <w:t> </w:t>
      </w:r>
      <w:r>
        <w:rPr>
          <w:sz w:val="20"/>
          <w:szCs w:val="20"/>
        </w:rPr>
        <w:t xml:space="preserve"> </w:t>
      </w:r>
    </w:p>
    <w:p w:rsidR="003E4DEF" w:rsidRDefault="00DC12B4">
      <w:pPr>
        <w:shd w:val="clear" w:color="auto" w:fill="FFFFFF"/>
        <w:spacing w:after="120" w:line="360" w:lineRule="auto"/>
        <w:jc w:val="both"/>
        <w:rPr>
          <w:sz w:val="20"/>
          <w:szCs w:val="20"/>
        </w:rPr>
      </w:pPr>
      <w:proofErr w:type="spellStart"/>
      <w:r>
        <w:rPr>
          <w:sz w:val="20"/>
          <w:szCs w:val="20"/>
        </w:rPr>
        <w:t>CabFare</w:t>
      </w:r>
      <w:r>
        <w:rPr>
          <w:sz w:val="20"/>
          <w:szCs w:val="20"/>
        </w:rPr>
        <w:t>’</w:t>
      </w:r>
      <w:r>
        <w:rPr>
          <w:sz w:val="20"/>
          <w:szCs w:val="20"/>
        </w:rPr>
        <w:t>s</w:t>
      </w:r>
      <w:proofErr w:type="spellEnd"/>
      <w:r>
        <w:rPr>
          <w:sz w:val="20"/>
          <w:szCs w:val="20"/>
        </w:rPr>
        <w:t xml:space="preserve"> position is that a flat Merchant Service Fee would:</w:t>
      </w:r>
    </w:p>
    <w:p w:rsidR="003E4DEF" w:rsidRDefault="00DC12B4">
      <w:pPr>
        <w:pStyle w:val="ListParagraph"/>
        <w:numPr>
          <w:ilvl w:val="0"/>
          <w:numId w:val="6"/>
        </w:numPr>
        <w:shd w:val="clear" w:color="auto" w:fill="FFFFFF"/>
        <w:tabs>
          <w:tab w:val="clear" w:pos="720"/>
          <w:tab w:val="num" w:pos="809"/>
        </w:tabs>
        <w:spacing w:before="2" w:after="2" w:line="360" w:lineRule="auto"/>
        <w:ind w:left="809" w:hanging="537"/>
        <w:jc w:val="both"/>
        <w:rPr>
          <w:sz w:val="20"/>
          <w:szCs w:val="20"/>
        </w:rPr>
      </w:pPr>
      <w:r>
        <w:rPr>
          <w:rFonts w:ascii="Times New Roman"/>
          <w:sz w:val="20"/>
          <w:szCs w:val="20"/>
        </w:rPr>
        <w:t>Make it a simpler and fairer system to all</w:t>
      </w:r>
    </w:p>
    <w:p w:rsidR="003E4DEF" w:rsidRDefault="00DC12B4">
      <w:pPr>
        <w:pStyle w:val="ListParagraph"/>
        <w:numPr>
          <w:ilvl w:val="0"/>
          <w:numId w:val="6"/>
        </w:numPr>
        <w:shd w:val="clear" w:color="auto" w:fill="FFFFFF"/>
        <w:tabs>
          <w:tab w:val="clear" w:pos="720"/>
          <w:tab w:val="num" w:pos="809"/>
        </w:tabs>
        <w:spacing w:before="2" w:after="2" w:line="360" w:lineRule="auto"/>
        <w:ind w:left="809" w:hanging="537"/>
        <w:jc w:val="both"/>
        <w:rPr>
          <w:sz w:val="20"/>
          <w:szCs w:val="20"/>
        </w:rPr>
      </w:pPr>
      <w:r>
        <w:rPr>
          <w:rFonts w:ascii="Times New Roman"/>
          <w:sz w:val="20"/>
          <w:szCs w:val="20"/>
        </w:rPr>
        <w:t>Drive down costs to consumers</w:t>
      </w:r>
    </w:p>
    <w:p w:rsidR="003E4DEF" w:rsidRDefault="00DC12B4">
      <w:pPr>
        <w:pStyle w:val="ListParagraph"/>
        <w:numPr>
          <w:ilvl w:val="0"/>
          <w:numId w:val="6"/>
        </w:numPr>
        <w:shd w:val="clear" w:color="auto" w:fill="FFFFFF"/>
        <w:tabs>
          <w:tab w:val="clear" w:pos="720"/>
          <w:tab w:val="num" w:pos="809"/>
        </w:tabs>
        <w:spacing w:before="2" w:after="2" w:line="360" w:lineRule="auto"/>
        <w:ind w:left="809" w:hanging="537"/>
        <w:jc w:val="both"/>
        <w:rPr>
          <w:sz w:val="20"/>
          <w:szCs w:val="20"/>
        </w:rPr>
      </w:pPr>
      <w:r>
        <w:rPr>
          <w:rFonts w:ascii="Times New Roman"/>
          <w:sz w:val="20"/>
          <w:szCs w:val="20"/>
        </w:rPr>
        <w:t>Drive down costs to Card Companies.</w:t>
      </w:r>
    </w:p>
    <w:p w:rsidR="003E4DEF" w:rsidRDefault="00DC12B4">
      <w:pPr>
        <w:pStyle w:val="ListParagraph"/>
        <w:numPr>
          <w:ilvl w:val="0"/>
          <w:numId w:val="6"/>
        </w:numPr>
        <w:shd w:val="clear" w:color="auto" w:fill="FFFFFF"/>
        <w:tabs>
          <w:tab w:val="clear" w:pos="720"/>
          <w:tab w:val="num" w:pos="809"/>
        </w:tabs>
        <w:spacing w:before="2" w:after="2" w:line="360" w:lineRule="auto"/>
        <w:ind w:left="809" w:hanging="537"/>
        <w:jc w:val="both"/>
        <w:rPr>
          <w:sz w:val="20"/>
          <w:szCs w:val="20"/>
        </w:rPr>
      </w:pPr>
      <w:r>
        <w:rPr>
          <w:rFonts w:ascii="Times New Roman"/>
          <w:sz w:val="20"/>
          <w:szCs w:val="20"/>
        </w:rPr>
        <w:t>Provide Consumers with a simple, easy to understand service fee for using Cards.</w:t>
      </w:r>
    </w:p>
    <w:p w:rsidR="003E4DEF" w:rsidRDefault="00DC12B4">
      <w:pPr>
        <w:pStyle w:val="ListParagraph"/>
        <w:numPr>
          <w:ilvl w:val="0"/>
          <w:numId w:val="6"/>
        </w:numPr>
        <w:shd w:val="clear" w:color="auto" w:fill="FFFFFF"/>
        <w:tabs>
          <w:tab w:val="clear" w:pos="720"/>
          <w:tab w:val="num" w:pos="809"/>
        </w:tabs>
        <w:spacing w:before="2" w:after="2" w:line="360" w:lineRule="auto"/>
        <w:ind w:left="809" w:hanging="537"/>
        <w:jc w:val="both"/>
        <w:rPr>
          <w:sz w:val="20"/>
          <w:szCs w:val="20"/>
        </w:rPr>
      </w:pPr>
      <w:r>
        <w:rPr>
          <w:rFonts w:ascii="Times New Roman"/>
          <w:sz w:val="20"/>
          <w:szCs w:val="20"/>
        </w:rPr>
        <w:t>Enable the cost of Credit provision to be recovered from the party receiving the credit (i.e. The Cardholder).</w:t>
      </w:r>
    </w:p>
    <w:p w:rsidR="003E4DEF" w:rsidRDefault="00DC12B4">
      <w:pPr>
        <w:shd w:val="clear" w:color="auto" w:fill="FFFFFF"/>
        <w:spacing w:after="120" w:line="360" w:lineRule="auto"/>
        <w:jc w:val="both"/>
        <w:rPr>
          <w:i/>
          <w:iCs/>
          <w:sz w:val="20"/>
          <w:szCs w:val="20"/>
        </w:rPr>
      </w:pPr>
      <w:r>
        <w:rPr>
          <w:i/>
          <w:iCs/>
          <w:sz w:val="20"/>
          <w:szCs w:val="20"/>
        </w:rPr>
        <w:t>Opening the methodology by which Merchant Service Fees charged by all Card Companies to regulatory scrutiny must be a priority for any comprehensive review by the RBA.</w:t>
      </w:r>
    </w:p>
    <w:p w:rsidR="003E4DEF" w:rsidRDefault="00DC12B4">
      <w:pPr>
        <w:shd w:val="clear" w:color="auto" w:fill="FFFFFF"/>
        <w:spacing w:after="120" w:line="360" w:lineRule="auto"/>
        <w:jc w:val="both"/>
        <w:rPr>
          <w:sz w:val="20"/>
          <w:szCs w:val="20"/>
        </w:rPr>
      </w:pPr>
      <w:r>
        <w:rPr>
          <w:sz w:val="20"/>
          <w:szCs w:val="20"/>
        </w:rPr>
        <w:br/>
      </w:r>
      <w:r>
        <w:rPr>
          <w:b/>
          <w:bCs/>
          <w:sz w:val="20"/>
          <w:szCs w:val="20"/>
        </w:rPr>
        <w:t xml:space="preserve">3. </w:t>
      </w:r>
      <w:r>
        <w:rPr>
          <w:b/>
          <w:bCs/>
          <w:sz w:val="20"/>
          <w:szCs w:val="20"/>
        </w:rPr>
        <w:t> </w:t>
      </w:r>
      <w:r>
        <w:rPr>
          <w:b/>
          <w:bCs/>
          <w:sz w:val="20"/>
          <w:szCs w:val="20"/>
        </w:rPr>
        <w:t xml:space="preserve"> Tiered Surcharging.</w:t>
      </w:r>
      <w:r>
        <w:rPr>
          <w:b/>
          <w:bCs/>
          <w:sz w:val="20"/>
          <w:szCs w:val="20"/>
        </w:rPr>
        <w:t> </w:t>
      </w:r>
      <w:r>
        <w:rPr>
          <w:sz w:val="20"/>
          <w:szCs w:val="20"/>
        </w:rPr>
        <w:t> </w:t>
      </w:r>
    </w:p>
    <w:p w:rsidR="003E4DEF" w:rsidRDefault="00DC12B4">
      <w:pPr>
        <w:shd w:val="clear" w:color="auto" w:fill="FFFFFF"/>
        <w:spacing w:after="120" w:line="360" w:lineRule="auto"/>
        <w:jc w:val="both"/>
        <w:rPr>
          <w:sz w:val="20"/>
          <w:szCs w:val="20"/>
        </w:rPr>
      </w:pPr>
      <w:r>
        <w:rPr>
          <w:sz w:val="20"/>
          <w:szCs w:val="20"/>
        </w:rPr>
        <w:t xml:space="preserve">The proposals contained in the PSB paper are complex and unnecessary.  Implementation will be costly and confusing to merchants and consumers.  The need for </w:t>
      </w:r>
      <w:r>
        <w:rPr>
          <w:sz w:val="20"/>
          <w:szCs w:val="20"/>
        </w:rPr>
        <w:t>“</w:t>
      </w:r>
      <w:r>
        <w:rPr>
          <w:sz w:val="20"/>
          <w:szCs w:val="20"/>
        </w:rPr>
        <w:t>tiered surcharging</w:t>
      </w:r>
      <w:r>
        <w:rPr>
          <w:sz w:val="20"/>
          <w:szCs w:val="20"/>
        </w:rPr>
        <w:t>”</w:t>
      </w:r>
      <w:r>
        <w:rPr>
          <w:sz w:val="20"/>
          <w:szCs w:val="20"/>
        </w:rPr>
        <w:t xml:space="preserve"> arises purely because Card Issuers use ad valorem MSF methodologies and they fail to cost recover from Cardholders the full cost of the card</w:t>
      </w:r>
      <w:r>
        <w:rPr>
          <w:sz w:val="20"/>
          <w:szCs w:val="20"/>
        </w:rPr>
        <w:t>’</w:t>
      </w:r>
      <w:r>
        <w:rPr>
          <w:sz w:val="20"/>
          <w:szCs w:val="20"/>
        </w:rPr>
        <w:t>s benefits.  Premium Cards are NOT being priced appropriately including so called frequent flyer benefits.  These benefits are being cross-</w:t>
      </w:r>
      <w:proofErr w:type="spellStart"/>
      <w:r>
        <w:rPr>
          <w:sz w:val="20"/>
          <w:szCs w:val="20"/>
        </w:rPr>
        <w:t>subsidised</w:t>
      </w:r>
      <w:proofErr w:type="spellEnd"/>
      <w:r>
        <w:rPr>
          <w:sz w:val="20"/>
          <w:szCs w:val="20"/>
        </w:rPr>
        <w:t xml:space="preserve"> by both Merchants and low value card holders.  Premium Cards are marketed as an </w:t>
      </w:r>
      <w:r>
        <w:rPr>
          <w:sz w:val="20"/>
          <w:szCs w:val="20"/>
        </w:rPr>
        <w:t>“</w:t>
      </w:r>
      <w:r>
        <w:rPr>
          <w:sz w:val="20"/>
          <w:szCs w:val="20"/>
        </w:rPr>
        <w:t>entitlement</w:t>
      </w:r>
      <w:r>
        <w:rPr>
          <w:sz w:val="20"/>
          <w:szCs w:val="20"/>
        </w:rPr>
        <w:t>”</w:t>
      </w:r>
      <w:r>
        <w:rPr>
          <w:sz w:val="20"/>
          <w:szCs w:val="20"/>
        </w:rPr>
        <w:t xml:space="preserve"> and </w:t>
      </w:r>
      <w:r>
        <w:rPr>
          <w:sz w:val="20"/>
          <w:szCs w:val="20"/>
        </w:rPr>
        <w:t>“</w:t>
      </w:r>
      <w:r>
        <w:rPr>
          <w:sz w:val="20"/>
          <w:szCs w:val="20"/>
        </w:rPr>
        <w:t>status</w:t>
      </w:r>
      <w:r>
        <w:rPr>
          <w:sz w:val="20"/>
          <w:szCs w:val="20"/>
        </w:rPr>
        <w:t>”</w:t>
      </w:r>
      <w:r>
        <w:rPr>
          <w:sz w:val="20"/>
          <w:szCs w:val="20"/>
        </w:rPr>
        <w:t xml:space="preserve">.  Accordingly full cost recovery of these cards should be directed at the cardholder as beneficiary of the entitlement either via higher card fees or more aggressive interest rates, or elimination of interest free periods; or a combination of these.  Otherwise the </w:t>
      </w:r>
      <w:r>
        <w:rPr>
          <w:sz w:val="20"/>
          <w:szCs w:val="20"/>
        </w:rPr>
        <w:t>“</w:t>
      </w:r>
      <w:r>
        <w:rPr>
          <w:sz w:val="20"/>
          <w:szCs w:val="20"/>
        </w:rPr>
        <w:t>benefits</w:t>
      </w:r>
      <w:r>
        <w:rPr>
          <w:sz w:val="20"/>
          <w:szCs w:val="20"/>
        </w:rPr>
        <w:t>”</w:t>
      </w:r>
      <w:r>
        <w:rPr>
          <w:sz w:val="20"/>
          <w:szCs w:val="20"/>
        </w:rPr>
        <w:t xml:space="preserve"> packages should be terminated.</w:t>
      </w:r>
    </w:p>
    <w:p w:rsidR="003E4DEF" w:rsidRDefault="00DC12B4">
      <w:pPr>
        <w:shd w:val="clear" w:color="auto" w:fill="FFFFFF"/>
        <w:spacing w:after="120" w:line="360" w:lineRule="auto"/>
        <w:jc w:val="both"/>
        <w:rPr>
          <w:i/>
          <w:iCs/>
          <w:sz w:val="20"/>
          <w:szCs w:val="20"/>
        </w:rPr>
      </w:pPr>
      <w:r>
        <w:rPr>
          <w:i/>
          <w:iCs/>
          <w:sz w:val="20"/>
          <w:szCs w:val="20"/>
        </w:rPr>
        <w:t>The PSB should reject Tiered Surcharging proposals as they are:</w:t>
      </w:r>
    </w:p>
    <w:p w:rsidR="003E4DEF" w:rsidRDefault="00DC12B4">
      <w:pPr>
        <w:pStyle w:val="ListParagraph"/>
        <w:numPr>
          <w:ilvl w:val="0"/>
          <w:numId w:val="9"/>
        </w:numPr>
        <w:shd w:val="clear" w:color="auto" w:fill="FFFFFF"/>
        <w:tabs>
          <w:tab w:val="clear" w:pos="720"/>
          <w:tab w:val="num" w:pos="810"/>
        </w:tabs>
        <w:spacing w:before="2" w:after="2" w:line="360" w:lineRule="auto"/>
        <w:ind w:left="810" w:hanging="541"/>
        <w:jc w:val="both"/>
        <w:rPr>
          <w:rFonts w:ascii="Times New Roman" w:eastAsia="Times New Roman" w:hAnsi="Times New Roman" w:cs="Times New Roman"/>
          <w:i/>
          <w:iCs/>
          <w:sz w:val="20"/>
          <w:szCs w:val="20"/>
        </w:rPr>
      </w:pPr>
      <w:r>
        <w:rPr>
          <w:rFonts w:ascii="Times New Roman"/>
          <w:i/>
          <w:iCs/>
          <w:sz w:val="20"/>
          <w:szCs w:val="20"/>
        </w:rPr>
        <w:t>Inefficient and encourage Card issuers to avoid full cost recovery from the cardholder beneficiary</w:t>
      </w:r>
    </w:p>
    <w:p w:rsidR="003E4DEF" w:rsidRDefault="00DC12B4">
      <w:pPr>
        <w:pStyle w:val="ListParagraph"/>
        <w:numPr>
          <w:ilvl w:val="0"/>
          <w:numId w:val="9"/>
        </w:numPr>
        <w:shd w:val="clear" w:color="auto" w:fill="FFFFFF"/>
        <w:tabs>
          <w:tab w:val="clear" w:pos="720"/>
          <w:tab w:val="num" w:pos="810"/>
        </w:tabs>
        <w:spacing w:before="2" w:after="2" w:line="360" w:lineRule="auto"/>
        <w:ind w:left="810" w:hanging="541"/>
        <w:jc w:val="both"/>
        <w:rPr>
          <w:rFonts w:ascii="Times New Roman" w:eastAsia="Times New Roman" w:hAnsi="Times New Roman" w:cs="Times New Roman"/>
          <w:i/>
          <w:iCs/>
          <w:sz w:val="20"/>
          <w:szCs w:val="20"/>
        </w:rPr>
      </w:pPr>
      <w:r>
        <w:rPr>
          <w:rFonts w:ascii="Times New Roman"/>
          <w:i/>
          <w:iCs/>
          <w:sz w:val="20"/>
          <w:szCs w:val="20"/>
        </w:rPr>
        <w:t>Expensive and complex for the Merchant for no benefit to the Merchant</w:t>
      </w:r>
    </w:p>
    <w:p w:rsidR="003E4DEF" w:rsidRDefault="00DC12B4">
      <w:pPr>
        <w:pStyle w:val="ListParagraph"/>
        <w:numPr>
          <w:ilvl w:val="0"/>
          <w:numId w:val="9"/>
        </w:numPr>
        <w:shd w:val="clear" w:color="auto" w:fill="FFFFFF"/>
        <w:tabs>
          <w:tab w:val="clear" w:pos="720"/>
          <w:tab w:val="num" w:pos="810"/>
        </w:tabs>
        <w:spacing w:before="2" w:after="2" w:line="360" w:lineRule="auto"/>
        <w:ind w:left="810" w:hanging="541"/>
        <w:jc w:val="both"/>
        <w:rPr>
          <w:rFonts w:ascii="Times New Roman" w:eastAsia="Times New Roman" w:hAnsi="Times New Roman" w:cs="Times New Roman"/>
          <w:i/>
          <w:iCs/>
          <w:sz w:val="20"/>
          <w:szCs w:val="20"/>
        </w:rPr>
      </w:pPr>
      <w:r>
        <w:rPr>
          <w:rFonts w:ascii="Times New Roman"/>
          <w:i/>
          <w:iCs/>
          <w:sz w:val="20"/>
          <w:szCs w:val="20"/>
        </w:rPr>
        <w:t xml:space="preserve">Fail to send the correct price signals to the cardholder being fundamentally premised on an </w:t>
      </w:r>
      <w:r>
        <w:rPr>
          <w:rFonts w:hAnsi="Arial Unicode MS"/>
          <w:i/>
          <w:iCs/>
          <w:sz w:val="20"/>
          <w:szCs w:val="20"/>
        </w:rPr>
        <w:t>“</w:t>
      </w:r>
      <w:r>
        <w:rPr>
          <w:rFonts w:ascii="Times New Roman"/>
          <w:i/>
          <w:iCs/>
          <w:sz w:val="20"/>
          <w:szCs w:val="20"/>
        </w:rPr>
        <w:t>age of entitlement</w:t>
      </w:r>
      <w:r>
        <w:rPr>
          <w:rFonts w:hAnsi="Arial Unicode MS"/>
          <w:i/>
          <w:iCs/>
          <w:sz w:val="20"/>
          <w:szCs w:val="20"/>
        </w:rPr>
        <w:t>”</w:t>
      </w:r>
      <w:r>
        <w:rPr>
          <w:rFonts w:ascii="Times New Roman"/>
          <w:i/>
          <w:iCs/>
          <w:sz w:val="20"/>
          <w:szCs w:val="20"/>
        </w:rPr>
        <w:t>.</w:t>
      </w:r>
    </w:p>
    <w:p w:rsidR="003E4DEF" w:rsidRDefault="00DC12B4">
      <w:pPr>
        <w:shd w:val="clear" w:color="auto" w:fill="FFFFFF"/>
        <w:spacing w:after="120" w:line="360" w:lineRule="auto"/>
        <w:jc w:val="both"/>
        <w:rPr>
          <w:sz w:val="20"/>
          <w:szCs w:val="20"/>
        </w:rPr>
      </w:pPr>
      <w:r>
        <w:rPr>
          <w:b/>
          <w:bCs/>
          <w:sz w:val="20"/>
          <w:szCs w:val="20"/>
        </w:rPr>
        <w:t xml:space="preserve">5. </w:t>
      </w:r>
      <w:r>
        <w:rPr>
          <w:b/>
          <w:bCs/>
          <w:sz w:val="20"/>
          <w:szCs w:val="20"/>
        </w:rPr>
        <w:t> </w:t>
      </w:r>
      <w:r>
        <w:rPr>
          <w:b/>
          <w:bCs/>
          <w:sz w:val="20"/>
          <w:szCs w:val="20"/>
        </w:rPr>
        <w:t xml:space="preserve"> Correcting the Dis-Information on Service Fees in Taxis.</w:t>
      </w:r>
      <w:r>
        <w:rPr>
          <w:b/>
          <w:bCs/>
          <w:sz w:val="20"/>
          <w:szCs w:val="20"/>
        </w:rPr>
        <w:t> </w:t>
      </w:r>
      <w:r>
        <w:rPr>
          <w:sz w:val="20"/>
          <w:szCs w:val="20"/>
        </w:rPr>
        <w:t> </w:t>
      </w:r>
    </w:p>
    <w:p w:rsidR="003E4DEF" w:rsidRDefault="00DC12B4">
      <w:pPr>
        <w:spacing w:after="120" w:line="360" w:lineRule="auto"/>
        <w:jc w:val="both"/>
        <w:rPr>
          <w:sz w:val="20"/>
          <w:szCs w:val="20"/>
        </w:rPr>
      </w:pPr>
      <w:r>
        <w:rPr>
          <w:sz w:val="20"/>
          <w:szCs w:val="20"/>
        </w:rPr>
        <w:t xml:space="preserve">As the PSB correctly observes, there has been an orchestrated and </w:t>
      </w:r>
      <w:proofErr w:type="spellStart"/>
      <w:r>
        <w:rPr>
          <w:sz w:val="20"/>
          <w:szCs w:val="20"/>
        </w:rPr>
        <w:t>ill informed</w:t>
      </w:r>
      <w:proofErr w:type="spellEnd"/>
      <w:r>
        <w:rPr>
          <w:sz w:val="20"/>
          <w:szCs w:val="20"/>
        </w:rPr>
        <w:t xml:space="preserve"> campaign mounted about surcharging.  Even the Treasurer was seduced by the dis-information in his comments on releasing the final report of the FSI.</w:t>
      </w:r>
    </w:p>
    <w:p w:rsidR="003E4DEF" w:rsidRDefault="00DC12B4">
      <w:pPr>
        <w:spacing w:after="120" w:line="360" w:lineRule="auto"/>
        <w:jc w:val="both"/>
        <w:rPr>
          <w:sz w:val="20"/>
          <w:szCs w:val="20"/>
        </w:rPr>
      </w:pPr>
      <w:r>
        <w:rPr>
          <w:sz w:val="20"/>
          <w:szCs w:val="20"/>
        </w:rPr>
        <w:lastRenderedPageBreak/>
        <w:t>It is necessary to set out the facts with respect to service fees in taxis.</w:t>
      </w:r>
    </w:p>
    <w:p w:rsidR="003E4DEF" w:rsidRDefault="00DC12B4">
      <w:pPr>
        <w:pStyle w:val="ListParagraph"/>
        <w:numPr>
          <w:ilvl w:val="0"/>
          <w:numId w:val="12"/>
        </w:numPr>
        <w:tabs>
          <w:tab w:val="clear" w:pos="720"/>
          <w:tab w:val="num" w:pos="809"/>
        </w:tabs>
        <w:spacing w:before="2" w:after="2" w:line="360" w:lineRule="auto"/>
        <w:ind w:left="809" w:hanging="537"/>
        <w:jc w:val="both"/>
        <w:rPr>
          <w:sz w:val="20"/>
          <w:szCs w:val="20"/>
        </w:rPr>
      </w:pPr>
      <w:r>
        <w:rPr>
          <w:rFonts w:ascii="Times New Roman"/>
          <w:sz w:val="20"/>
          <w:szCs w:val="20"/>
        </w:rPr>
        <w:t xml:space="preserve">Taxis unlike almost every other good or service offering in Australia is subject to stringent price cap regulation on service fees. </w:t>
      </w:r>
    </w:p>
    <w:p w:rsidR="003E4DEF" w:rsidRDefault="00DC12B4">
      <w:pPr>
        <w:pStyle w:val="ListParagraph"/>
        <w:numPr>
          <w:ilvl w:val="0"/>
          <w:numId w:val="12"/>
        </w:numPr>
        <w:tabs>
          <w:tab w:val="clear" w:pos="720"/>
          <w:tab w:val="num" w:pos="809"/>
        </w:tabs>
        <w:spacing w:before="2" w:after="2" w:line="360" w:lineRule="auto"/>
        <w:ind w:left="809" w:hanging="537"/>
        <w:jc w:val="both"/>
        <w:rPr>
          <w:sz w:val="20"/>
          <w:szCs w:val="20"/>
        </w:rPr>
      </w:pPr>
      <w:r>
        <w:rPr>
          <w:rFonts w:ascii="Times New Roman"/>
          <w:sz w:val="20"/>
          <w:szCs w:val="20"/>
        </w:rPr>
        <w:t xml:space="preserve">There are two discrete services provided to a passenger in a taxi by two separate entities.  The first involves the point to point at demand transportation service provided by the licensed taxis.  The passenger is charged a fare for this service.  Secondly a separate specialist payment provider that enables the passenger to pay via an EFTPOS facility offers a separate service. The ATO </w:t>
      </w:r>
      <w:proofErr w:type="spellStart"/>
      <w:r>
        <w:rPr>
          <w:rFonts w:ascii="Times New Roman"/>
          <w:sz w:val="20"/>
          <w:szCs w:val="20"/>
        </w:rPr>
        <w:t>recognises</w:t>
      </w:r>
      <w:proofErr w:type="spellEnd"/>
      <w:r>
        <w:rPr>
          <w:rFonts w:ascii="Times New Roman"/>
          <w:sz w:val="20"/>
          <w:szCs w:val="20"/>
        </w:rPr>
        <w:t xml:space="preserve"> that there are two discrete services in a taxi.</w:t>
      </w:r>
    </w:p>
    <w:p w:rsidR="003E4DEF" w:rsidRDefault="00DC12B4">
      <w:pPr>
        <w:pStyle w:val="ListParagraph"/>
        <w:numPr>
          <w:ilvl w:val="0"/>
          <w:numId w:val="12"/>
        </w:numPr>
        <w:tabs>
          <w:tab w:val="clear" w:pos="720"/>
          <w:tab w:val="num" w:pos="809"/>
        </w:tabs>
        <w:spacing w:before="2" w:after="2" w:line="360" w:lineRule="auto"/>
        <w:ind w:left="809" w:hanging="537"/>
        <w:jc w:val="both"/>
        <w:rPr>
          <w:sz w:val="20"/>
          <w:szCs w:val="20"/>
        </w:rPr>
      </w:pPr>
      <w:r>
        <w:rPr>
          <w:rFonts w:ascii="Times New Roman"/>
          <w:sz w:val="20"/>
          <w:szCs w:val="20"/>
        </w:rPr>
        <w:t>Consumers and regulators conveniently ignore the existence of the two services and the separate costs incurred; or the significant public benefits that arise from the provision of EFTPOS services in a taxi reducing reliance on high risk cash transactions and their associated costs.</w:t>
      </w:r>
    </w:p>
    <w:p w:rsidR="003E4DEF" w:rsidRDefault="00DC12B4">
      <w:pPr>
        <w:pStyle w:val="ListParagraph"/>
        <w:numPr>
          <w:ilvl w:val="0"/>
          <w:numId w:val="12"/>
        </w:numPr>
        <w:tabs>
          <w:tab w:val="clear" w:pos="720"/>
          <w:tab w:val="num" w:pos="809"/>
        </w:tabs>
        <w:spacing w:before="2" w:after="2" w:line="360" w:lineRule="auto"/>
        <w:ind w:left="809" w:hanging="537"/>
        <w:jc w:val="both"/>
        <w:rPr>
          <w:sz w:val="20"/>
          <w:szCs w:val="20"/>
        </w:rPr>
      </w:pPr>
      <w:r>
        <w:rPr>
          <w:rFonts w:ascii="Times New Roman"/>
          <w:sz w:val="20"/>
          <w:szCs w:val="20"/>
        </w:rPr>
        <w:t xml:space="preserve">The non-cash surcharge collected for providing a payment service in a taxi, independent of the fare, is more than a Merchant Service Fee.  The RBA has </w:t>
      </w:r>
      <w:proofErr w:type="spellStart"/>
      <w:r>
        <w:rPr>
          <w:rFonts w:ascii="Times New Roman"/>
          <w:sz w:val="20"/>
          <w:szCs w:val="20"/>
        </w:rPr>
        <w:t>recognised</w:t>
      </w:r>
      <w:proofErr w:type="spellEnd"/>
      <w:r>
        <w:rPr>
          <w:rFonts w:ascii="Times New Roman"/>
          <w:sz w:val="20"/>
          <w:szCs w:val="20"/>
        </w:rPr>
        <w:t xml:space="preserve"> that there are costs independent of a Merchant Service Fee that need to be recovered including allowing that the payment service provider a return on investment for the capital deployed in providing the service, as is any other business.  This is quite a distinct situation not found in most other industries.</w:t>
      </w:r>
    </w:p>
    <w:p w:rsidR="003E4DEF" w:rsidRDefault="00DC12B4">
      <w:pPr>
        <w:pStyle w:val="ListParagraph"/>
        <w:numPr>
          <w:ilvl w:val="0"/>
          <w:numId w:val="12"/>
        </w:numPr>
        <w:tabs>
          <w:tab w:val="clear" w:pos="720"/>
          <w:tab w:val="num" w:pos="809"/>
        </w:tabs>
        <w:spacing w:before="2" w:after="2" w:line="360" w:lineRule="auto"/>
        <w:ind w:left="809" w:hanging="537"/>
        <w:jc w:val="both"/>
        <w:rPr>
          <w:sz w:val="20"/>
          <w:szCs w:val="20"/>
        </w:rPr>
      </w:pPr>
      <w:r>
        <w:rPr>
          <w:rFonts w:ascii="Times New Roman"/>
          <w:sz w:val="20"/>
          <w:szCs w:val="20"/>
        </w:rPr>
        <w:t>None of the regulatory interventions in capping service fees have ever been the subject of any public scrutiny or the application of normal building block models as applies in network industries.  Rather they have been capricious and arbitrary activities to impose price caps with no analysis of the public benefits or detriments or the competition impacts of the decisions.</w:t>
      </w:r>
    </w:p>
    <w:p w:rsidR="003E4DEF" w:rsidRDefault="00DC12B4">
      <w:pPr>
        <w:spacing w:after="120" w:line="360" w:lineRule="auto"/>
        <w:jc w:val="both"/>
        <w:rPr>
          <w:sz w:val="20"/>
          <w:szCs w:val="20"/>
        </w:rPr>
      </w:pPr>
      <w:r>
        <w:rPr>
          <w:sz w:val="20"/>
          <w:szCs w:val="20"/>
        </w:rPr>
        <w:t xml:space="preserve">The comments in the FSI report in this regard perpetuate an urban myth that needs to be corrected as a matter of record.  </w:t>
      </w:r>
    </w:p>
    <w:p w:rsidR="003E4DEF" w:rsidRDefault="00DC12B4">
      <w:pPr>
        <w:rPr>
          <w:sz w:val="20"/>
          <w:szCs w:val="20"/>
        </w:rPr>
      </w:pPr>
      <w:r>
        <w:rPr>
          <w:b/>
          <w:bCs/>
          <w:sz w:val="20"/>
          <w:szCs w:val="20"/>
        </w:rPr>
        <w:t>5.</w:t>
      </w:r>
      <w:r>
        <w:rPr>
          <w:b/>
          <w:bCs/>
          <w:sz w:val="20"/>
          <w:szCs w:val="20"/>
        </w:rPr>
        <w:tab/>
        <w:t>Empower the RBA to manage the Card Payment system as the single regulator.</w:t>
      </w:r>
      <w:r>
        <w:rPr>
          <w:rFonts w:ascii="Arial Unicode MS"/>
          <w:b/>
          <w:bCs/>
          <w:sz w:val="20"/>
          <w:szCs w:val="20"/>
        </w:rPr>
        <w:t> </w:t>
      </w:r>
      <w:r>
        <w:rPr>
          <w:rFonts w:ascii="Arial Unicode MS"/>
          <w:sz w:val="20"/>
          <w:szCs w:val="20"/>
        </w:rPr>
        <w:t> </w:t>
      </w:r>
      <w:r>
        <w:rPr>
          <w:rFonts w:ascii="Arial Unicode MS"/>
          <w:sz w:val="20"/>
          <w:szCs w:val="20"/>
        </w:rPr>
        <w:br/>
      </w:r>
    </w:p>
    <w:p w:rsidR="003E4DEF" w:rsidRDefault="00DC12B4">
      <w:pPr>
        <w:spacing w:before="120" w:after="120" w:line="360" w:lineRule="auto"/>
        <w:jc w:val="both"/>
        <w:rPr>
          <w:sz w:val="20"/>
          <w:szCs w:val="20"/>
        </w:rPr>
      </w:pPr>
      <w:r>
        <w:rPr>
          <w:sz w:val="20"/>
          <w:szCs w:val="20"/>
        </w:rPr>
        <w:t>Multiple regulators enable issues to slip between the cracks and promote regulatory overburden.</w:t>
      </w:r>
      <w:r>
        <w:rPr>
          <w:sz w:val="20"/>
          <w:szCs w:val="20"/>
        </w:rPr>
        <w:t> </w:t>
      </w:r>
      <w:r>
        <w:rPr>
          <w:sz w:val="20"/>
          <w:szCs w:val="20"/>
        </w:rPr>
        <w:t xml:space="preserve"> In recent years we have seen creeping regulation of Card Payments by a range of Commonwealth and State Government regulators, as is the case with </w:t>
      </w:r>
      <w:proofErr w:type="spellStart"/>
      <w:r>
        <w:rPr>
          <w:sz w:val="20"/>
          <w:szCs w:val="20"/>
        </w:rPr>
        <w:t>Cabcharge</w:t>
      </w:r>
      <w:proofErr w:type="spellEnd"/>
      <w:r>
        <w:rPr>
          <w:sz w:val="20"/>
          <w:szCs w:val="20"/>
        </w:rPr>
        <w:t xml:space="preserve"> card payment products.</w:t>
      </w:r>
    </w:p>
    <w:p w:rsidR="003E4DEF" w:rsidRDefault="00DC12B4">
      <w:pPr>
        <w:spacing w:before="120" w:after="120" w:line="360" w:lineRule="auto"/>
        <w:jc w:val="both"/>
        <w:rPr>
          <w:sz w:val="20"/>
          <w:szCs w:val="20"/>
        </w:rPr>
      </w:pPr>
      <w:r>
        <w:rPr>
          <w:sz w:val="20"/>
          <w:szCs w:val="20"/>
        </w:rPr>
        <w:t xml:space="preserve">The failure of the RBA to intervene and bring </w:t>
      </w:r>
      <w:proofErr w:type="spellStart"/>
      <w:r>
        <w:rPr>
          <w:sz w:val="20"/>
          <w:szCs w:val="20"/>
        </w:rPr>
        <w:t>Cabcharge</w:t>
      </w:r>
      <w:r>
        <w:rPr>
          <w:sz w:val="20"/>
          <w:szCs w:val="20"/>
        </w:rPr>
        <w:t>’</w:t>
      </w:r>
      <w:r>
        <w:rPr>
          <w:sz w:val="20"/>
          <w:szCs w:val="20"/>
        </w:rPr>
        <w:t>s</w:t>
      </w:r>
      <w:proofErr w:type="spellEnd"/>
      <w:r>
        <w:rPr>
          <w:sz w:val="20"/>
          <w:szCs w:val="20"/>
        </w:rPr>
        <w:t xml:space="preserve"> Payment system within the ambit of the other major cards used in taxis has resulted in various State Governments introducing inefficient price cap regulations on taxi non-cash payments service fees resulting in significant competition issues.</w:t>
      </w:r>
      <w:r>
        <w:rPr>
          <w:sz w:val="20"/>
          <w:szCs w:val="20"/>
        </w:rPr>
        <w:t> </w:t>
      </w:r>
      <w:r>
        <w:rPr>
          <w:sz w:val="20"/>
          <w:szCs w:val="20"/>
        </w:rPr>
        <w:t xml:space="preserve"> The </w:t>
      </w:r>
      <w:r>
        <w:rPr>
          <w:sz w:val="20"/>
          <w:szCs w:val="20"/>
        </w:rPr>
        <w:t>“</w:t>
      </w:r>
      <w:r>
        <w:rPr>
          <w:sz w:val="20"/>
          <w:szCs w:val="20"/>
        </w:rPr>
        <w:t>price cap</w:t>
      </w:r>
      <w:r>
        <w:rPr>
          <w:sz w:val="20"/>
          <w:szCs w:val="20"/>
        </w:rPr>
        <w:t>”</w:t>
      </w:r>
      <w:r>
        <w:rPr>
          <w:sz w:val="20"/>
          <w:szCs w:val="20"/>
        </w:rPr>
        <w:t xml:space="preserve"> is a lesson to all those who have argued for such interventions as to why it delivers inefficient and bad market outcomes.</w:t>
      </w:r>
    </w:p>
    <w:p w:rsidR="003E4DEF" w:rsidRDefault="00DC12B4">
      <w:pPr>
        <w:spacing w:after="120" w:line="360" w:lineRule="auto"/>
        <w:jc w:val="both"/>
        <w:rPr>
          <w:sz w:val="20"/>
          <w:szCs w:val="20"/>
        </w:rPr>
      </w:pPr>
      <w:r>
        <w:rPr>
          <w:sz w:val="20"/>
          <w:szCs w:val="20"/>
        </w:rPr>
        <w:t xml:space="preserve">The inaction by the RBA combined with the actions of State regulators has ensured </w:t>
      </w:r>
      <w:proofErr w:type="spellStart"/>
      <w:r>
        <w:rPr>
          <w:sz w:val="20"/>
          <w:szCs w:val="20"/>
        </w:rPr>
        <w:t>Cabcharge</w:t>
      </w:r>
      <w:proofErr w:type="spellEnd"/>
      <w:r>
        <w:rPr>
          <w:sz w:val="20"/>
          <w:szCs w:val="20"/>
        </w:rPr>
        <w:t xml:space="preserve"> maintained and even increased their market dominance and at the same time continue the practices for which it was fined $14m (plus $1.0m costs) in 2010 by the Federal Court for offenses under the Competition and Consumer Act.</w:t>
      </w:r>
      <w:r>
        <w:rPr>
          <w:sz w:val="20"/>
          <w:szCs w:val="20"/>
        </w:rPr>
        <w:t> </w:t>
      </w:r>
      <w:r>
        <w:rPr>
          <w:sz w:val="20"/>
          <w:szCs w:val="20"/>
        </w:rPr>
        <w:t xml:space="preserve"> If the RBA had acted on </w:t>
      </w:r>
      <w:proofErr w:type="spellStart"/>
      <w:r>
        <w:rPr>
          <w:sz w:val="20"/>
          <w:szCs w:val="20"/>
        </w:rPr>
        <w:t>CabFare</w:t>
      </w:r>
      <w:r>
        <w:rPr>
          <w:sz w:val="20"/>
          <w:szCs w:val="20"/>
        </w:rPr>
        <w:t>’</w:t>
      </w:r>
      <w:r>
        <w:rPr>
          <w:sz w:val="20"/>
          <w:szCs w:val="20"/>
        </w:rPr>
        <w:t>s</w:t>
      </w:r>
      <w:proofErr w:type="spellEnd"/>
      <w:r>
        <w:rPr>
          <w:sz w:val="20"/>
          <w:szCs w:val="20"/>
        </w:rPr>
        <w:t xml:space="preserve"> application to it in 2012 to </w:t>
      </w:r>
      <w:r>
        <w:rPr>
          <w:sz w:val="20"/>
          <w:szCs w:val="20"/>
        </w:rPr>
        <w:t>“</w:t>
      </w:r>
      <w:r>
        <w:rPr>
          <w:sz w:val="20"/>
          <w:szCs w:val="20"/>
        </w:rPr>
        <w:t>designate</w:t>
      </w:r>
      <w:r>
        <w:rPr>
          <w:sz w:val="20"/>
          <w:szCs w:val="20"/>
        </w:rPr>
        <w:t>”</w:t>
      </w:r>
      <w:r>
        <w:rPr>
          <w:sz w:val="20"/>
          <w:szCs w:val="20"/>
        </w:rPr>
        <w:t xml:space="preserve"> the </w:t>
      </w:r>
      <w:proofErr w:type="spellStart"/>
      <w:r>
        <w:rPr>
          <w:sz w:val="20"/>
          <w:szCs w:val="20"/>
        </w:rPr>
        <w:t>Cabcharge</w:t>
      </w:r>
      <w:proofErr w:type="spellEnd"/>
      <w:r>
        <w:rPr>
          <w:sz w:val="20"/>
          <w:szCs w:val="20"/>
        </w:rPr>
        <w:t xml:space="preserve"> card and bring it into the regulatory scrutiny of the Payment Systems Board, perhaps this outcome could have been averted.</w:t>
      </w:r>
    </w:p>
    <w:p w:rsidR="003E4DEF" w:rsidRDefault="00DC12B4">
      <w:pPr>
        <w:spacing w:after="120" w:line="360" w:lineRule="auto"/>
        <w:jc w:val="both"/>
        <w:rPr>
          <w:sz w:val="20"/>
          <w:szCs w:val="20"/>
        </w:rPr>
      </w:pPr>
      <w:r>
        <w:rPr>
          <w:sz w:val="20"/>
          <w:szCs w:val="20"/>
        </w:rPr>
        <w:t>The RBA needs to be provided with the sole power to regulate all aspects of the Card payment system.</w:t>
      </w:r>
      <w:r>
        <w:rPr>
          <w:sz w:val="20"/>
          <w:szCs w:val="20"/>
        </w:rPr>
        <w:t> </w:t>
      </w:r>
      <w:r>
        <w:rPr>
          <w:sz w:val="20"/>
          <w:szCs w:val="20"/>
        </w:rPr>
        <w:t xml:space="preserve"> This will cut red tape and make the operation of the card payment system more efficient for all participants.  For cardholders having multiple points of reference whether it is for consumer protection, EFT Codes of practice, or fee setting is both confusing and time consuming negotiating a regulatory nightmare.  If it is not possible to integrate the functions then there needs to be stringer liaison and clear accountability as to which regulator is the lead agency responsible.  Having cross membership on Boards (as occurs between APRA and the PSB) or informal annual consultation (as occurs on the critical issues of competition policy between the RBA/PSB and the ACCC) is a recipe for disaster and inaction on critical issues.</w:t>
      </w:r>
    </w:p>
    <w:p w:rsidR="003E4DEF" w:rsidRDefault="00DC12B4">
      <w:pPr>
        <w:spacing w:after="120" w:line="360" w:lineRule="auto"/>
        <w:jc w:val="both"/>
        <w:rPr>
          <w:sz w:val="20"/>
          <w:szCs w:val="20"/>
        </w:rPr>
      </w:pPr>
      <w:r>
        <w:rPr>
          <w:sz w:val="20"/>
          <w:szCs w:val="20"/>
        </w:rPr>
        <w:t>Now is the time for the RBA to take decisive action and assume responsibility for all cards used in taxis and limousines.</w:t>
      </w:r>
      <w:r>
        <w:rPr>
          <w:sz w:val="20"/>
          <w:szCs w:val="20"/>
        </w:rPr>
        <w:t> </w:t>
      </w:r>
      <w:r>
        <w:rPr>
          <w:sz w:val="20"/>
          <w:szCs w:val="20"/>
        </w:rPr>
        <w:t xml:space="preserve">  Such action is necessary to remove State Governments and State Taxi and Economic Regulators from meddling in the Banking and Finance system.</w:t>
      </w:r>
      <w:r>
        <w:rPr>
          <w:sz w:val="20"/>
          <w:szCs w:val="20"/>
        </w:rPr>
        <w:t> </w:t>
      </w:r>
      <w:r>
        <w:rPr>
          <w:sz w:val="20"/>
          <w:szCs w:val="20"/>
        </w:rPr>
        <w:t xml:space="preserve"> Something they have demonstrated they are ill equipped to do.</w:t>
      </w:r>
    </w:p>
    <w:p w:rsidR="003E4DEF" w:rsidRDefault="00DC12B4">
      <w:pPr>
        <w:shd w:val="clear" w:color="auto" w:fill="FFFFFF"/>
        <w:spacing w:after="120" w:line="360" w:lineRule="auto"/>
        <w:jc w:val="both"/>
        <w:rPr>
          <w:sz w:val="20"/>
          <w:szCs w:val="20"/>
        </w:rPr>
      </w:pPr>
      <w:r>
        <w:rPr>
          <w:i/>
          <w:iCs/>
          <w:sz w:val="20"/>
          <w:szCs w:val="20"/>
        </w:rPr>
        <w:t>In summary:</w:t>
      </w:r>
      <w:r>
        <w:rPr>
          <w:sz w:val="20"/>
          <w:szCs w:val="20"/>
        </w:rPr>
        <w:t xml:space="preserve"> </w:t>
      </w:r>
      <w:proofErr w:type="spellStart"/>
      <w:r>
        <w:rPr>
          <w:sz w:val="20"/>
          <w:szCs w:val="20"/>
        </w:rPr>
        <w:t>CabFare</w:t>
      </w:r>
      <w:proofErr w:type="spellEnd"/>
      <w:r>
        <w:rPr>
          <w:sz w:val="20"/>
          <w:szCs w:val="20"/>
        </w:rPr>
        <w:t xml:space="preserve"> view is that the PSB should use the opportunity afforded by the FSI</w:t>
      </w:r>
      <w:r>
        <w:rPr>
          <w:sz w:val="20"/>
          <w:szCs w:val="20"/>
        </w:rPr>
        <w:t>’</w:t>
      </w:r>
      <w:r>
        <w:rPr>
          <w:sz w:val="20"/>
          <w:szCs w:val="20"/>
        </w:rPr>
        <w:t>s recommendations to examine the entire cost structure of Card Fees and particularly consider moving to a flat Merchant Service Fee.  This would:</w:t>
      </w:r>
    </w:p>
    <w:p w:rsidR="003E4DEF" w:rsidRDefault="00DC12B4">
      <w:pPr>
        <w:pStyle w:val="ListParagraph"/>
        <w:numPr>
          <w:ilvl w:val="0"/>
          <w:numId w:val="15"/>
        </w:numPr>
        <w:shd w:val="clear" w:color="auto" w:fill="FFFFFF"/>
        <w:tabs>
          <w:tab w:val="clear" w:pos="720"/>
          <w:tab w:val="num" w:pos="809"/>
        </w:tabs>
        <w:spacing w:before="2" w:after="2" w:line="360" w:lineRule="auto"/>
        <w:ind w:left="809" w:hanging="537"/>
        <w:jc w:val="both"/>
        <w:rPr>
          <w:sz w:val="20"/>
          <w:szCs w:val="20"/>
        </w:rPr>
      </w:pPr>
      <w:r>
        <w:rPr>
          <w:rFonts w:ascii="Times New Roman"/>
          <w:sz w:val="20"/>
          <w:szCs w:val="20"/>
        </w:rPr>
        <w:t>Make it a simpler and fairer system to all</w:t>
      </w:r>
    </w:p>
    <w:p w:rsidR="003E4DEF" w:rsidRDefault="00DC12B4">
      <w:pPr>
        <w:pStyle w:val="ListParagraph"/>
        <w:numPr>
          <w:ilvl w:val="0"/>
          <w:numId w:val="15"/>
        </w:numPr>
        <w:shd w:val="clear" w:color="auto" w:fill="FFFFFF"/>
        <w:tabs>
          <w:tab w:val="clear" w:pos="720"/>
          <w:tab w:val="num" w:pos="809"/>
        </w:tabs>
        <w:spacing w:before="2" w:after="2" w:line="360" w:lineRule="auto"/>
        <w:ind w:left="809" w:hanging="537"/>
        <w:jc w:val="both"/>
        <w:rPr>
          <w:sz w:val="20"/>
          <w:szCs w:val="20"/>
        </w:rPr>
      </w:pPr>
      <w:r>
        <w:rPr>
          <w:rFonts w:ascii="Times New Roman"/>
          <w:sz w:val="20"/>
          <w:szCs w:val="20"/>
        </w:rPr>
        <w:t>Drive down costs to consumers</w:t>
      </w:r>
    </w:p>
    <w:p w:rsidR="003E4DEF" w:rsidRDefault="00DC12B4">
      <w:pPr>
        <w:pStyle w:val="ListParagraph"/>
        <w:numPr>
          <w:ilvl w:val="0"/>
          <w:numId w:val="15"/>
        </w:numPr>
        <w:shd w:val="clear" w:color="auto" w:fill="FFFFFF"/>
        <w:tabs>
          <w:tab w:val="clear" w:pos="720"/>
          <w:tab w:val="num" w:pos="809"/>
        </w:tabs>
        <w:spacing w:before="2" w:after="2" w:line="360" w:lineRule="auto"/>
        <w:ind w:left="809" w:hanging="537"/>
        <w:jc w:val="both"/>
        <w:rPr>
          <w:sz w:val="20"/>
          <w:szCs w:val="20"/>
        </w:rPr>
      </w:pPr>
      <w:r>
        <w:rPr>
          <w:rFonts w:ascii="Times New Roman"/>
          <w:sz w:val="20"/>
          <w:szCs w:val="20"/>
        </w:rPr>
        <w:t>Drive down costs to Card Companies.</w:t>
      </w:r>
    </w:p>
    <w:p w:rsidR="003E4DEF" w:rsidRDefault="00DC12B4">
      <w:pPr>
        <w:pStyle w:val="ListParagraph"/>
        <w:numPr>
          <w:ilvl w:val="0"/>
          <w:numId w:val="15"/>
        </w:numPr>
        <w:shd w:val="clear" w:color="auto" w:fill="FFFFFF"/>
        <w:tabs>
          <w:tab w:val="clear" w:pos="720"/>
          <w:tab w:val="num" w:pos="809"/>
        </w:tabs>
        <w:spacing w:before="2" w:after="2" w:line="360" w:lineRule="auto"/>
        <w:ind w:left="809" w:hanging="537"/>
        <w:jc w:val="both"/>
        <w:rPr>
          <w:sz w:val="20"/>
          <w:szCs w:val="20"/>
        </w:rPr>
      </w:pPr>
      <w:r>
        <w:rPr>
          <w:rFonts w:ascii="Times New Roman"/>
          <w:sz w:val="20"/>
          <w:szCs w:val="20"/>
        </w:rPr>
        <w:t>Provide Consumers with a simple, easy to understand service fee for using Cards.</w:t>
      </w:r>
    </w:p>
    <w:p w:rsidR="003E4DEF" w:rsidRDefault="00DC12B4">
      <w:pPr>
        <w:pStyle w:val="ListParagraph"/>
        <w:numPr>
          <w:ilvl w:val="0"/>
          <w:numId w:val="15"/>
        </w:numPr>
        <w:shd w:val="clear" w:color="auto" w:fill="FFFFFF"/>
        <w:tabs>
          <w:tab w:val="clear" w:pos="720"/>
          <w:tab w:val="num" w:pos="809"/>
        </w:tabs>
        <w:spacing w:before="2" w:after="2" w:line="360" w:lineRule="auto"/>
        <w:ind w:left="809" w:hanging="537"/>
        <w:jc w:val="both"/>
        <w:rPr>
          <w:sz w:val="20"/>
          <w:szCs w:val="20"/>
        </w:rPr>
      </w:pPr>
      <w:r>
        <w:rPr>
          <w:rFonts w:ascii="Times New Roman"/>
          <w:sz w:val="20"/>
          <w:szCs w:val="20"/>
        </w:rPr>
        <w:t>Enable the cost of Credit provision to be recovered from the party receiving the credit (i.e. The Cardholder).</w:t>
      </w:r>
    </w:p>
    <w:p w:rsidR="003E4DEF" w:rsidRDefault="00DC12B4">
      <w:pPr>
        <w:spacing w:after="120" w:line="360" w:lineRule="auto"/>
        <w:jc w:val="both"/>
        <w:rPr>
          <w:sz w:val="20"/>
          <w:szCs w:val="20"/>
        </w:rPr>
      </w:pPr>
      <w:r>
        <w:rPr>
          <w:sz w:val="20"/>
          <w:szCs w:val="20"/>
        </w:rPr>
        <w:t>This intervention alone would address the key issues flagged by the FSI report.</w:t>
      </w:r>
    </w:p>
    <w:p w:rsidR="003E4DEF" w:rsidRDefault="00DC12B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120" w:line="360" w:lineRule="auto"/>
        <w:jc w:val="both"/>
        <w:rPr>
          <w:rFonts w:ascii="Times New Roman" w:eastAsia="Times New Roman" w:hAnsi="Times New Roman" w:cs="Times New Roman"/>
          <w:sz w:val="20"/>
          <w:szCs w:val="20"/>
        </w:rPr>
      </w:pPr>
      <w:r>
        <w:rPr>
          <w:rFonts w:ascii="Times New Roman"/>
          <w:sz w:val="20"/>
          <w:szCs w:val="20"/>
        </w:rPr>
        <w:t>We are available to meet with the Board to discuss any element of this submission in further detail.</w:t>
      </w:r>
    </w:p>
    <w:p w:rsidR="003E4DEF" w:rsidRDefault="003E4DE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120" w:line="360" w:lineRule="auto"/>
        <w:jc w:val="both"/>
        <w:rPr>
          <w:rFonts w:ascii="Times New Roman" w:eastAsia="Times New Roman" w:hAnsi="Times New Roman" w:cs="Times New Roman"/>
          <w:sz w:val="20"/>
          <w:szCs w:val="20"/>
        </w:rPr>
      </w:pPr>
    </w:p>
    <w:p w:rsidR="003E4DEF" w:rsidRDefault="00DC12B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120" w:line="360" w:lineRule="auto"/>
        <w:jc w:val="both"/>
        <w:rPr>
          <w:rFonts w:ascii="Times New Roman" w:eastAsia="Times New Roman" w:hAnsi="Times New Roman" w:cs="Times New Roman"/>
          <w:sz w:val="20"/>
          <w:szCs w:val="20"/>
        </w:rPr>
      </w:pPr>
      <w:r>
        <w:rPr>
          <w:rFonts w:ascii="Times New Roman"/>
          <w:sz w:val="20"/>
          <w:szCs w:val="20"/>
        </w:rPr>
        <w:t>Yours sincerely,</w:t>
      </w:r>
    </w:p>
    <w:p w:rsidR="003E4DEF" w:rsidRDefault="003E4DE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120" w:line="360" w:lineRule="auto"/>
        <w:jc w:val="both"/>
        <w:rPr>
          <w:rFonts w:ascii="Times New Roman" w:eastAsia="Times New Roman" w:hAnsi="Times New Roman" w:cs="Times New Roman"/>
          <w:sz w:val="20"/>
          <w:szCs w:val="20"/>
        </w:rPr>
      </w:pPr>
    </w:p>
    <w:p w:rsidR="003E4DEF" w:rsidRDefault="003E4DE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120" w:line="360" w:lineRule="auto"/>
        <w:jc w:val="both"/>
        <w:rPr>
          <w:rFonts w:ascii="Times New Roman" w:eastAsia="Times New Roman" w:hAnsi="Times New Roman" w:cs="Times New Roman"/>
          <w:sz w:val="20"/>
          <w:szCs w:val="20"/>
        </w:rPr>
      </w:pPr>
    </w:p>
    <w:p w:rsidR="003E4DEF" w:rsidRDefault="00DC12B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imes New Roman" w:eastAsia="Times New Roman" w:hAnsi="Times New Roman" w:cs="Times New Roman"/>
          <w:b/>
          <w:bCs/>
          <w:sz w:val="20"/>
          <w:szCs w:val="20"/>
        </w:rPr>
      </w:pPr>
      <w:r>
        <w:rPr>
          <w:rFonts w:ascii="Times New Roman"/>
          <w:b/>
          <w:bCs/>
          <w:sz w:val="20"/>
          <w:szCs w:val="20"/>
        </w:rPr>
        <w:t>David R. Hamilton</w:t>
      </w:r>
    </w:p>
    <w:p w:rsidR="003E4DEF" w:rsidRDefault="00DC12B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Times New Roman" w:eastAsia="Times New Roman" w:hAnsi="Times New Roman" w:cs="Times New Roman"/>
          <w:sz w:val="20"/>
          <w:szCs w:val="20"/>
        </w:rPr>
      </w:pPr>
      <w:r>
        <w:rPr>
          <w:rFonts w:ascii="Times New Roman"/>
          <w:sz w:val="20"/>
          <w:szCs w:val="20"/>
        </w:rPr>
        <w:t xml:space="preserve">General Manager </w:t>
      </w:r>
    </w:p>
    <w:p w:rsidR="003E4DEF" w:rsidRDefault="00DC12B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pPr>
      <w:r>
        <w:rPr>
          <w:rFonts w:ascii="Times New Roman"/>
          <w:sz w:val="20"/>
          <w:szCs w:val="20"/>
        </w:rPr>
        <w:t>Strategy and Regulation</w:t>
      </w:r>
    </w:p>
    <w:sectPr w:rsidR="003E4DEF">
      <w:headerReference w:type="even" r:id="rId8"/>
      <w:headerReference w:type="default" r:id="rId9"/>
      <w:footerReference w:type="even" r:id="rId10"/>
      <w:footerReference w:type="default" r:id="rId11"/>
      <w:headerReference w:type="first" r:id="rId12"/>
      <w:footerReference w:type="first" r:id="rId13"/>
      <w:pgSz w:w="11900" w:h="16840"/>
      <w:pgMar w:top="1021" w:right="1134" w:bottom="1021" w:left="1134" w:header="709" w:footer="85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6087" w:rsidRDefault="00DC12B4">
      <w:r>
        <w:separator/>
      </w:r>
    </w:p>
  </w:endnote>
  <w:endnote w:type="continuationSeparator" w:id="0">
    <w:p w:rsidR="00A06087" w:rsidRDefault="00DC12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Bold">
    <w:panose1 w:val="020408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DEF" w:rsidRDefault="00DC12B4">
    <w:pPr>
      <w:pStyle w:val="HeaderFooter"/>
      <w:tabs>
        <w:tab w:val="clear" w:pos="9632"/>
        <w:tab w:val="right" w:pos="9612"/>
      </w:tabs>
      <w:jc w:val="center"/>
    </w:pPr>
    <w:r>
      <w:rPr>
        <w:rFonts w:ascii="Cambria Bold" w:eastAsia="Cambria Bold" w:hAnsi="Cambria Bold" w:cs="Cambria Bold"/>
        <w:b/>
        <w:bCs/>
        <w:sz w:val="18"/>
        <w:szCs w:val="18"/>
      </w:rPr>
      <w:t xml:space="preserve">Page </w:t>
    </w:r>
    <w:r>
      <w:rPr>
        <w:rFonts w:ascii="Cambria Bold" w:eastAsia="Cambria Bold" w:hAnsi="Cambria Bold" w:cs="Cambria Bold"/>
        <w:b/>
        <w:bCs/>
        <w:sz w:val="18"/>
        <w:szCs w:val="18"/>
      </w:rPr>
      <w:fldChar w:fldCharType="begin"/>
    </w:r>
    <w:r>
      <w:rPr>
        <w:rFonts w:ascii="Cambria Bold" w:eastAsia="Cambria Bold" w:hAnsi="Cambria Bold" w:cs="Cambria Bold"/>
        <w:b/>
        <w:bCs/>
        <w:sz w:val="18"/>
        <w:szCs w:val="18"/>
      </w:rPr>
      <w:instrText xml:space="preserve"> PAGE </w:instrText>
    </w:r>
    <w:r>
      <w:rPr>
        <w:rFonts w:ascii="Cambria Bold" w:eastAsia="Cambria Bold" w:hAnsi="Cambria Bold" w:cs="Cambria Bold"/>
        <w:b/>
        <w:bCs/>
        <w:sz w:val="18"/>
        <w:szCs w:val="18"/>
      </w:rPr>
      <w:fldChar w:fldCharType="separate"/>
    </w:r>
    <w:r w:rsidR="00933F07">
      <w:rPr>
        <w:rFonts w:ascii="Cambria Bold" w:eastAsia="Cambria Bold" w:hAnsi="Cambria Bold" w:cs="Cambria Bold"/>
        <w:b/>
        <w:bCs/>
        <w:noProof/>
        <w:sz w:val="18"/>
        <w:szCs w:val="18"/>
      </w:rPr>
      <w:t>4</w:t>
    </w:r>
    <w:r>
      <w:rPr>
        <w:rFonts w:ascii="Cambria Bold" w:eastAsia="Cambria Bold" w:hAnsi="Cambria Bold" w:cs="Cambria Bold"/>
        <w:b/>
        <w:bCs/>
        <w:sz w:val="18"/>
        <w:szCs w:val="18"/>
      </w:rPr>
      <w:fldChar w:fldCharType="end"/>
    </w:r>
    <w:r>
      <w:rPr>
        <w:rFonts w:ascii="Cambria Bold" w:eastAsia="Cambria Bold" w:hAnsi="Cambria Bold" w:cs="Cambria Bold"/>
        <w:b/>
        <w:bCs/>
        <w:sz w:val="18"/>
        <w:szCs w:val="18"/>
      </w:rPr>
      <w:t xml:space="preserve"> of </w:t>
    </w:r>
    <w:r>
      <w:rPr>
        <w:rFonts w:ascii="Cambria Bold" w:eastAsia="Cambria Bold" w:hAnsi="Cambria Bold" w:cs="Cambria Bold"/>
        <w:b/>
        <w:bCs/>
        <w:sz w:val="18"/>
        <w:szCs w:val="18"/>
      </w:rPr>
      <w:fldChar w:fldCharType="begin"/>
    </w:r>
    <w:r>
      <w:rPr>
        <w:rFonts w:ascii="Cambria Bold" w:eastAsia="Cambria Bold" w:hAnsi="Cambria Bold" w:cs="Cambria Bold"/>
        <w:b/>
        <w:bCs/>
        <w:sz w:val="18"/>
        <w:szCs w:val="18"/>
      </w:rPr>
      <w:instrText xml:space="preserve"> PAGE </w:instrText>
    </w:r>
    <w:r>
      <w:rPr>
        <w:rFonts w:ascii="Cambria Bold" w:eastAsia="Cambria Bold" w:hAnsi="Cambria Bold" w:cs="Cambria Bold"/>
        <w:b/>
        <w:bCs/>
        <w:sz w:val="18"/>
        <w:szCs w:val="18"/>
      </w:rPr>
      <w:fldChar w:fldCharType="separate"/>
    </w:r>
    <w:r w:rsidR="00933F07">
      <w:rPr>
        <w:rFonts w:ascii="Cambria Bold" w:eastAsia="Cambria Bold" w:hAnsi="Cambria Bold" w:cs="Cambria Bold"/>
        <w:b/>
        <w:bCs/>
        <w:noProof/>
        <w:sz w:val="18"/>
        <w:szCs w:val="18"/>
      </w:rPr>
      <w:t>4</w:t>
    </w:r>
    <w:r>
      <w:rPr>
        <w:rFonts w:ascii="Cambria Bold" w:eastAsia="Cambria Bold" w:hAnsi="Cambria Bold" w:cs="Cambria Bold"/>
        <w:b/>
        <w:bCs/>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DEF" w:rsidRDefault="00DC12B4">
    <w:pPr>
      <w:pStyle w:val="HeaderFooter"/>
      <w:tabs>
        <w:tab w:val="clear" w:pos="9632"/>
        <w:tab w:val="right" w:pos="9612"/>
      </w:tabs>
      <w:jc w:val="center"/>
    </w:pPr>
    <w:r>
      <w:rPr>
        <w:rFonts w:ascii="Cambria Bold" w:eastAsia="Cambria Bold" w:hAnsi="Cambria Bold" w:cs="Cambria Bold"/>
        <w:b/>
        <w:bCs/>
        <w:sz w:val="18"/>
        <w:szCs w:val="18"/>
      </w:rPr>
      <w:t xml:space="preserve">Page </w:t>
    </w:r>
    <w:r>
      <w:rPr>
        <w:rFonts w:ascii="Cambria Bold" w:eastAsia="Cambria Bold" w:hAnsi="Cambria Bold" w:cs="Cambria Bold"/>
        <w:b/>
        <w:bCs/>
        <w:sz w:val="18"/>
        <w:szCs w:val="18"/>
      </w:rPr>
      <w:fldChar w:fldCharType="begin"/>
    </w:r>
    <w:r>
      <w:rPr>
        <w:rFonts w:ascii="Cambria Bold" w:eastAsia="Cambria Bold" w:hAnsi="Cambria Bold" w:cs="Cambria Bold"/>
        <w:b/>
        <w:bCs/>
        <w:sz w:val="18"/>
        <w:szCs w:val="18"/>
      </w:rPr>
      <w:instrText xml:space="preserve"> PAGE </w:instrText>
    </w:r>
    <w:r>
      <w:rPr>
        <w:rFonts w:ascii="Cambria Bold" w:eastAsia="Cambria Bold" w:hAnsi="Cambria Bold" w:cs="Cambria Bold"/>
        <w:b/>
        <w:bCs/>
        <w:sz w:val="18"/>
        <w:szCs w:val="18"/>
      </w:rPr>
      <w:fldChar w:fldCharType="separate"/>
    </w:r>
    <w:r w:rsidR="00933F07">
      <w:rPr>
        <w:rFonts w:ascii="Cambria Bold" w:eastAsia="Cambria Bold" w:hAnsi="Cambria Bold" w:cs="Cambria Bold"/>
        <w:b/>
        <w:bCs/>
        <w:noProof/>
        <w:sz w:val="18"/>
        <w:szCs w:val="18"/>
      </w:rPr>
      <w:t>3</w:t>
    </w:r>
    <w:r>
      <w:rPr>
        <w:rFonts w:ascii="Cambria Bold" w:eastAsia="Cambria Bold" w:hAnsi="Cambria Bold" w:cs="Cambria Bold"/>
        <w:b/>
        <w:bCs/>
        <w:sz w:val="18"/>
        <w:szCs w:val="18"/>
      </w:rPr>
      <w:fldChar w:fldCharType="end"/>
    </w:r>
    <w:r>
      <w:rPr>
        <w:rFonts w:ascii="Cambria Bold" w:eastAsia="Cambria Bold" w:hAnsi="Cambria Bold" w:cs="Cambria Bold"/>
        <w:b/>
        <w:bCs/>
        <w:sz w:val="18"/>
        <w:szCs w:val="18"/>
      </w:rPr>
      <w:t xml:space="preserve"> of </w:t>
    </w:r>
    <w:r>
      <w:rPr>
        <w:rFonts w:ascii="Cambria Bold" w:eastAsia="Cambria Bold" w:hAnsi="Cambria Bold" w:cs="Cambria Bold"/>
        <w:b/>
        <w:bCs/>
        <w:sz w:val="18"/>
        <w:szCs w:val="18"/>
      </w:rPr>
      <w:fldChar w:fldCharType="begin"/>
    </w:r>
    <w:r>
      <w:rPr>
        <w:rFonts w:ascii="Cambria Bold" w:eastAsia="Cambria Bold" w:hAnsi="Cambria Bold" w:cs="Cambria Bold"/>
        <w:b/>
        <w:bCs/>
        <w:sz w:val="18"/>
        <w:szCs w:val="18"/>
      </w:rPr>
      <w:instrText xml:space="preserve"> PAGE </w:instrText>
    </w:r>
    <w:r>
      <w:rPr>
        <w:rFonts w:ascii="Cambria Bold" w:eastAsia="Cambria Bold" w:hAnsi="Cambria Bold" w:cs="Cambria Bold"/>
        <w:b/>
        <w:bCs/>
        <w:sz w:val="18"/>
        <w:szCs w:val="18"/>
      </w:rPr>
      <w:fldChar w:fldCharType="separate"/>
    </w:r>
    <w:r w:rsidR="00933F07">
      <w:rPr>
        <w:rFonts w:ascii="Cambria Bold" w:eastAsia="Cambria Bold" w:hAnsi="Cambria Bold" w:cs="Cambria Bold"/>
        <w:b/>
        <w:bCs/>
        <w:noProof/>
        <w:sz w:val="18"/>
        <w:szCs w:val="18"/>
      </w:rPr>
      <w:t>3</w:t>
    </w:r>
    <w:r>
      <w:rPr>
        <w:rFonts w:ascii="Cambria Bold" w:eastAsia="Cambria Bold" w:hAnsi="Cambria Bold" w:cs="Cambria Bold"/>
        <w:b/>
        <w:bCs/>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DEF" w:rsidRDefault="00DC12B4">
    <w:pPr>
      <w:pStyle w:val="HeaderFooter"/>
      <w:tabs>
        <w:tab w:val="clear" w:pos="9632"/>
        <w:tab w:val="right" w:pos="9612"/>
      </w:tabs>
      <w:jc w:val="center"/>
    </w:pPr>
    <w:r>
      <w:rPr>
        <w:rFonts w:ascii="Cambria Bold" w:eastAsia="Cambria Bold" w:hAnsi="Cambria Bold" w:cs="Cambria Bold"/>
        <w:b/>
        <w:bCs/>
        <w:sz w:val="18"/>
        <w:szCs w:val="18"/>
      </w:rPr>
      <w:t xml:space="preserve">Page </w:t>
    </w:r>
    <w:r>
      <w:rPr>
        <w:rFonts w:ascii="Cambria Bold" w:eastAsia="Cambria Bold" w:hAnsi="Cambria Bold" w:cs="Cambria Bold"/>
        <w:b/>
        <w:bCs/>
        <w:sz w:val="18"/>
        <w:szCs w:val="18"/>
      </w:rPr>
      <w:fldChar w:fldCharType="begin"/>
    </w:r>
    <w:r>
      <w:rPr>
        <w:rFonts w:ascii="Cambria Bold" w:eastAsia="Cambria Bold" w:hAnsi="Cambria Bold" w:cs="Cambria Bold"/>
        <w:b/>
        <w:bCs/>
        <w:sz w:val="18"/>
        <w:szCs w:val="18"/>
      </w:rPr>
      <w:instrText xml:space="preserve"> PAGE </w:instrText>
    </w:r>
    <w:r>
      <w:rPr>
        <w:rFonts w:ascii="Cambria Bold" w:eastAsia="Cambria Bold" w:hAnsi="Cambria Bold" w:cs="Cambria Bold"/>
        <w:b/>
        <w:bCs/>
        <w:sz w:val="18"/>
        <w:szCs w:val="18"/>
      </w:rPr>
      <w:fldChar w:fldCharType="separate"/>
    </w:r>
    <w:r w:rsidR="00933F07">
      <w:rPr>
        <w:rFonts w:ascii="Cambria Bold" w:eastAsia="Cambria Bold" w:hAnsi="Cambria Bold" w:cs="Cambria Bold"/>
        <w:b/>
        <w:bCs/>
        <w:noProof/>
        <w:sz w:val="18"/>
        <w:szCs w:val="18"/>
      </w:rPr>
      <w:t>1</w:t>
    </w:r>
    <w:r>
      <w:rPr>
        <w:rFonts w:ascii="Cambria Bold" w:eastAsia="Cambria Bold" w:hAnsi="Cambria Bold" w:cs="Cambria Bold"/>
        <w:b/>
        <w:bCs/>
        <w:sz w:val="18"/>
        <w:szCs w:val="18"/>
      </w:rPr>
      <w:fldChar w:fldCharType="end"/>
    </w:r>
    <w:r>
      <w:rPr>
        <w:rFonts w:ascii="Cambria Bold" w:eastAsia="Cambria Bold" w:hAnsi="Cambria Bold" w:cs="Cambria Bold"/>
        <w:b/>
        <w:bCs/>
        <w:sz w:val="18"/>
        <w:szCs w:val="18"/>
      </w:rPr>
      <w:t xml:space="preserve"> of </w:t>
    </w:r>
    <w:r>
      <w:rPr>
        <w:rFonts w:ascii="Cambria Bold" w:eastAsia="Cambria Bold" w:hAnsi="Cambria Bold" w:cs="Cambria Bold"/>
        <w:b/>
        <w:bCs/>
        <w:sz w:val="18"/>
        <w:szCs w:val="18"/>
      </w:rPr>
      <w:fldChar w:fldCharType="begin"/>
    </w:r>
    <w:r>
      <w:rPr>
        <w:rFonts w:ascii="Cambria Bold" w:eastAsia="Cambria Bold" w:hAnsi="Cambria Bold" w:cs="Cambria Bold"/>
        <w:b/>
        <w:bCs/>
        <w:sz w:val="18"/>
        <w:szCs w:val="18"/>
      </w:rPr>
      <w:instrText xml:space="preserve"> NUMPAGES </w:instrText>
    </w:r>
    <w:r>
      <w:rPr>
        <w:rFonts w:ascii="Cambria Bold" w:eastAsia="Cambria Bold" w:hAnsi="Cambria Bold" w:cs="Cambria Bold"/>
        <w:b/>
        <w:bCs/>
        <w:sz w:val="18"/>
        <w:szCs w:val="18"/>
      </w:rPr>
      <w:fldChar w:fldCharType="separate"/>
    </w:r>
    <w:r w:rsidR="00933F07">
      <w:rPr>
        <w:rFonts w:ascii="Cambria Bold" w:eastAsia="Cambria Bold" w:hAnsi="Cambria Bold" w:cs="Cambria Bold"/>
        <w:b/>
        <w:bCs/>
        <w:noProof/>
        <w:sz w:val="18"/>
        <w:szCs w:val="18"/>
      </w:rPr>
      <w:t>1</w:t>
    </w:r>
    <w:r>
      <w:rPr>
        <w:rFonts w:ascii="Cambria Bold" w:eastAsia="Cambria Bold" w:hAnsi="Cambria Bold" w:cs="Cambria Bold"/>
        <w:b/>
        <w:bCs/>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6087" w:rsidRDefault="00DC12B4">
      <w:r>
        <w:separator/>
      </w:r>
    </w:p>
  </w:footnote>
  <w:footnote w:type="continuationSeparator" w:id="0">
    <w:p w:rsidR="00A06087" w:rsidRDefault="00DC12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DEF" w:rsidRDefault="003E4DEF">
    <w:pPr>
      <w:pStyle w:val="HeaderFoo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DEF" w:rsidRDefault="003E4DEF">
    <w:pPr>
      <w:pStyle w:val="HeaderFoo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4DEF" w:rsidRDefault="003E4DEF">
    <w:pPr>
      <w:pStyle w:val="HeaderFooter"/>
      <w:tabs>
        <w:tab w:val="clear" w:pos="9632"/>
        <w:tab w:val="right" w:pos="961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47110"/>
    <w:multiLevelType w:val="multilevel"/>
    <w:tmpl w:val="7194CE8E"/>
    <w:styleLink w:val="List1"/>
    <w:lvl w:ilvl="0">
      <w:start w:val="1"/>
      <w:numFmt w:val="lowerRoman"/>
      <w:lvlText w:val="%1."/>
      <w:lvlJc w:val="left"/>
      <w:pPr>
        <w:tabs>
          <w:tab w:val="num" w:pos="720"/>
        </w:tabs>
        <w:ind w:left="720" w:hanging="447"/>
      </w:pPr>
      <w:rPr>
        <w:position w:val="0"/>
        <w:sz w:val="20"/>
        <w:szCs w:val="20"/>
        <w:rtl w:val="0"/>
        <w:lang w:val="en-US"/>
      </w:rPr>
    </w:lvl>
    <w:lvl w:ilvl="1">
      <w:start w:val="1"/>
      <w:numFmt w:val="lowerLetter"/>
      <w:lvlText w:val="%2."/>
      <w:lvlJc w:val="left"/>
      <w:pPr>
        <w:tabs>
          <w:tab w:val="num" w:pos="1380"/>
        </w:tabs>
        <w:ind w:left="1380" w:hanging="300"/>
      </w:pPr>
      <w:rPr>
        <w:position w:val="0"/>
        <w:sz w:val="20"/>
        <w:szCs w:val="20"/>
        <w:rtl w:val="0"/>
        <w:lang w:val="en-US"/>
      </w:rPr>
    </w:lvl>
    <w:lvl w:ilvl="2">
      <w:start w:val="1"/>
      <w:numFmt w:val="lowerRoman"/>
      <w:lvlText w:val="%3."/>
      <w:lvlJc w:val="left"/>
      <w:pPr>
        <w:tabs>
          <w:tab w:val="num" w:pos="2111"/>
        </w:tabs>
        <w:ind w:left="2111" w:hanging="247"/>
      </w:pPr>
      <w:rPr>
        <w:position w:val="0"/>
        <w:sz w:val="20"/>
        <w:szCs w:val="20"/>
        <w:rtl w:val="0"/>
        <w:lang w:val="en-US"/>
      </w:rPr>
    </w:lvl>
    <w:lvl w:ilvl="3">
      <w:start w:val="1"/>
      <w:numFmt w:val="decimal"/>
      <w:lvlText w:val="%4."/>
      <w:lvlJc w:val="left"/>
      <w:pPr>
        <w:tabs>
          <w:tab w:val="num" w:pos="2820"/>
        </w:tabs>
        <w:ind w:left="2820" w:hanging="300"/>
      </w:pPr>
      <w:rPr>
        <w:position w:val="0"/>
        <w:sz w:val="20"/>
        <w:szCs w:val="20"/>
        <w:rtl w:val="0"/>
        <w:lang w:val="en-US"/>
      </w:rPr>
    </w:lvl>
    <w:lvl w:ilvl="4">
      <w:start w:val="1"/>
      <w:numFmt w:val="lowerLetter"/>
      <w:lvlText w:val="%5."/>
      <w:lvlJc w:val="left"/>
      <w:pPr>
        <w:tabs>
          <w:tab w:val="num" w:pos="3540"/>
        </w:tabs>
        <w:ind w:left="3540" w:hanging="300"/>
      </w:pPr>
      <w:rPr>
        <w:position w:val="0"/>
        <w:sz w:val="20"/>
        <w:szCs w:val="20"/>
        <w:rtl w:val="0"/>
        <w:lang w:val="en-US"/>
      </w:rPr>
    </w:lvl>
    <w:lvl w:ilvl="5">
      <w:start w:val="1"/>
      <w:numFmt w:val="lowerRoman"/>
      <w:lvlText w:val="%6."/>
      <w:lvlJc w:val="left"/>
      <w:pPr>
        <w:tabs>
          <w:tab w:val="num" w:pos="4271"/>
        </w:tabs>
        <w:ind w:left="4271" w:hanging="247"/>
      </w:pPr>
      <w:rPr>
        <w:position w:val="0"/>
        <w:sz w:val="20"/>
        <w:szCs w:val="20"/>
        <w:rtl w:val="0"/>
        <w:lang w:val="en-US"/>
      </w:rPr>
    </w:lvl>
    <w:lvl w:ilvl="6">
      <w:start w:val="1"/>
      <w:numFmt w:val="decimal"/>
      <w:lvlText w:val="%7."/>
      <w:lvlJc w:val="left"/>
      <w:pPr>
        <w:tabs>
          <w:tab w:val="num" w:pos="4980"/>
        </w:tabs>
        <w:ind w:left="4980" w:hanging="300"/>
      </w:pPr>
      <w:rPr>
        <w:position w:val="0"/>
        <w:sz w:val="20"/>
        <w:szCs w:val="20"/>
        <w:rtl w:val="0"/>
        <w:lang w:val="en-US"/>
      </w:rPr>
    </w:lvl>
    <w:lvl w:ilvl="7">
      <w:start w:val="1"/>
      <w:numFmt w:val="lowerLetter"/>
      <w:lvlText w:val="%8."/>
      <w:lvlJc w:val="left"/>
      <w:pPr>
        <w:tabs>
          <w:tab w:val="num" w:pos="5700"/>
        </w:tabs>
        <w:ind w:left="5700" w:hanging="300"/>
      </w:pPr>
      <w:rPr>
        <w:position w:val="0"/>
        <w:sz w:val="20"/>
        <w:szCs w:val="20"/>
        <w:rtl w:val="0"/>
        <w:lang w:val="en-US"/>
      </w:rPr>
    </w:lvl>
    <w:lvl w:ilvl="8">
      <w:start w:val="1"/>
      <w:numFmt w:val="lowerRoman"/>
      <w:lvlText w:val="%9."/>
      <w:lvlJc w:val="left"/>
      <w:pPr>
        <w:tabs>
          <w:tab w:val="num" w:pos="6431"/>
        </w:tabs>
        <w:ind w:left="6431" w:hanging="247"/>
      </w:pPr>
      <w:rPr>
        <w:position w:val="0"/>
        <w:sz w:val="20"/>
        <w:szCs w:val="20"/>
        <w:rtl w:val="0"/>
        <w:lang w:val="en-US"/>
      </w:rPr>
    </w:lvl>
  </w:abstractNum>
  <w:abstractNum w:abstractNumId="1">
    <w:nsid w:val="06A10A4B"/>
    <w:multiLevelType w:val="multilevel"/>
    <w:tmpl w:val="4232D642"/>
    <w:lvl w:ilvl="0">
      <w:start w:val="1"/>
      <w:numFmt w:val="decimal"/>
      <w:lvlText w:val="%1."/>
      <w:lvlJc w:val="left"/>
      <w:pPr>
        <w:tabs>
          <w:tab w:val="num" w:pos="720"/>
        </w:tabs>
        <w:ind w:left="720" w:hanging="360"/>
      </w:pPr>
      <w:rPr>
        <w:position w:val="0"/>
        <w:sz w:val="20"/>
        <w:szCs w:val="20"/>
        <w:rtl w:val="0"/>
        <w:lang w:val="en-US"/>
      </w:rPr>
    </w:lvl>
    <w:lvl w:ilvl="1">
      <w:start w:val="1"/>
      <w:numFmt w:val="lowerLetter"/>
      <w:lvlText w:val="%2."/>
      <w:lvlJc w:val="left"/>
      <w:pPr>
        <w:tabs>
          <w:tab w:val="num" w:pos="1380"/>
        </w:tabs>
        <w:ind w:left="1380" w:hanging="300"/>
      </w:pPr>
      <w:rPr>
        <w:position w:val="0"/>
        <w:sz w:val="20"/>
        <w:szCs w:val="20"/>
        <w:rtl w:val="0"/>
        <w:lang w:val="en-US"/>
      </w:rPr>
    </w:lvl>
    <w:lvl w:ilvl="2">
      <w:start w:val="1"/>
      <w:numFmt w:val="lowerRoman"/>
      <w:lvlText w:val="%3."/>
      <w:lvlJc w:val="left"/>
      <w:pPr>
        <w:tabs>
          <w:tab w:val="num" w:pos="2111"/>
        </w:tabs>
        <w:ind w:left="2111" w:hanging="247"/>
      </w:pPr>
      <w:rPr>
        <w:position w:val="0"/>
        <w:sz w:val="20"/>
        <w:szCs w:val="20"/>
        <w:rtl w:val="0"/>
        <w:lang w:val="en-US"/>
      </w:rPr>
    </w:lvl>
    <w:lvl w:ilvl="3">
      <w:start w:val="1"/>
      <w:numFmt w:val="decimal"/>
      <w:lvlText w:val="%4."/>
      <w:lvlJc w:val="left"/>
      <w:pPr>
        <w:tabs>
          <w:tab w:val="num" w:pos="2820"/>
        </w:tabs>
        <w:ind w:left="2820" w:hanging="300"/>
      </w:pPr>
      <w:rPr>
        <w:position w:val="0"/>
        <w:sz w:val="20"/>
        <w:szCs w:val="20"/>
        <w:rtl w:val="0"/>
        <w:lang w:val="en-US"/>
      </w:rPr>
    </w:lvl>
    <w:lvl w:ilvl="4">
      <w:start w:val="1"/>
      <w:numFmt w:val="lowerLetter"/>
      <w:lvlText w:val="%5."/>
      <w:lvlJc w:val="left"/>
      <w:pPr>
        <w:tabs>
          <w:tab w:val="num" w:pos="3540"/>
        </w:tabs>
        <w:ind w:left="3540" w:hanging="300"/>
      </w:pPr>
      <w:rPr>
        <w:position w:val="0"/>
        <w:sz w:val="20"/>
        <w:szCs w:val="20"/>
        <w:rtl w:val="0"/>
        <w:lang w:val="en-US"/>
      </w:rPr>
    </w:lvl>
    <w:lvl w:ilvl="5">
      <w:start w:val="1"/>
      <w:numFmt w:val="lowerRoman"/>
      <w:lvlText w:val="%6."/>
      <w:lvlJc w:val="left"/>
      <w:pPr>
        <w:tabs>
          <w:tab w:val="num" w:pos="4271"/>
        </w:tabs>
        <w:ind w:left="4271" w:hanging="247"/>
      </w:pPr>
      <w:rPr>
        <w:position w:val="0"/>
        <w:sz w:val="20"/>
        <w:szCs w:val="20"/>
        <w:rtl w:val="0"/>
        <w:lang w:val="en-US"/>
      </w:rPr>
    </w:lvl>
    <w:lvl w:ilvl="6">
      <w:start w:val="1"/>
      <w:numFmt w:val="decimal"/>
      <w:lvlText w:val="%7."/>
      <w:lvlJc w:val="left"/>
      <w:pPr>
        <w:tabs>
          <w:tab w:val="num" w:pos="4980"/>
        </w:tabs>
        <w:ind w:left="4980" w:hanging="300"/>
      </w:pPr>
      <w:rPr>
        <w:position w:val="0"/>
        <w:sz w:val="20"/>
        <w:szCs w:val="20"/>
        <w:rtl w:val="0"/>
        <w:lang w:val="en-US"/>
      </w:rPr>
    </w:lvl>
    <w:lvl w:ilvl="7">
      <w:start w:val="1"/>
      <w:numFmt w:val="lowerLetter"/>
      <w:lvlText w:val="%8."/>
      <w:lvlJc w:val="left"/>
      <w:pPr>
        <w:tabs>
          <w:tab w:val="num" w:pos="5700"/>
        </w:tabs>
        <w:ind w:left="5700" w:hanging="300"/>
      </w:pPr>
      <w:rPr>
        <w:position w:val="0"/>
        <w:sz w:val="20"/>
        <w:szCs w:val="20"/>
        <w:rtl w:val="0"/>
        <w:lang w:val="en-US"/>
      </w:rPr>
    </w:lvl>
    <w:lvl w:ilvl="8">
      <w:start w:val="1"/>
      <w:numFmt w:val="lowerRoman"/>
      <w:lvlText w:val="%9."/>
      <w:lvlJc w:val="left"/>
      <w:pPr>
        <w:tabs>
          <w:tab w:val="num" w:pos="6431"/>
        </w:tabs>
        <w:ind w:left="6431" w:hanging="247"/>
      </w:pPr>
      <w:rPr>
        <w:position w:val="0"/>
        <w:sz w:val="20"/>
        <w:szCs w:val="20"/>
        <w:rtl w:val="0"/>
        <w:lang w:val="en-US"/>
      </w:rPr>
    </w:lvl>
  </w:abstractNum>
  <w:abstractNum w:abstractNumId="2">
    <w:nsid w:val="13903637"/>
    <w:multiLevelType w:val="multilevel"/>
    <w:tmpl w:val="13CCCBD6"/>
    <w:lvl w:ilvl="0">
      <w:start w:val="1"/>
      <w:numFmt w:val="lowerRoman"/>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3">
    <w:nsid w:val="1AC64C67"/>
    <w:multiLevelType w:val="multilevel"/>
    <w:tmpl w:val="86A4AAC6"/>
    <w:styleLink w:val="List21"/>
    <w:lvl w:ilvl="0">
      <w:start w:val="1"/>
      <w:numFmt w:val="lowerRoman"/>
      <w:lvlText w:val="%1."/>
      <w:lvlJc w:val="left"/>
      <w:pPr>
        <w:tabs>
          <w:tab w:val="num" w:pos="720"/>
        </w:tabs>
        <w:ind w:left="720" w:hanging="451"/>
      </w:pPr>
      <w:rPr>
        <w:position w:val="0"/>
        <w:sz w:val="20"/>
        <w:szCs w:val="20"/>
        <w:lang w:val="en-US"/>
      </w:rPr>
    </w:lvl>
    <w:lvl w:ilvl="1">
      <w:start w:val="1"/>
      <w:numFmt w:val="lowerLetter"/>
      <w:lvlText w:val="%2."/>
      <w:lvlJc w:val="left"/>
      <w:pPr>
        <w:tabs>
          <w:tab w:val="num" w:pos="1380"/>
        </w:tabs>
        <w:ind w:left="1380" w:hanging="300"/>
      </w:pPr>
      <w:rPr>
        <w:position w:val="0"/>
        <w:sz w:val="20"/>
        <w:szCs w:val="20"/>
        <w:lang w:val="en-US"/>
      </w:rPr>
    </w:lvl>
    <w:lvl w:ilvl="2">
      <w:start w:val="1"/>
      <w:numFmt w:val="lowerRoman"/>
      <w:lvlText w:val="%3."/>
      <w:lvlJc w:val="left"/>
      <w:pPr>
        <w:tabs>
          <w:tab w:val="num" w:pos="2111"/>
        </w:tabs>
        <w:ind w:left="2111" w:hanging="247"/>
      </w:pPr>
      <w:rPr>
        <w:position w:val="0"/>
        <w:sz w:val="20"/>
        <w:szCs w:val="20"/>
        <w:lang w:val="en-US"/>
      </w:rPr>
    </w:lvl>
    <w:lvl w:ilvl="3">
      <w:start w:val="1"/>
      <w:numFmt w:val="decimal"/>
      <w:lvlText w:val="%4."/>
      <w:lvlJc w:val="left"/>
      <w:pPr>
        <w:tabs>
          <w:tab w:val="num" w:pos="2820"/>
        </w:tabs>
        <w:ind w:left="2820" w:hanging="300"/>
      </w:pPr>
      <w:rPr>
        <w:position w:val="0"/>
        <w:sz w:val="20"/>
        <w:szCs w:val="20"/>
        <w:lang w:val="en-US"/>
      </w:rPr>
    </w:lvl>
    <w:lvl w:ilvl="4">
      <w:start w:val="1"/>
      <w:numFmt w:val="lowerLetter"/>
      <w:lvlText w:val="%5."/>
      <w:lvlJc w:val="left"/>
      <w:pPr>
        <w:tabs>
          <w:tab w:val="num" w:pos="3540"/>
        </w:tabs>
        <w:ind w:left="3540" w:hanging="300"/>
      </w:pPr>
      <w:rPr>
        <w:position w:val="0"/>
        <w:sz w:val="20"/>
        <w:szCs w:val="20"/>
        <w:lang w:val="en-US"/>
      </w:rPr>
    </w:lvl>
    <w:lvl w:ilvl="5">
      <w:start w:val="1"/>
      <w:numFmt w:val="lowerRoman"/>
      <w:lvlText w:val="%6."/>
      <w:lvlJc w:val="left"/>
      <w:pPr>
        <w:tabs>
          <w:tab w:val="num" w:pos="4271"/>
        </w:tabs>
        <w:ind w:left="4271" w:hanging="247"/>
      </w:pPr>
      <w:rPr>
        <w:position w:val="0"/>
        <w:sz w:val="20"/>
        <w:szCs w:val="20"/>
        <w:lang w:val="en-US"/>
      </w:rPr>
    </w:lvl>
    <w:lvl w:ilvl="6">
      <w:start w:val="1"/>
      <w:numFmt w:val="decimal"/>
      <w:lvlText w:val="%7."/>
      <w:lvlJc w:val="left"/>
      <w:pPr>
        <w:tabs>
          <w:tab w:val="num" w:pos="4980"/>
        </w:tabs>
        <w:ind w:left="4980" w:hanging="300"/>
      </w:pPr>
      <w:rPr>
        <w:position w:val="0"/>
        <w:sz w:val="20"/>
        <w:szCs w:val="20"/>
        <w:lang w:val="en-US"/>
      </w:rPr>
    </w:lvl>
    <w:lvl w:ilvl="7">
      <w:start w:val="1"/>
      <w:numFmt w:val="lowerLetter"/>
      <w:lvlText w:val="%8."/>
      <w:lvlJc w:val="left"/>
      <w:pPr>
        <w:tabs>
          <w:tab w:val="num" w:pos="5700"/>
        </w:tabs>
        <w:ind w:left="5700" w:hanging="300"/>
      </w:pPr>
      <w:rPr>
        <w:position w:val="0"/>
        <w:sz w:val="20"/>
        <w:szCs w:val="20"/>
        <w:lang w:val="en-US"/>
      </w:rPr>
    </w:lvl>
    <w:lvl w:ilvl="8">
      <w:start w:val="1"/>
      <w:numFmt w:val="lowerRoman"/>
      <w:lvlText w:val="%9."/>
      <w:lvlJc w:val="left"/>
      <w:pPr>
        <w:tabs>
          <w:tab w:val="num" w:pos="6431"/>
        </w:tabs>
        <w:ind w:left="6431" w:hanging="247"/>
      </w:pPr>
      <w:rPr>
        <w:position w:val="0"/>
        <w:sz w:val="20"/>
        <w:szCs w:val="20"/>
        <w:lang w:val="en-US"/>
      </w:rPr>
    </w:lvl>
  </w:abstractNum>
  <w:abstractNum w:abstractNumId="4">
    <w:nsid w:val="26624389"/>
    <w:multiLevelType w:val="multilevel"/>
    <w:tmpl w:val="557AC3F0"/>
    <w:styleLink w:val="List31"/>
    <w:lvl w:ilvl="0">
      <w:start w:val="1"/>
      <w:numFmt w:val="lowerRoman"/>
      <w:lvlText w:val="%1."/>
      <w:lvlJc w:val="left"/>
      <w:pPr>
        <w:tabs>
          <w:tab w:val="num" w:pos="720"/>
        </w:tabs>
        <w:ind w:left="720" w:hanging="447"/>
      </w:pPr>
      <w:rPr>
        <w:position w:val="0"/>
        <w:sz w:val="20"/>
        <w:szCs w:val="20"/>
        <w:rtl w:val="0"/>
        <w:lang w:val="en-US"/>
      </w:rPr>
    </w:lvl>
    <w:lvl w:ilvl="1">
      <w:start w:val="1"/>
      <w:numFmt w:val="lowerLetter"/>
      <w:lvlText w:val="%2."/>
      <w:lvlJc w:val="left"/>
      <w:pPr>
        <w:tabs>
          <w:tab w:val="num" w:pos="1380"/>
        </w:tabs>
        <w:ind w:left="1380" w:hanging="300"/>
      </w:pPr>
      <w:rPr>
        <w:position w:val="0"/>
        <w:sz w:val="20"/>
        <w:szCs w:val="20"/>
        <w:rtl w:val="0"/>
        <w:lang w:val="en-US"/>
      </w:rPr>
    </w:lvl>
    <w:lvl w:ilvl="2">
      <w:start w:val="1"/>
      <w:numFmt w:val="lowerRoman"/>
      <w:lvlText w:val="%3."/>
      <w:lvlJc w:val="left"/>
      <w:pPr>
        <w:tabs>
          <w:tab w:val="num" w:pos="2111"/>
        </w:tabs>
        <w:ind w:left="2111" w:hanging="247"/>
      </w:pPr>
      <w:rPr>
        <w:position w:val="0"/>
        <w:sz w:val="20"/>
        <w:szCs w:val="20"/>
        <w:rtl w:val="0"/>
        <w:lang w:val="en-US"/>
      </w:rPr>
    </w:lvl>
    <w:lvl w:ilvl="3">
      <w:start w:val="1"/>
      <w:numFmt w:val="decimal"/>
      <w:lvlText w:val="%4."/>
      <w:lvlJc w:val="left"/>
      <w:pPr>
        <w:tabs>
          <w:tab w:val="num" w:pos="2820"/>
        </w:tabs>
        <w:ind w:left="2820" w:hanging="300"/>
      </w:pPr>
      <w:rPr>
        <w:position w:val="0"/>
        <w:sz w:val="20"/>
        <w:szCs w:val="20"/>
        <w:rtl w:val="0"/>
        <w:lang w:val="en-US"/>
      </w:rPr>
    </w:lvl>
    <w:lvl w:ilvl="4">
      <w:start w:val="1"/>
      <w:numFmt w:val="lowerLetter"/>
      <w:lvlText w:val="%5."/>
      <w:lvlJc w:val="left"/>
      <w:pPr>
        <w:tabs>
          <w:tab w:val="num" w:pos="3540"/>
        </w:tabs>
        <w:ind w:left="3540" w:hanging="300"/>
      </w:pPr>
      <w:rPr>
        <w:position w:val="0"/>
        <w:sz w:val="20"/>
        <w:szCs w:val="20"/>
        <w:rtl w:val="0"/>
        <w:lang w:val="en-US"/>
      </w:rPr>
    </w:lvl>
    <w:lvl w:ilvl="5">
      <w:start w:val="1"/>
      <w:numFmt w:val="lowerRoman"/>
      <w:lvlText w:val="%6."/>
      <w:lvlJc w:val="left"/>
      <w:pPr>
        <w:tabs>
          <w:tab w:val="num" w:pos="4271"/>
        </w:tabs>
        <w:ind w:left="4271" w:hanging="247"/>
      </w:pPr>
      <w:rPr>
        <w:position w:val="0"/>
        <w:sz w:val="20"/>
        <w:szCs w:val="20"/>
        <w:rtl w:val="0"/>
        <w:lang w:val="en-US"/>
      </w:rPr>
    </w:lvl>
    <w:lvl w:ilvl="6">
      <w:start w:val="1"/>
      <w:numFmt w:val="decimal"/>
      <w:lvlText w:val="%7."/>
      <w:lvlJc w:val="left"/>
      <w:pPr>
        <w:tabs>
          <w:tab w:val="num" w:pos="4980"/>
        </w:tabs>
        <w:ind w:left="4980" w:hanging="300"/>
      </w:pPr>
      <w:rPr>
        <w:position w:val="0"/>
        <w:sz w:val="20"/>
        <w:szCs w:val="20"/>
        <w:rtl w:val="0"/>
        <w:lang w:val="en-US"/>
      </w:rPr>
    </w:lvl>
    <w:lvl w:ilvl="7">
      <w:start w:val="1"/>
      <w:numFmt w:val="lowerLetter"/>
      <w:lvlText w:val="%8."/>
      <w:lvlJc w:val="left"/>
      <w:pPr>
        <w:tabs>
          <w:tab w:val="num" w:pos="5700"/>
        </w:tabs>
        <w:ind w:left="5700" w:hanging="300"/>
      </w:pPr>
      <w:rPr>
        <w:position w:val="0"/>
        <w:sz w:val="20"/>
        <w:szCs w:val="20"/>
        <w:rtl w:val="0"/>
        <w:lang w:val="en-US"/>
      </w:rPr>
    </w:lvl>
    <w:lvl w:ilvl="8">
      <w:start w:val="1"/>
      <w:numFmt w:val="lowerRoman"/>
      <w:lvlText w:val="%9."/>
      <w:lvlJc w:val="left"/>
      <w:pPr>
        <w:tabs>
          <w:tab w:val="num" w:pos="6431"/>
        </w:tabs>
        <w:ind w:left="6431" w:hanging="247"/>
      </w:pPr>
      <w:rPr>
        <w:position w:val="0"/>
        <w:sz w:val="20"/>
        <w:szCs w:val="20"/>
        <w:rtl w:val="0"/>
        <w:lang w:val="en-US"/>
      </w:rPr>
    </w:lvl>
  </w:abstractNum>
  <w:abstractNum w:abstractNumId="5">
    <w:nsid w:val="2906043A"/>
    <w:multiLevelType w:val="multilevel"/>
    <w:tmpl w:val="A94C603C"/>
    <w:lvl w:ilvl="0">
      <w:start w:val="1"/>
      <w:numFmt w:val="lowerRoman"/>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6">
    <w:nsid w:val="2B6466FF"/>
    <w:multiLevelType w:val="multilevel"/>
    <w:tmpl w:val="1E061526"/>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7">
    <w:nsid w:val="327449FB"/>
    <w:multiLevelType w:val="multilevel"/>
    <w:tmpl w:val="BF00DAD4"/>
    <w:lvl w:ilvl="0">
      <w:start w:val="1"/>
      <w:numFmt w:val="lowerRoman"/>
      <w:lvlText w:val="%1."/>
      <w:lvlJc w:val="left"/>
      <w:pPr>
        <w:tabs>
          <w:tab w:val="num" w:pos="720"/>
        </w:tabs>
        <w:ind w:left="720" w:hanging="447"/>
      </w:pPr>
      <w:rPr>
        <w:position w:val="0"/>
        <w:sz w:val="20"/>
        <w:szCs w:val="20"/>
        <w:rtl w:val="0"/>
        <w:lang w:val="en-US"/>
      </w:rPr>
    </w:lvl>
    <w:lvl w:ilvl="1">
      <w:start w:val="1"/>
      <w:numFmt w:val="lowerLetter"/>
      <w:lvlText w:val="%2."/>
      <w:lvlJc w:val="left"/>
      <w:pPr>
        <w:tabs>
          <w:tab w:val="num" w:pos="1380"/>
        </w:tabs>
        <w:ind w:left="1380" w:hanging="300"/>
      </w:pPr>
      <w:rPr>
        <w:position w:val="0"/>
        <w:sz w:val="20"/>
        <w:szCs w:val="20"/>
        <w:rtl w:val="0"/>
        <w:lang w:val="en-US"/>
      </w:rPr>
    </w:lvl>
    <w:lvl w:ilvl="2">
      <w:start w:val="1"/>
      <w:numFmt w:val="lowerRoman"/>
      <w:lvlText w:val="%3."/>
      <w:lvlJc w:val="left"/>
      <w:pPr>
        <w:tabs>
          <w:tab w:val="num" w:pos="2111"/>
        </w:tabs>
        <w:ind w:left="2111" w:hanging="247"/>
      </w:pPr>
      <w:rPr>
        <w:position w:val="0"/>
        <w:sz w:val="20"/>
        <w:szCs w:val="20"/>
        <w:rtl w:val="0"/>
        <w:lang w:val="en-US"/>
      </w:rPr>
    </w:lvl>
    <w:lvl w:ilvl="3">
      <w:start w:val="1"/>
      <w:numFmt w:val="decimal"/>
      <w:lvlText w:val="%4."/>
      <w:lvlJc w:val="left"/>
      <w:pPr>
        <w:tabs>
          <w:tab w:val="num" w:pos="2820"/>
        </w:tabs>
        <w:ind w:left="2820" w:hanging="300"/>
      </w:pPr>
      <w:rPr>
        <w:position w:val="0"/>
        <w:sz w:val="20"/>
        <w:szCs w:val="20"/>
        <w:rtl w:val="0"/>
        <w:lang w:val="en-US"/>
      </w:rPr>
    </w:lvl>
    <w:lvl w:ilvl="4">
      <w:start w:val="1"/>
      <w:numFmt w:val="lowerLetter"/>
      <w:lvlText w:val="%5."/>
      <w:lvlJc w:val="left"/>
      <w:pPr>
        <w:tabs>
          <w:tab w:val="num" w:pos="3540"/>
        </w:tabs>
        <w:ind w:left="3540" w:hanging="300"/>
      </w:pPr>
      <w:rPr>
        <w:position w:val="0"/>
        <w:sz w:val="20"/>
        <w:szCs w:val="20"/>
        <w:rtl w:val="0"/>
        <w:lang w:val="en-US"/>
      </w:rPr>
    </w:lvl>
    <w:lvl w:ilvl="5">
      <w:start w:val="1"/>
      <w:numFmt w:val="lowerRoman"/>
      <w:lvlText w:val="%6."/>
      <w:lvlJc w:val="left"/>
      <w:pPr>
        <w:tabs>
          <w:tab w:val="num" w:pos="4271"/>
        </w:tabs>
        <w:ind w:left="4271" w:hanging="247"/>
      </w:pPr>
      <w:rPr>
        <w:position w:val="0"/>
        <w:sz w:val="20"/>
        <w:szCs w:val="20"/>
        <w:rtl w:val="0"/>
        <w:lang w:val="en-US"/>
      </w:rPr>
    </w:lvl>
    <w:lvl w:ilvl="6">
      <w:start w:val="1"/>
      <w:numFmt w:val="decimal"/>
      <w:lvlText w:val="%7."/>
      <w:lvlJc w:val="left"/>
      <w:pPr>
        <w:tabs>
          <w:tab w:val="num" w:pos="4980"/>
        </w:tabs>
        <w:ind w:left="4980" w:hanging="300"/>
      </w:pPr>
      <w:rPr>
        <w:position w:val="0"/>
        <w:sz w:val="20"/>
        <w:szCs w:val="20"/>
        <w:rtl w:val="0"/>
        <w:lang w:val="en-US"/>
      </w:rPr>
    </w:lvl>
    <w:lvl w:ilvl="7">
      <w:start w:val="1"/>
      <w:numFmt w:val="lowerLetter"/>
      <w:lvlText w:val="%8."/>
      <w:lvlJc w:val="left"/>
      <w:pPr>
        <w:tabs>
          <w:tab w:val="num" w:pos="5700"/>
        </w:tabs>
        <w:ind w:left="5700" w:hanging="300"/>
      </w:pPr>
      <w:rPr>
        <w:position w:val="0"/>
        <w:sz w:val="20"/>
        <w:szCs w:val="20"/>
        <w:rtl w:val="0"/>
        <w:lang w:val="en-US"/>
      </w:rPr>
    </w:lvl>
    <w:lvl w:ilvl="8">
      <w:start w:val="1"/>
      <w:numFmt w:val="lowerRoman"/>
      <w:lvlText w:val="%9."/>
      <w:lvlJc w:val="left"/>
      <w:pPr>
        <w:tabs>
          <w:tab w:val="num" w:pos="6431"/>
        </w:tabs>
        <w:ind w:left="6431" w:hanging="247"/>
      </w:pPr>
      <w:rPr>
        <w:position w:val="0"/>
        <w:sz w:val="20"/>
        <w:szCs w:val="20"/>
        <w:rtl w:val="0"/>
        <w:lang w:val="en-US"/>
      </w:rPr>
    </w:lvl>
  </w:abstractNum>
  <w:abstractNum w:abstractNumId="8">
    <w:nsid w:val="43D328C2"/>
    <w:multiLevelType w:val="multilevel"/>
    <w:tmpl w:val="8962DAC0"/>
    <w:lvl w:ilvl="0">
      <w:start w:val="1"/>
      <w:numFmt w:val="lowerRoman"/>
      <w:lvlText w:val="%1."/>
      <w:lvlJc w:val="left"/>
      <w:pPr>
        <w:tabs>
          <w:tab w:val="num" w:pos="720"/>
        </w:tabs>
        <w:ind w:left="720" w:hanging="447"/>
      </w:pPr>
      <w:rPr>
        <w:position w:val="0"/>
        <w:sz w:val="20"/>
        <w:szCs w:val="20"/>
        <w:rtl w:val="0"/>
        <w:lang w:val="en-US"/>
      </w:rPr>
    </w:lvl>
    <w:lvl w:ilvl="1">
      <w:start w:val="1"/>
      <w:numFmt w:val="lowerLetter"/>
      <w:lvlText w:val="%2."/>
      <w:lvlJc w:val="left"/>
      <w:pPr>
        <w:tabs>
          <w:tab w:val="num" w:pos="1380"/>
        </w:tabs>
        <w:ind w:left="1380" w:hanging="300"/>
      </w:pPr>
      <w:rPr>
        <w:position w:val="0"/>
        <w:sz w:val="20"/>
        <w:szCs w:val="20"/>
        <w:rtl w:val="0"/>
        <w:lang w:val="en-US"/>
      </w:rPr>
    </w:lvl>
    <w:lvl w:ilvl="2">
      <w:start w:val="1"/>
      <w:numFmt w:val="lowerRoman"/>
      <w:lvlText w:val="%3."/>
      <w:lvlJc w:val="left"/>
      <w:pPr>
        <w:tabs>
          <w:tab w:val="num" w:pos="2111"/>
        </w:tabs>
        <w:ind w:left="2111" w:hanging="247"/>
      </w:pPr>
      <w:rPr>
        <w:position w:val="0"/>
        <w:sz w:val="20"/>
        <w:szCs w:val="20"/>
        <w:rtl w:val="0"/>
        <w:lang w:val="en-US"/>
      </w:rPr>
    </w:lvl>
    <w:lvl w:ilvl="3">
      <w:start w:val="1"/>
      <w:numFmt w:val="decimal"/>
      <w:lvlText w:val="%4."/>
      <w:lvlJc w:val="left"/>
      <w:pPr>
        <w:tabs>
          <w:tab w:val="num" w:pos="2820"/>
        </w:tabs>
        <w:ind w:left="2820" w:hanging="300"/>
      </w:pPr>
      <w:rPr>
        <w:position w:val="0"/>
        <w:sz w:val="20"/>
        <w:szCs w:val="20"/>
        <w:rtl w:val="0"/>
        <w:lang w:val="en-US"/>
      </w:rPr>
    </w:lvl>
    <w:lvl w:ilvl="4">
      <w:start w:val="1"/>
      <w:numFmt w:val="lowerLetter"/>
      <w:lvlText w:val="%5."/>
      <w:lvlJc w:val="left"/>
      <w:pPr>
        <w:tabs>
          <w:tab w:val="num" w:pos="3540"/>
        </w:tabs>
        <w:ind w:left="3540" w:hanging="300"/>
      </w:pPr>
      <w:rPr>
        <w:position w:val="0"/>
        <w:sz w:val="20"/>
        <w:szCs w:val="20"/>
        <w:rtl w:val="0"/>
        <w:lang w:val="en-US"/>
      </w:rPr>
    </w:lvl>
    <w:lvl w:ilvl="5">
      <w:start w:val="1"/>
      <w:numFmt w:val="lowerRoman"/>
      <w:lvlText w:val="%6."/>
      <w:lvlJc w:val="left"/>
      <w:pPr>
        <w:tabs>
          <w:tab w:val="num" w:pos="4271"/>
        </w:tabs>
        <w:ind w:left="4271" w:hanging="247"/>
      </w:pPr>
      <w:rPr>
        <w:position w:val="0"/>
        <w:sz w:val="20"/>
        <w:szCs w:val="20"/>
        <w:rtl w:val="0"/>
        <w:lang w:val="en-US"/>
      </w:rPr>
    </w:lvl>
    <w:lvl w:ilvl="6">
      <w:start w:val="1"/>
      <w:numFmt w:val="decimal"/>
      <w:lvlText w:val="%7."/>
      <w:lvlJc w:val="left"/>
      <w:pPr>
        <w:tabs>
          <w:tab w:val="num" w:pos="4980"/>
        </w:tabs>
        <w:ind w:left="4980" w:hanging="300"/>
      </w:pPr>
      <w:rPr>
        <w:position w:val="0"/>
        <w:sz w:val="20"/>
        <w:szCs w:val="20"/>
        <w:rtl w:val="0"/>
        <w:lang w:val="en-US"/>
      </w:rPr>
    </w:lvl>
    <w:lvl w:ilvl="7">
      <w:start w:val="1"/>
      <w:numFmt w:val="lowerLetter"/>
      <w:lvlText w:val="%8."/>
      <w:lvlJc w:val="left"/>
      <w:pPr>
        <w:tabs>
          <w:tab w:val="num" w:pos="5700"/>
        </w:tabs>
        <w:ind w:left="5700" w:hanging="300"/>
      </w:pPr>
      <w:rPr>
        <w:position w:val="0"/>
        <w:sz w:val="20"/>
        <w:szCs w:val="20"/>
        <w:rtl w:val="0"/>
        <w:lang w:val="en-US"/>
      </w:rPr>
    </w:lvl>
    <w:lvl w:ilvl="8">
      <w:start w:val="1"/>
      <w:numFmt w:val="lowerRoman"/>
      <w:lvlText w:val="%9."/>
      <w:lvlJc w:val="left"/>
      <w:pPr>
        <w:tabs>
          <w:tab w:val="num" w:pos="6431"/>
        </w:tabs>
        <w:ind w:left="6431" w:hanging="247"/>
      </w:pPr>
      <w:rPr>
        <w:position w:val="0"/>
        <w:sz w:val="20"/>
        <w:szCs w:val="20"/>
        <w:rtl w:val="0"/>
        <w:lang w:val="en-US"/>
      </w:rPr>
    </w:lvl>
  </w:abstractNum>
  <w:abstractNum w:abstractNumId="9">
    <w:nsid w:val="58D47AA6"/>
    <w:multiLevelType w:val="multilevel"/>
    <w:tmpl w:val="EA821974"/>
    <w:lvl w:ilvl="0">
      <w:start w:val="1"/>
      <w:numFmt w:val="lowerRoman"/>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0">
    <w:nsid w:val="5CB009DC"/>
    <w:multiLevelType w:val="multilevel"/>
    <w:tmpl w:val="B9883ABE"/>
    <w:lvl w:ilvl="0">
      <w:start w:val="1"/>
      <w:numFmt w:val="lowerRoman"/>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1">
    <w:nsid w:val="64FA1611"/>
    <w:multiLevelType w:val="multilevel"/>
    <w:tmpl w:val="6A0846DA"/>
    <w:styleLink w:val="List41"/>
    <w:lvl w:ilvl="0">
      <w:start w:val="1"/>
      <w:numFmt w:val="lowerRoman"/>
      <w:lvlText w:val="%1."/>
      <w:lvlJc w:val="left"/>
      <w:pPr>
        <w:tabs>
          <w:tab w:val="num" w:pos="720"/>
        </w:tabs>
        <w:ind w:left="720" w:hanging="447"/>
      </w:pPr>
      <w:rPr>
        <w:position w:val="0"/>
        <w:sz w:val="20"/>
        <w:szCs w:val="20"/>
        <w:rtl w:val="0"/>
        <w:lang w:val="en-US"/>
      </w:rPr>
    </w:lvl>
    <w:lvl w:ilvl="1">
      <w:start w:val="1"/>
      <w:numFmt w:val="lowerLetter"/>
      <w:lvlText w:val="%2."/>
      <w:lvlJc w:val="left"/>
      <w:pPr>
        <w:tabs>
          <w:tab w:val="num" w:pos="1380"/>
        </w:tabs>
        <w:ind w:left="1380" w:hanging="300"/>
      </w:pPr>
      <w:rPr>
        <w:position w:val="0"/>
        <w:sz w:val="20"/>
        <w:szCs w:val="20"/>
        <w:rtl w:val="0"/>
        <w:lang w:val="en-US"/>
      </w:rPr>
    </w:lvl>
    <w:lvl w:ilvl="2">
      <w:start w:val="1"/>
      <w:numFmt w:val="lowerRoman"/>
      <w:lvlText w:val="%3."/>
      <w:lvlJc w:val="left"/>
      <w:pPr>
        <w:tabs>
          <w:tab w:val="num" w:pos="2111"/>
        </w:tabs>
        <w:ind w:left="2111" w:hanging="247"/>
      </w:pPr>
      <w:rPr>
        <w:position w:val="0"/>
        <w:sz w:val="20"/>
        <w:szCs w:val="20"/>
        <w:rtl w:val="0"/>
        <w:lang w:val="en-US"/>
      </w:rPr>
    </w:lvl>
    <w:lvl w:ilvl="3">
      <w:start w:val="1"/>
      <w:numFmt w:val="decimal"/>
      <w:lvlText w:val="%4."/>
      <w:lvlJc w:val="left"/>
      <w:pPr>
        <w:tabs>
          <w:tab w:val="num" w:pos="2820"/>
        </w:tabs>
        <w:ind w:left="2820" w:hanging="300"/>
      </w:pPr>
      <w:rPr>
        <w:position w:val="0"/>
        <w:sz w:val="20"/>
        <w:szCs w:val="20"/>
        <w:rtl w:val="0"/>
        <w:lang w:val="en-US"/>
      </w:rPr>
    </w:lvl>
    <w:lvl w:ilvl="4">
      <w:start w:val="1"/>
      <w:numFmt w:val="lowerLetter"/>
      <w:lvlText w:val="%5."/>
      <w:lvlJc w:val="left"/>
      <w:pPr>
        <w:tabs>
          <w:tab w:val="num" w:pos="3540"/>
        </w:tabs>
        <w:ind w:left="3540" w:hanging="300"/>
      </w:pPr>
      <w:rPr>
        <w:position w:val="0"/>
        <w:sz w:val="20"/>
        <w:szCs w:val="20"/>
        <w:rtl w:val="0"/>
        <w:lang w:val="en-US"/>
      </w:rPr>
    </w:lvl>
    <w:lvl w:ilvl="5">
      <w:start w:val="1"/>
      <w:numFmt w:val="lowerRoman"/>
      <w:lvlText w:val="%6."/>
      <w:lvlJc w:val="left"/>
      <w:pPr>
        <w:tabs>
          <w:tab w:val="num" w:pos="4271"/>
        </w:tabs>
        <w:ind w:left="4271" w:hanging="247"/>
      </w:pPr>
      <w:rPr>
        <w:position w:val="0"/>
        <w:sz w:val="20"/>
        <w:szCs w:val="20"/>
        <w:rtl w:val="0"/>
        <w:lang w:val="en-US"/>
      </w:rPr>
    </w:lvl>
    <w:lvl w:ilvl="6">
      <w:start w:val="1"/>
      <w:numFmt w:val="decimal"/>
      <w:lvlText w:val="%7."/>
      <w:lvlJc w:val="left"/>
      <w:pPr>
        <w:tabs>
          <w:tab w:val="num" w:pos="4980"/>
        </w:tabs>
        <w:ind w:left="4980" w:hanging="300"/>
      </w:pPr>
      <w:rPr>
        <w:position w:val="0"/>
        <w:sz w:val="20"/>
        <w:szCs w:val="20"/>
        <w:rtl w:val="0"/>
        <w:lang w:val="en-US"/>
      </w:rPr>
    </w:lvl>
    <w:lvl w:ilvl="7">
      <w:start w:val="1"/>
      <w:numFmt w:val="lowerLetter"/>
      <w:lvlText w:val="%8."/>
      <w:lvlJc w:val="left"/>
      <w:pPr>
        <w:tabs>
          <w:tab w:val="num" w:pos="5700"/>
        </w:tabs>
        <w:ind w:left="5700" w:hanging="300"/>
      </w:pPr>
      <w:rPr>
        <w:position w:val="0"/>
        <w:sz w:val="20"/>
        <w:szCs w:val="20"/>
        <w:rtl w:val="0"/>
        <w:lang w:val="en-US"/>
      </w:rPr>
    </w:lvl>
    <w:lvl w:ilvl="8">
      <w:start w:val="1"/>
      <w:numFmt w:val="lowerRoman"/>
      <w:lvlText w:val="%9."/>
      <w:lvlJc w:val="left"/>
      <w:pPr>
        <w:tabs>
          <w:tab w:val="num" w:pos="6431"/>
        </w:tabs>
        <w:ind w:left="6431" w:hanging="247"/>
      </w:pPr>
      <w:rPr>
        <w:position w:val="0"/>
        <w:sz w:val="20"/>
        <w:szCs w:val="20"/>
        <w:rtl w:val="0"/>
        <w:lang w:val="en-US"/>
      </w:rPr>
    </w:lvl>
  </w:abstractNum>
  <w:abstractNum w:abstractNumId="12">
    <w:nsid w:val="66366987"/>
    <w:multiLevelType w:val="multilevel"/>
    <w:tmpl w:val="70C6DA76"/>
    <w:styleLink w:val="List0"/>
    <w:lvl w:ilvl="0">
      <w:start w:val="1"/>
      <w:numFmt w:val="decimal"/>
      <w:lvlText w:val="%1."/>
      <w:lvlJc w:val="left"/>
      <w:pPr>
        <w:tabs>
          <w:tab w:val="num" w:pos="720"/>
        </w:tabs>
        <w:ind w:left="720" w:hanging="360"/>
      </w:pPr>
      <w:rPr>
        <w:position w:val="0"/>
        <w:sz w:val="20"/>
        <w:szCs w:val="20"/>
        <w:rtl w:val="0"/>
        <w:lang w:val="en-US"/>
      </w:rPr>
    </w:lvl>
    <w:lvl w:ilvl="1">
      <w:start w:val="1"/>
      <w:numFmt w:val="lowerLetter"/>
      <w:lvlText w:val="%2."/>
      <w:lvlJc w:val="left"/>
      <w:pPr>
        <w:tabs>
          <w:tab w:val="num" w:pos="1380"/>
        </w:tabs>
        <w:ind w:left="1380" w:hanging="300"/>
      </w:pPr>
      <w:rPr>
        <w:position w:val="0"/>
        <w:sz w:val="20"/>
        <w:szCs w:val="20"/>
        <w:rtl w:val="0"/>
        <w:lang w:val="en-US"/>
      </w:rPr>
    </w:lvl>
    <w:lvl w:ilvl="2">
      <w:start w:val="1"/>
      <w:numFmt w:val="lowerRoman"/>
      <w:lvlText w:val="%3."/>
      <w:lvlJc w:val="left"/>
      <w:pPr>
        <w:tabs>
          <w:tab w:val="num" w:pos="2111"/>
        </w:tabs>
        <w:ind w:left="2111" w:hanging="247"/>
      </w:pPr>
      <w:rPr>
        <w:position w:val="0"/>
        <w:sz w:val="20"/>
        <w:szCs w:val="20"/>
        <w:rtl w:val="0"/>
        <w:lang w:val="en-US"/>
      </w:rPr>
    </w:lvl>
    <w:lvl w:ilvl="3">
      <w:start w:val="1"/>
      <w:numFmt w:val="decimal"/>
      <w:lvlText w:val="%4."/>
      <w:lvlJc w:val="left"/>
      <w:pPr>
        <w:tabs>
          <w:tab w:val="num" w:pos="2820"/>
        </w:tabs>
        <w:ind w:left="2820" w:hanging="300"/>
      </w:pPr>
      <w:rPr>
        <w:position w:val="0"/>
        <w:sz w:val="20"/>
        <w:szCs w:val="20"/>
        <w:rtl w:val="0"/>
        <w:lang w:val="en-US"/>
      </w:rPr>
    </w:lvl>
    <w:lvl w:ilvl="4">
      <w:start w:val="1"/>
      <w:numFmt w:val="lowerLetter"/>
      <w:lvlText w:val="%5."/>
      <w:lvlJc w:val="left"/>
      <w:pPr>
        <w:tabs>
          <w:tab w:val="num" w:pos="3540"/>
        </w:tabs>
        <w:ind w:left="3540" w:hanging="300"/>
      </w:pPr>
      <w:rPr>
        <w:position w:val="0"/>
        <w:sz w:val="20"/>
        <w:szCs w:val="20"/>
        <w:rtl w:val="0"/>
        <w:lang w:val="en-US"/>
      </w:rPr>
    </w:lvl>
    <w:lvl w:ilvl="5">
      <w:start w:val="1"/>
      <w:numFmt w:val="lowerRoman"/>
      <w:lvlText w:val="%6."/>
      <w:lvlJc w:val="left"/>
      <w:pPr>
        <w:tabs>
          <w:tab w:val="num" w:pos="4271"/>
        </w:tabs>
        <w:ind w:left="4271" w:hanging="247"/>
      </w:pPr>
      <w:rPr>
        <w:position w:val="0"/>
        <w:sz w:val="20"/>
        <w:szCs w:val="20"/>
        <w:rtl w:val="0"/>
        <w:lang w:val="en-US"/>
      </w:rPr>
    </w:lvl>
    <w:lvl w:ilvl="6">
      <w:start w:val="1"/>
      <w:numFmt w:val="decimal"/>
      <w:lvlText w:val="%7."/>
      <w:lvlJc w:val="left"/>
      <w:pPr>
        <w:tabs>
          <w:tab w:val="num" w:pos="4980"/>
        </w:tabs>
        <w:ind w:left="4980" w:hanging="300"/>
      </w:pPr>
      <w:rPr>
        <w:position w:val="0"/>
        <w:sz w:val="20"/>
        <w:szCs w:val="20"/>
        <w:rtl w:val="0"/>
        <w:lang w:val="en-US"/>
      </w:rPr>
    </w:lvl>
    <w:lvl w:ilvl="7">
      <w:start w:val="1"/>
      <w:numFmt w:val="lowerLetter"/>
      <w:lvlText w:val="%8."/>
      <w:lvlJc w:val="left"/>
      <w:pPr>
        <w:tabs>
          <w:tab w:val="num" w:pos="5700"/>
        </w:tabs>
        <w:ind w:left="5700" w:hanging="300"/>
      </w:pPr>
      <w:rPr>
        <w:position w:val="0"/>
        <w:sz w:val="20"/>
        <w:szCs w:val="20"/>
        <w:rtl w:val="0"/>
        <w:lang w:val="en-US"/>
      </w:rPr>
    </w:lvl>
    <w:lvl w:ilvl="8">
      <w:start w:val="1"/>
      <w:numFmt w:val="lowerRoman"/>
      <w:lvlText w:val="%9."/>
      <w:lvlJc w:val="left"/>
      <w:pPr>
        <w:tabs>
          <w:tab w:val="num" w:pos="6431"/>
        </w:tabs>
        <w:ind w:left="6431" w:hanging="247"/>
      </w:pPr>
      <w:rPr>
        <w:position w:val="0"/>
        <w:sz w:val="20"/>
        <w:szCs w:val="20"/>
        <w:rtl w:val="0"/>
        <w:lang w:val="en-US"/>
      </w:rPr>
    </w:lvl>
  </w:abstractNum>
  <w:abstractNum w:abstractNumId="13">
    <w:nsid w:val="69D00C2E"/>
    <w:multiLevelType w:val="multilevel"/>
    <w:tmpl w:val="C0FCF540"/>
    <w:lvl w:ilvl="0">
      <w:start w:val="1"/>
      <w:numFmt w:val="lowerRoman"/>
      <w:lvlText w:val="%1."/>
      <w:lvlJc w:val="left"/>
      <w:pPr>
        <w:tabs>
          <w:tab w:val="num" w:pos="720"/>
        </w:tabs>
        <w:ind w:left="720" w:hanging="451"/>
      </w:pPr>
      <w:rPr>
        <w:position w:val="0"/>
        <w:sz w:val="20"/>
        <w:szCs w:val="20"/>
        <w:lang w:val="en-US"/>
      </w:rPr>
    </w:lvl>
    <w:lvl w:ilvl="1">
      <w:start w:val="1"/>
      <w:numFmt w:val="lowerLetter"/>
      <w:lvlText w:val="%2."/>
      <w:lvlJc w:val="left"/>
      <w:pPr>
        <w:tabs>
          <w:tab w:val="num" w:pos="1380"/>
        </w:tabs>
        <w:ind w:left="1380" w:hanging="300"/>
      </w:pPr>
      <w:rPr>
        <w:position w:val="0"/>
        <w:sz w:val="20"/>
        <w:szCs w:val="20"/>
        <w:lang w:val="en-US"/>
      </w:rPr>
    </w:lvl>
    <w:lvl w:ilvl="2">
      <w:start w:val="1"/>
      <w:numFmt w:val="lowerRoman"/>
      <w:lvlText w:val="%3."/>
      <w:lvlJc w:val="left"/>
      <w:pPr>
        <w:tabs>
          <w:tab w:val="num" w:pos="2111"/>
        </w:tabs>
        <w:ind w:left="2111" w:hanging="247"/>
      </w:pPr>
      <w:rPr>
        <w:position w:val="0"/>
        <w:sz w:val="20"/>
        <w:szCs w:val="20"/>
        <w:lang w:val="en-US"/>
      </w:rPr>
    </w:lvl>
    <w:lvl w:ilvl="3">
      <w:start w:val="1"/>
      <w:numFmt w:val="decimal"/>
      <w:lvlText w:val="%4."/>
      <w:lvlJc w:val="left"/>
      <w:pPr>
        <w:tabs>
          <w:tab w:val="num" w:pos="2820"/>
        </w:tabs>
        <w:ind w:left="2820" w:hanging="300"/>
      </w:pPr>
      <w:rPr>
        <w:position w:val="0"/>
        <w:sz w:val="20"/>
        <w:szCs w:val="20"/>
        <w:lang w:val="en-US"/>
      </w:rPr>
    </w:lvl>
    <w:lvl w:ilvl="4">
      <w:start w:val="1"/>
      <w:numFmt w:val="lowerLetter"/>
      <w:lvlText w:val="%5."/>
      <w:lvlJc w:val="left"/>
      <w:pPr>
        <w:tabs>
          <w:tab w:val="num" w:pos="3540"/>
        </w:tabs>
        <w:ind w:left="3540" w:hanging="300"/>
      </w:pPr>
      <w:rPr>
        <w:position w:val="0"/>
        <w:sz w:val="20"/>
        <w:szCs w:val="20"/>
        <w:lang w:val="en-US"/>
      </w:rPr>
    </w:lvl>
    <w:lvl w:ilvl="5">
      <w:start w:val="1"/>
      <w:numFmt w:val="lowerRoman"/>
      <w:lvlText w:val="%6."/>
      <w:lvlJc w:val="left"/>
      <w:pPr>
        <w:tabs>
          <w:tab w:val="num" w:pos="4271"/>
        </w:tabs>
        <w:ind w:left="4271" w:hanging="247"/>
      </w:pPr>
      <w:rPr>
        <w:position w:val="0"/>
        <w:sz w:val="20"/>
        <w:szCs w:val="20"/>
        <w:lang w:val="en-US"/>
      </w:rPr>
    </w:lvl>
    <w:lvl w:ilvl="6">
      <w:start w:val="1"/>
      <w:numFmt w:val="decimal"/>
      <w:lvlText w:val="%7."/>
      <w:lvlJc w:val="left"/>
      <w:pPr>
        <w:tabs>
          <w:tab w:val="num" w:pos="4980"/>
        </w:tabs>
        <w:ind w:left="4980" w:hanging="300"/>
      </w:pPr>
      <w:rPr>
        <w:position w:val="0"/>
        <w:sz w:val="20"/>
        <w:szCs w:val="20"/>
        <w:lang w:val="en-US"/>
      </w:rPr>
    </w:lvl>
    <w:lvl w:ilvl="7">
      <w:start w:val="1"/>
      <w:numFmt w:val="lowerLetter"/>
      <w:lvlText w:val="%8."/>
      <w:lvlJc w:val="left"/>
      <w:pPr>
        <w:tabs>
          <w:tab w:val="num" w:pos="5700"/>
        </w:tabs>
        <w:ind w:left="5700" w:hanging="300"/>
      </w:pPr>
      <w:rPr>
        <w:position w:val="0"/>
        <w:sz w:val="20"/>
        <w:szCs w:val="20"/>
        <w:lang w:val="en-US"/>
      </w:rPr>
    </w:lvl>
    <w:lvl w:ilvl="8">
      <w:start w:val="1"/>
      <w:numFmt w:val="lowerRoman"/>
      <w:lvlText w:val="%9."/>
      <w:lvlJc w:val="left"/>
      <w:pPr>
        <w:tabs>
          <w:tab w:val="num" w:pos="6431"/>
        </w:tabs>
        <w:ind w:left="6431" w:hanging="247"/>
      </w:pPr>
      <w:rPr>
        <w:position w:val="0"/>
        <w:sz w:val="20"/>
        <w:szCs w:val="20"/>
        <w:lang w:val="en-US"/>
      </w:rPr>
    </w:lvl>
  </w:abstractNum>
  <w:abstractNum w:abstractNumId="14">
    <w:nsid w:val="74095E3D"/>
    <w:multiLevelType w:val="multilevel"/>
    <w:tmpl w:val="22904DDA"/>
    <w:lvl w:ilvl="0">
      <w:start w:val="1"/>
      <w:numFmt w:val="lowerRoman"/>
      <w:lvlText w:val="%1."/>
      <w:lvlJc w:val="left"/>
      <w:pPr>
        <w:tabs>
          <w:tab w:val="num" w:pos="720"/>
        </w:tabs>
        <w:ind w:left="720" w:hanging="447"/>
      </w:pPr>
      <w:rPr>
        <w:position w:val="0"/>
        <w:sz w:val="20"/>
        <w:szCs w:val="20"/>
        <w:rtl w:val="0"/>
        <w:lang w:val="en-US"/>
      </w:rPr>
    </w:lvl>
    <w:lvl w:ilvl="1">
      <w:start w:val="1"/>
      <w:numFmt w:val="lowerLetter"/>
      <w:lvlText w:val="%2."/>
      <w:lvlJc w:val="left"/>
      <w:pPr>
        <w:tabs>
          <w:tab w:val="num" w:pos="1380"/>
        </w:tabs>
        <w:ind w:left="1380" w:hanging="300"/>
      </w:pPr>
      <w:rPr>
        <w:position w:val="0"/>
        <w:sz w:val="20"/>
        <w:szCs w:val="20"/>
        <w:rtl w:val="0"/>
        <w:lang w:val="en-US"/>
      </w:rPr>
    </w:lvl>
    <w:lvl w:ilvl="2">
      <w:start w:val="1"/>
      <w:numFmt w:val="lowerRoman"/>
      <w:lvlText w:val="%3."/>
      <w:lvlJc w:val="left"/>
      <w:pPr>
        <w:tabs>
          <w:tab w:val="num" w:pos="2111"/>
        </w:tabs>
        <w:ind w:left="2111" w:hanging="247"/>
      </w:pPr>
      <w:rPr>
        <w:position w:val="0"/>
        <w:sz w:val="20"/>
        <w:szCs w:val="20"/>
        <w:rtl w:val="0"/>
        <w:lang w:val="en-US"/>
      </w:rPr>
    </w:lvl>
    <w:lvl w:ilvl="3">
      <w:start w:val="1"/>
      <w:numFmt w:val="decimal"/>
      <w:lvlText w:val="%4."/>
      <w:lvlJc w:val="left"/>
      <w:pPr>
        <w:tabs>
          <w:tab w:val="num" w:pos="2820"/>
        </w:tabs>
        <w:ind w:left="2820" w:hanging="300"/>
      </w:pPr>
      <w:rPr>
        <w:position w:val="0"/>
        <w:sz w:val="20"/>
        <w:szCs w:val="20"/>
        <w:rtl w:val="0"/>
        <w:lang w:val="en-US"/>
      </w:rPr>
    </w:lvl>
    <w:lvl w:ilvl="4">
      <w:start w:val="1"/>
      <w:numFmt w:val="lowerLetter"/>
      <w:lvlText w:val="%5."/>
      <w:lvlJc w:val="left"/>
      <w:pPr>
        <w:tabs>
          <w:tab w:val="num" w:pos="3540"/>
        </w:tabs>
        <w:ind w:left="3540" w:hanging="300"/>
      </w:pPr>
      <w:rPr>
        <w:position w:val="0"/>
        <w:sz w:val="20"/>
        <w:szCs w:val="20"/>
        <w:rtl w:val="0"/>
        <w:lang w:val="en-US"/>
      </w:rPr>
    </w:lvl>
    <w:lvl w:ilvl="5">
      <w:start w:val="1"/>
      <w:numFmt w:val="lowerRoman"/>
      <w:lvlText w:val="%6."/>
      <w:lvlJc w:val="left"/>
      <w:pPr>
        <w:tabs>
          <w:tab w:val="num" w:pos="4271"/>
        </w:tabs>
        <w:ind w:left="4271" w:hanging="247"/>
      </w:pPr>
      <w:rPr>
        <w:position w:val="0"/>
        <w:sz w:val="20"/>
        <w:szCs w:val="20"/>
        <w:rtl w:val="0"/>
        <w:lang w:val="en-US"/>
      </w:rPr>
    </w:lvl>
    <w:lvl w:ilvl="6">
      <w:start w:val="1"/>
      <w:numFmt w:val="decimal"/>
      <w:lvlText w:val="%7."/>
      <w:lvlJc w:val="left"/>
      <w:pPr>
        <w:tabs>
          <w:tab w:val="num" w:pos="4980"/>
        </w:tabs>
        <w:ind w:left="4980" w:hanging="300"/>
      </w:pPr>
      <w:rPr>
        <w:position w:val="0"/>
        <w:sz w:val="20"/>
        <w:szCs w:val="20"/>
        <w:rtl w:val="0"/>
        <w:lang w:val="en-US"/>
      </w:rPr>
    </w:lvl>
    <w:lvl w:ilvl="7">
      <w:start w:val="1"/>
      <w:numFmt w:val="lowerLetter"/>
      <w:lvlText w:val="%8."/>
      <w:lvlJc w:val="left"/>
      <w:pPr>
        <w:tabs>
          <w:tab w:val="num" w:pos="5700"/>
        </w:tabs>
        <w:ind w:left="5700" w:hanging="300"/>
      </w:pPr>
      <w:rPr>
        <w:position w:val="0"/>
        <w:sz w:val="20"/>
        <w:szCs w:val="20"/>
        <w:rtl w:val="0"/>
        <w:lang w:val="en-US"/>
      </w:rPr>
    </w:lvl>
    <w:lvl w:ilvl="8">
      <w:start w:val="1"/>
      <w:numFmt w:val="lowerRoman"/>
      <w:lvlText w:val="%9."/>
      <w:lvlJc w:val="left"/>
      <w:pPr>
        <w:tabs>
          <w:tab w:val="num" w:pos="6431"/>
        </w:tabs>
        <w:ind w:left="6431" w:hanging="247"/>
      </w:pPr>
      <w:rPr>
        <w:position w:val="0"/>
        <w:sz w:val="20"/>
        <w:szCs w:val="20"/>
        <w:rtl w:val="0"/>
        <w:lang w:val="en-US"/>
      </w:rPr>
    </w:lvl>
  </w:abstractNum>
  <w:num w:numId="1">
    <w:abstractNumId w:val="1"/>
  </w:num>
  <w:num w:numId="2">
    <w:abstractNumId w:val="6"/>
  </w:num>
  <w:num w:numId="3">
    <w:abstractNumId w:val="12"/>
  </w:num>
  <w:num w:numId="4">
    <w:abstractNumId w:val="7"/>
  </w:num>
  <w:num w:numId="5">
    <w:abstractNumId w:val="10"/>
  </w:num>
  <w:num w:numId="6">
    <w:abstractNumId w:val="0"/>
  </w:num>
  <w:num w:numId="7">
    <w:abstractNumId w:val="13"/>
  </w:num>
  <w:num w:numId="8">
    <w:abstractNumId w:val="5"/>
  </w:num>
  <w:num w:numId="9">
    <w:abstractNumId w:val="3"/>
  </w:num>
  <w:num w:numId="10">
    <w:abstractNumId w:val="14"/>
  </w:num>
  <w:num w:numId="11">
    <w:abstractNumId w:val="2"/>
  </w:num>
  <w:num w:numId="12">
    <w:abstractNumId w:val="4"/>
  </w:num>
  <w:num w:numId="13">
    <w:abstractNumId w:val="8"/>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3E4DEF"/>
    <w:rsid w:val="003E4DEF"/>
    <w:rsid w:val="00933F07"/>
    <w:rsid w:val="00A06087"/>
    <w:rsid w:val="00DC12B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hAnsi="Arial Unicode MS" w:cs="Arial Unicode MS"/>
      <w:color w:val="000000"/>
      <w:sz w:val="24"/>
      <w:szCs w:val="24"/>
      <w:u w:color="000000"/>
      <w:lang w:val="en-US" w:eastAsia="en-US"/>
    </w:rPr>
  </w:style>
  <w:style w:type="paragraph" w:styleId="Heading1">
    <w:name w:val="heading 1"/>
    <w:next w:val="Body"/>
    <w:pPr>
      <w:keepNext/>
      <w:outlineLvl w:val="0"/>
    </w:pPr>
    <w:rPr>
      <w:rFonts w:ascii="Helvetica" w:eastAsia="Helvetica" w:hAnsi="Helvetica" w:cs="Helvetica"/>
      <w:b/>
      <w:bCs/>
      <w:color w:val="000000"/>
      <w:sz w:val="36"/>
      <w:szCs w:val="36"/>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632"/>
      </w:tabs>
    </w:pPr>
    <w:rPr>
      <w:rFonts w:ascii="Helvetica" w:hAnsi="Arial Unicode MS" w:cs="Arial Unicode MS"/>
      <w:color w:val="000000"/>
      <w:u w:color="000000"/>
      <w:lang w:val="en-US"/>
    </w:rPr>
  </w:style>
  <w:style w:type="paragraph" w:customStyle="1" w:styleId="Body">
    <w:name w:val="Body"/>
    <w:rPr>
      <w:rFonts w:ascii="Helvetica" w:eastAsia="Helvetica" w:hAnsi="Helvetica" w:cs="Helvetica"/>
      <w:color w:val="000000"/>
      <w:sz w:val="24"/>
      <w:szCs w:val="24"/>
      <w:u w:color="000000"/>
      <w:lang w:val="en-US"/>
    </w:rPr>
  </w:style>
  <w:style w:type="paragraph" w:customStyle="1" w:styleId="FreeForm">
    <w:name w:val="Free Form"/>
    <w:rPr>
      <w:rFonts w:ascii="Helvetica" w:hAnsi="Arial Unicode MS" w:cs="Arial Unicode MS"/>
      <w:color w:val="000000"/>
      <w:sz w:val="24"/>
      <w:szCs w:val="24"/>
      <w:u w:color="000000"/>
      <w:lang w:val="en-US"/>
    </w:rPr>
  </w:style>
  <w:style w:type="paragraph" w:styleId="ListParagraph">
    <w:name w:val="List Paragraph"/>
    <w:pPr>
      <w:ind w:left="720"/>
    </w:pPr>
    <w:rPr>
      <w:rFonts w:ascii="Cambria" w:eastAsia="Cambria" w:hAnsi="Cambria" w:cs="Cambria"/>
      <w:color w:val="000000"/>
      <w:sz w:val="24"/>
      <w:szCs w:val="24"/>
      <w:u w:color="000000"/>
      <w:lang w:val="en-US"/>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2"/>
    <w:pPr>
      <w:numPr>
        <w:numId w:val="6"/>
      </w:numPr>
    </w:pPr>
  </w:style>
  <w:style w:type="numbering" w:customStyle="1" w:styleId="ImportedStyle2">
    <w:name w:val="Imported Style 2"/>
  </w:style>
  <w:style w:type="numbering" w:customStyle="1" w:styleId="List21">
    <w:name w:val="List 21"/>
    <w:basedOn w:val="ImportedStyle3"/>
    <w:pPr>
      <w:numPr>
        <w:numId w:val="9"/>
      </w:numPr>
    </w:pPr>
  </w:style>
  <w:style w:type="numbering" w:customStyle="1" w:styleId="ImportedStyle3">
    <w:name w:val="Imported Style 3"/>
  </w:style>
  <w:style w:type="numbering" w:customStyle="1" w:styleId="List31">
    <w:name w:val="List 31"/>
    <w:basedOn w:val="ImportedStyle4"/>
    <w:pPr>
      <w:numPr>
        <w:numId w:val="12"/>
      </w:numPr>
    </w:pPr>
  </w:style>
  <w:style w:type="numbering" w:customStyle="1" w:styleId="ImportedStyle4">
    <w:name w:val="Imported Style 4"/>
  </w:style>
  <w:style w:type="numbering" w:customStyle="1" w:styleId="List41">
    <w:name w:val="List 41"/>
    <w:basedOn w:val="ImportedStyle5"/>
    <w:pPr>
      <w:numPr>
        <w:numId w:val="15"/>
      </w:numPr>
    </w:pPr>
  </w:style>
  <w:style w:type="numbering" w:customStyle="1" w:styleId="ImportedStyle5">
    <w:name w:val="Imported Style 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AU" w:eastAsia="en-AU"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rFonts w:hAnsi="Arial Unicode MS" w:cs="Arial Unicode MS"/>
      <w:color w:val="000000"/>
      <w:sz w:val="24"/>
      <w:szCs w:val="24"/>
      <w:u w:color="000000"/>
      <w:lang w:val="en-US" w:eastAsia="en-US"/>
    </w:rPr>
  </w:style>
  <w:style w:type="paragraph" w:styleId="Heading1">
    <w:name w:val="heading 1"/>
    <w:next w:val="Body"/>
    <w:pPr>
      <w:keepNext/>
      <w:outlineLvl w:val="0"/>
    </w:pPr>
    <w:rPr>
      <w:rFonts w:ascii="Helvetica" w:eastAsia="Helvetica" w:hAnsi="Helvetica" w:cs="Helvetica"/>
      <w:b/>
      <w:bCs/>
      <w:color w:val="000000"/>
      <w:sz w:val="36"/>
      <w:szCs w:val="36"/>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632"/>
      </w:tabs>
    </w:pPr>
    <w:rPr>
      <w:rFonts w:ascii="Helvetica" w:hAnsi="Arial Unicode MS" w:cs="Arial Unicode MS"/>
      <w:color w:val="000000"/>
      <w:u w:color="000000"/>
      <w:lang w:val="en-US"/>
    </w:rPr>
  </w:style>
  <w:style w:type="paragraph" w:customStyle="1" w:styleId="Body">
    <w:name w:val="Body"/>
    <w:rPr>
      <w:rFonts w:ascii="Helvetica" w:eastAsia="Helvetica" w:hAnsi="Helvetica" w:cs="Helvetica"/>
      <w:color w:val="000000"/>
      <w:sz w:val="24"/>
      <w:szCs w:val="24"/>
      <w:u w:color="000000"/>
      <w:lang w:val="en-US"/>
    </w:rPr>
  </w:style>
  <w:style w:type="paragraph" w:customStyle="1" w:styleId="FreeForm">
    <w:name w:val="Free Form"/>
    <w:rPr>
      <w:rFonts w:ascii="Helvetica" w:hAnsi="Arial Unicode MS" w:cs="Arial Unicode MS"/>
      <w:color w:val="000000"/>
      <w:sz w:val="24"/>
      <w:szCs w:val="24"/>
      <w:u w:color="000000"/>
      <w:lang w:val="en-US"/>
    </w:rPr>
  </w:style>
  <w:style w:type="paragraph" w:styleId="ListParagraph">
    <w:name w:val="List Paragraph"/>
    <w:pPr>
      <w:ind w:left="720"/>
    </w:pPr>
    <w:rPr>
      <w:rFonts w:ascii="Cambria" w:eastAsia="Cambria" w:hAnsi="Cambria" w:cs="Cambria"/>
      <w:color w:val="000000"/>
      <w:sz w:val="24"/>
      <w:szCs w:val="24"/>
      <w:u w:color="000000"/>
      <w:lang w:val="en-US"/>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2"/>
    <w:pPr>
      <w:numPr>
        <w:numId w:val="6"/>
      </w:numPr>
    </w:pPr>
  </w:style>
  <w:style w:type="numbering" w:customStyle="1" w:styleId="ImportedStyle2">
    <w:name w:val="Imported Style 2"/>
  </w:style>
  <w:style w:type="numbering" w:customStyle="1" w:styleId="List21">
    <w:name w:val="List 21"/>
    <w:basedOn w:val="ImportedStyle3"/>
    <w:pPr>
      <w:numPr>
        <w:numId w:val="9"/>
      </w:numPr>
    </w:pPr>
  </w:style>
  <w:style w:type="numbering" w:customStyle="1" w:styleId="ImportedStyle3">
    <w:name w:val="Imported Style 3"/>
  </w:style>
  <w:style w:type="numbering" w:customStyle="1" w:styleId="List31">
    <w:name w:val="List 31"/>
    <w:basedOn w:val="ImportedStyle4"/>
    <w:pPr>
      <w:numPr>
        <w:numId w:val="12"/>
      </w:numPr>
    </w:pPr>
  </w:style>
  <w:style w:type="numbering" w:customStyle="1" w:styleId="ImportedStyle4">
    <w:name w:val="Imported Style 4"/>
  </w:style>
  <w:style w:type="numbering" w:customStyle="1" w:styleId="List41">
    <w:name w:val="List 41"/>
    <w:basedOn w:val="ImportedStyle5"/>
    <w:pPr>
      <w:numPr>
        <w:numId w:val="15"/>
      </w:numPr>
    </w:pPr>
  </w:style>
  <w:style w:type="numbering" w:customStyle="1" w:styleId="ImportedStyle5">
    <w:name w:val="Imported Style 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27191816.dotm</Template>
  <TotalTime>1</TotalTime>
  <Pages>4</Pages>
  <Words>1703</Words>
  <Characters>8782</Characters>
  <Application>Microsoft Office Word</Application>
  <DocSecurity>4</DocSecurity>
  <Lines>128</Lines>
  <Paragraphs>60</Paragraphs>
  <ScaleCrop>false</ScaleCrop>
  <HeadingPairs>
    <vt:vector size="2" baseType="variant">
      <vt:variant>
        <vt:lpstr>Title</vt:lpstr>
      </vt:variant>
      <vt:variant>
        <vt:i4>1</vt:i4>
      </vt:variant>
    </vt:vector>
  </HeadingPairs>
  <TitlesOfParts>
    <vt:vector size="1" baseType="lpstr">
      <vt:lpstr/>
    </vt:vector>
  </TitlesOfParts>
  <Company>RBA</Company>
  <LinksUpToDate>false</LinksUpToDate>
  <CharactersWithSpaces>10488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JIMENEZ, Ivan</dc:creator>
  <cp:lastModifiedBy>JIMENEZ, Ivan</cp:lastModifiedBy>
  <cp:revision>2</cp:revision>
  <dcterms:created xsi:type="dcterms:W3CDTF">2015-05-06T04:58:00Z</dcterms:created>
  <dcterms:modified xsi:type="dcterms:W3CDTF">2015-05-06T04:58:00Z</dcterms:modified>
</cp:coreProperties>
</file>