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B4" w:rsidRPr="00C002D4" w:rsidRDefault="00464DB4" w:rsidP="00C002D4">
      <w:pPr>
        <w:pStyle w:val="NoSpacing"/>
        <w:rPr>
          <w:szCs w:val="20"/>
        </w:rPr>
        <w:sectPr w:rsidR="00464DB4" w:rsidRPr="00C002D4" w:rsidSect="001B1796">
          <w:headerReference w:type="default" r:id="rId9"/>
          <w:footerReference w:type="default" r:id="rId10"/>
          <w:pgSz w:w="11907" w:h="16839" w:code="9"/>
          <w:pgMar w:top="2778" w:right="1275" w:bottom="1276" w:left="1701" w:header="720" w:footer="595" w:gutter="0"/>
          <w:cols w:space="720"/>
          <w:docGrid w:linePitch="360"/>
        </w:sectPr>
      </w:pPr>
      <w:bookmarkStart w:id="0" w:name="_GoBack"/>
      <w:bookmarkEnd w:id="0"/>
    </w:p>
    <w:p w:rsidR="00C002D4" w:rsidRPr="00C002D4" w:rsidRDefault="002A7760" w:rsidP="00C002D4">
      <w:pPr>
        <w:pStyle w:val="NoSpacing"/>
        <w:rPr>
          <w:szCs w:val="20"/>
        </w:rPr>
      </w:pPr>
      <w:r w:rsidRPr="002A7760">
        <w:rPr>
          <w:szCs w:val="20"/>
        </w:rPr>
        <w:lastRenderedPageBreak/>
        <w:t>30</w:t>
      </w:r>
      <w:r w:rsidR="00C002D4" w:rsidRPr="002A7760">
        <w:rPr>
          <w:szCs w:val="20"/>
        </w:rPr>
        <w:t xml:space="preserve"> April 2015</w:t>
      </w:r>
    </w:p>
    <w:p w:rsidR="00C002D4" w:rsidRDefault="00C002D4" w:rsidP="00C002D4">
      <w:pPr>
        <w:pStyle w:val="NoSpacing"/>
        <w:rPr>
          <w:szCs w:val="20"/>
          <w:lang w:val="en-AU"/>
        </w:rPr>
      </w:pPr>
    </w:p>
    <w:p w:rsidR="00C002D4" w:rsidRPr="00C002D4" w:rsidRDefault="00C002D4" w:rsidP="00C002D4">
      <w:pPr>
        <w:pStyle w:val="NoSpacing"/>
        <w:rPr>
          <w:szCs w:val="20"/>
          <w:lang w:val="en-AU"/>
        </w:rPr>
      </w:pPr>
      <w:r w:rsidRPr="00C002D4">
        <w:rPr>
          <w:bCs/>
          <w:szCs w:val="20"/>
          <w:lang w:val="en-AU"/>
        </w:rPr>
        <w:t>Dr Tony Richards</w:t>
      </w:r>
    </w:p>
    <w:p w:rsidR="00C002D4" w:rsidRPr="00C002D4" w:rsidRDefault="00C002D4" w:rsidP="00C002D4">
      <w:pPr>
        <w:pStyle w:val="NoSpacing"/>
        <w:rPr>
          <w:szCs w:val="20"/>
        </w:rPr>
      </w:pPr>
      <w:r w:rsidRPr="00C002D4">
        <w:rPr>
          <w:szCs w:val="20"/>
          <w:lang w:val="en-AU"/>
        </w:rPr>
        <w:t>Head of Payments Policy Department</w:t>
      </w:r>
    </w:p>
    <w:p w:rsidR="00C002D4" w:rsidRPr="00C002D4" w:rsidRDefault="00C002D4" w:rsidP="00C002D4">
      <w:pPr>
        <w:pStyle w:val="NoSpacing"/>
        <w:rPr>
          <w:szCs w:val="20"/>
        </w:rPr>
      </w:pPr>
      <w:r w:rsidRPr="00C002D4">
        <w:rPr>
          <w:szCs w:val="20"/>
        </w:rPr>
        <w:t>Reserve Bank of Australia</w:t>
      </w:r>
    </w:p>
    <w:p w:rsidR="00C002D4" w:rsidRPr="00C002D4" w:rsidRDefault="00C002D4" w:rsidP="00C002D4">
      <w:pPr>
        <w:pStyle w:val="NoSpacing"/>
        <w:rPr>
          <w:szCs w:val="20"/>
        </w:rPr>
      </w:pPr>
      <w:r w:rsidRPr="00C002D4">
        <w:rPr>
          <w:szCs w:val="20"/>
        </w:rPr>
        <w:t>Sydney NSW 2001</w:t>
      </w:r>
    </w:p>
    <w:p w:rsidR="00C002D4" w:rsidRPr="00C002D4" w:rsidRDefault="00C002D4" w:rsidP="00C002D4">
      <w:pPr>
        <w:spacing w:after="0"/>
        <w:rPr>
          <w:rFonts w:ascii="Verdana" w:hAnsi="Verdana"/>
          <w:sz w:val="20"/>
          <w:szCs w:val="20"/>
        </w:rPr>
      </w:pPr>
    </w:p>
    <w:p w:rsidR="00C002D4" w:rsidRPr="00C002D4" w:rsidRDefault="00C002D4" w:rsidP="00C002D4">
      <w:pPr>
        <w:spacing w:after="0"/>
        <w:rPr>
          <w:rFonts w:ascii="Verdana" w:hAnsi="Verdana"/>
          <w:sz w:val="20"/>
          <w:szCs w:val="20"/>
        </w:rPr>
      </w:pPr>
      <w:r w:rsidRPr="00C002D4">
        <w:rPr>
          <w:rFonts w:ascii="Verdana" w:hAnsi="Verdana"/>
          <w:sz w:val="20"/>
          <w:szCs w:val="20"/>
        </w:rPr>
        <w:t xml:space="preserve">Sent via: </w:t>
      </w:r>
      <w:hyperlink r:id="rId11" w:history="1">
        <w:r w:rsidRPr="00C002D4">
          <w:rPr>
            <w:rStyle w:val="Hyperlink"/>
            <w:rFonts w:ascii="Verdana" w:hAnsi="Verdana"/>
            <w:sz w:val="20"/>
            <w:szCs w:val="20"/>
          </w:rPr>
          <w:t>pysubmissions@rba.gov.au</w:t>
        </w:r>
      </w:hyperlink>
      <w:r w:rsidRPr="00C002D4">
        <w:rPr>
          <w:rFonts w:ascii="Verdana" w:hAnsi="Verdana"/>
          <w:sz w:val="20"/>
          <w:szCs w:val="20"/>
        </w:rPr>
        <w:t xml:space="preserve"> </w:t>
      </w:r>
    </w:p>
    <w:p w:rsidR="00C002D4" w:rsidRDefault="00C002D4" w:rsidP="00C002D4">
      <w:pPr>
        <w:spacing w:after="0"/>
        <w:rPr>
          <w:rFonts w:ascii="Verdana" w:hAnsi="Verdana"/>
          <w:sz w:val="20"/>
          <w:szCs w:val="20"/>
        </w:rPr>
      </w:pPr>
    </w:p>
    <w:p w:rsidR="00C002D4" w:rsidRPr="00C002D4" w:rsidRDefault="00C002D4" w:rsidP="00C002D4">
      <w:pPr>
        <w:spacing w:after="0"/>
        <w:rPr>
          <w:rFonts w:ascii="Verdana" w:hAnsi="Verdana"/>
          <w:sz w:val="20"/>
          <w:szCs w:val="20"/>
        </w:rPr>
      </w:pPr>
      <w:r w:rsidRPr="00C002D4">
        <w:rPr>
          <w:rFonts w:ascii="Verdana" w:hAnsi="Verdana"/>
          <w:sz w:val="20"/>
          <w:szCs w:val="20"/>
        </w:rPr>
        <w:t>Dear Dr Richards</w:t>
      </w:r>
    </w:p>
    <w:p w:rsidR="0088503F" w:rsidRPr="00C002D4" w:rsidRDefault="0088503F" w:rsidP="00C002D4">
      <w:pPr>
        <w:spacing w:after="0"/>
        <w:rPr>
          <w:rFonts w:ascii="Verdana" w:hAnsi="Verdana"/>
          <w:sz w:val="20"/>
          <w:szCs w:val="20"/>
        </w:rPr>
      </w:pPr>
    </w:p>
    <w:p w:rsidR="00C002D4" w:rsidRPr="00C002D4" w:rsidRDefault="00C002D4" w:rsidP="00C002D4">
      <w:pPr>
        <w:spacing w:after="0"/>
        <w:rPr>
          <w:rStyle w:val="Strong"/>
          <w:szCs w:val="20"/>
        </w:rPr>
      </w:pPr>
      <w:r w:rsidRPr="00C002D4">
        <w:rPr>
          <w:rStyle w:val="Strong"/>
          <w:szCs w:val="20"/>
        </w:rPr>
        <w:t xml:space="preserve">Review of the Card Payments Regulation </w:t>
      </w:r>
    </w:p>
    <w:p w:rsidR="00C002D4" w:rsidRPr="00C002D4" w:rsidRDefault="00C002D4" w:rsidP="00C002D4">
      <w:pPr>
        <w:spacing w:after="0"/>
        <w:rPr>
          <w:rStyle w:val="Strong"/>
          <w:szCs w:val="20"/>
        </w:rPr>
      </w:pPr>
    </w:p>
    <w:p w:rsidR="00C002D4" w:rsidRPr="00C002D4" w:rsidRDefault="00C002D4" w:rsidP="00C002D4">
      <w:pPr>
        <w:spacing w:after="0"/>
        <w:rPr>
          <w:rFonts w:ascii="Verdana" w:eastAsia="Times New Roman" w:hAnsi="Verdana" w:cs="Arial"/>
          <w:sz w:val="20"/>
          <w:szCs w:val="20"/>
          <w:lang w:eastAsia="en-AU"/>
        </w:rPr>
      </w:pPr>
      <w:r w:rsidRPr="00C002D4">
        <w:rPr>
          <w:rFonts w:ascii="Verdana" w:eastAsia="Times New Roman" w:hAnsi="Verdana" w:cs="Arial"/>
          <w:sz w:val="20"/>
          <w:szCs w:val="20"/>
          <w:lang w:eastAsia="en-AU"/>
        </w:rPr>
        <w:t xml:space="preserve">The Customer Owned Banking Association (COBA) welcomes the opportunity to contribute to </w:t>
      </w:r>
      <w:r w:rsidR="001341A2">
        <w:rPr>
          <w:rFonts w:ascii="Verdana" w:eastAsia="Times New Roman" w:hAnsi="Verdana" w:cs="Arial"/>
          <w:sz w:val="20"/>
          <w:szCs w:val="20"/>
          <w:lang w:eastAsia="en-AU"/>
        </w:rPr>
        <w:t xml:space="preserve">the Reserve Bank of Australia’s (RBA) </w:t>
      </w:r>
      <w:r w:rsidR="001341A2" w:rsidRPr="001341A2">
        <w:rPr>
          <w:rFonts w:ascii="Verdana" w:eastAsia="Times New Roman" w:hAnsi="Verdana" w:cs="Arial"/>
          <w:i/>
          <w:sz w:val="20"/>
          <w:szCs w:val="20"/>
          <w:lang w:eastAsia="en-AU"/>
        </w:rPr>
        <w:t>Review of Card Payments Regulation</w:t>
      </w:r>
      <w:r w:rsidR="001341A2">
        <w:rPr>
          <w:rFonts w:ascii="Verdana" w:eastAsia="Times New Roman" w:hAnsi="Verdana" w:cs="Arial"/>
          <w:sz w:val="20"/>
          <w:szCs w:val="20"/>
          <w:lang w:eastAsia="en-AU"/>
        </w:rPr>
        <w:t xml:space="preserve"> Issues Paper.</w:t>
      </w:r>
    </w:p>
    <w:p w:rsidR="00C002D4" w:rsidRPr="00C002D4" w:rsidRDefault="00C002D4" w:rsidP="00C002D4">
      <w:pPr>
        <w:spacing w:after="0"/>
        <w:rPr>
          <w:rFonts w:ascii="Verdana" w:eastAsia="Times New Roman" w:hAnsi="Verdana" w:cs="Arial"/>
          <w:sz w:val="20"/>
          <w:szCs w:val="20"/>
          <w:lang w:eastAsia="en-AU"/>
        </w:rPr>
      </w:pPr>
    </w:p>
    <w:p w:rsidR="00C002D4" w:rsidRPr="00C002D4" w:rsidRDefault="00C002D4" w:rsidP="00C002D4">
      <w:pPr>
        <w:spacing w:after="0"/>
        <w:rPr>
          <w:rFonts w:ascii="Verdana" w:eastAsia="Times New Roman" w:hAnsi="Verdana" w:cs="Arial"/>
          <w:sz w:val="20"/>
          <w:szCs w:val="20"/>
          <w:lang w:eastAsia="en-AU"/>
        </w:rPr>
      </w:pPr>
      <w:r w:rsidRPr="00C002D4">
        <w:rPr>
          <w:rFonts w:ascii="Verdana" w:eastAsia="Times New Roman" w:hAnsi="Verdana" w:cs="Arial"/>
          <w:sz w:val="20"/>
          <w:szCs w:val="20"/>
          <w:lang w:eastAsia="en-AU"/>
        </w:rPr>
        <w:t xml:space="preserve">COBA is the industry association for Australia’s customer-owned banking institutions, representing 72 credit unions, 11 mutual banks and 6 mutual building societies. Collectively, customer-owned banking institutions have total assets of some $92 billion and serve 4 million customers. </w:t>
      </w:r>
    </w:p>
    <w:p w:rsidR="00C002D4" w:rsidRPr="00C002D4" w:rsidRDefault="00C002D4" w:rsidP="00C002D4">
      <w:pPr>
        <w:spacing w:after="0"/>
        <w:rPr>
          <w:rFonts w:ascii="Verdana" w:eastAsia="Times New Roman" w:hAnsi="Verdana" w:cs="Arial"/>
          <w:sz w:val="20"/>
          <w:szCs w:val="20"/>
          <w:lang w:eastAsia="en-AU"/>
        </w:rPr>
      </w:pPr>
    </w:p>
    <w:p w:rsidR="000A0743" w:rsidRDefault="00C002D4" w:rsidP="000A0743">
      <w:pPr>
        <w:spacing w:after="0" w:line="240" w:lineRule="auto"/>
        <w:rPr>
          <w:rFonts w:ascii="Verdana" w:eastAsia="Times New Roman" w:hAnsi="Verdana" w:cs="Arial"/>
          <w:sz w:val="20"/>
          <w:szCs w:val="20"/>
          <w:lang w:eastAsia="en-AU"/>
        </w:rPr>
      </w:pPr>
      <w:r w:rsidRPr="00C002D4">
        <w:rPr>
          <w:rFonts w:ascii="Verdana" w:eastAsia="Times New Roman" w:hAnsi="Verdana" w:cs="Arial"/>
          <w:sz w:val="20"/>
          <w:szCs w:val="20"/>
          <w:lang w:eastAsia="en-AU"/>
        </w:rPr>
        <w:t xml:space="preserve">Customer-owned banking institutions provide the full range of retail banking services, including credit cards and debit cards, and are Authorised Deposit-Taking Institutions </w:t>
      </w:r>
      <w:r w:rsidR="00E40972">
        <w:rPr>
          <w:rFonts w:ascii="Verdana" w:eastAsia="Times New Roman" w:hAnsi="Verdana" w:cs="Arial"/>
          <w:sz w:val="20"/>
          <w:szCs w:val="20"/>
          <w:lang w:eastAsia="en-AU"/>
        </w:rPr>
        <w:t xml:space="preserve">(ADIs) </w:t>
      </w:r>
      <w:r w:rsidRPr="00C002D4">
        <w:rPr>
          <w:rFonts w:ascii="Verdana" w:eastAsia="Times New Roman" w:hAnsi="Verdana" w:cs="Arial"/>
          <w:sz w:val="20"/>
          <w:szCs w:val="20"/>
          <w:lang w:eastAsia="en-AU"/>
        </w:rPr>
        <w:t xml:space="preserve">regulated by </w:t>
      </w:r>
      <w:r w:rsidR="00E40972">
        <w:rPr>
          <w:rFonts w:ascii="Verdana" w:eastAsia="Times New Roman" w:hAnsi="Verdana" w:cs="Arial"/>
          <w:sz w:val="20"/>
          <w:szCs w:val="20"/>
          <w:lang w:eastAsia="en-AU"/>
        </w:rPr>
        <w:t>APRA</w:t>
      </w:r>
      <w:r w:rsidRPr="00C002D4">
        <w:rPr>
          <w:rFonts w:ascii="Verdana" w:eastAsia="Times New Roman" w:hAnsi="Verdana" w:cs="Arial"/>
          <w:sz w:val="20"/>
          <w:szCs w:val="20"/>
          <w:lang w:eastAsia="en-AU"/>
        </w:rPr>
        <w:t xml:space="preserve"> under the </w:t>
      </w:r>
      <w:r w:rsidRPr="00C002D4">
        <w:rPr>
          <w:rFonts w:ascii="Verdana" w:eastAsia="Times New Roman" w:hAnsi="Verdana" w:cs="Arial"/>
          <w:i/>
          <w:sz w:val="20"/>
          <w:szCs w:val="20"/>
          <w:lang w:eastAsia="en-AU"/>
        </w:rPr>
        <w:t>Banking Act 1959</w:t>
      </w:r>
      <w:r w:rsidRPr="00C002D4">
        <w:rPr>
          <w:rFonts w:ascii="Verdana" w:eastAsia="Times New Roman" w:hAnsi="Verdana" w:cs="Arial"/>
          <w:sz w:val="20"/>
          <w:szCs w:val="20"/>
          <w:lang w:eastAsia="en-AU"/>
        </w:rPr>
        <w:t xml:space="preserve">. </w:t>
      </w:r>
    </w:p>
    <w:p w:rsidR="000A0743" w:rsidRDefault="000A0743" w:rsidP="000A0743">
      <w:pPr>
        <w:spacing w:after="0" w:line="240" w:lineRule="auto"/>
        <w:rPr>
          <w:rFonts w:ascii="Verdana" w:eastAsia="Times New Roman" w:hAnsi="Verdana" w:cs="Arial"/>
          <w:sz w:val="20"/>
          <w:szCs w:val="20"/>
          <w:lang w:eastAsia="en-AU"/>
        </w:rPr>
      </w:pPr>
    </w:p>
    <w:p w:rsidR="00815894" w:rsidRDefault="000A0743" w:rsidP="00C002D4">
      <w:pPr>
        <w:spacing w:after="0"/>
        <w:rPr>
          <w:rFonts w:ascii="Verdana" w:eastAsia="Times New Roman" w:hAnsi="Verdana" w:cs="Arial"/>
          <w:sz w:val="20"/>
          <w:szCs w:val="20"/>
          <w:lang w:eastAsia="en-AU"/>
        </w:rPr>
      </w:pPr>
      <w:r>
        <w:rPr>
          <w:rFonts w:ascii="Verdana" w:hAnsi="Verdana"/>
          <w:sz w:val="20"/>
        </w:rPr>
        <w:t xml:space="preserve">COBA brings a card-issuer and card-holder perspective to debates on card payment regulation. </w:t>
      </w:r>
      <w:r>
        <w:rPr>
          <w:rFonts w:ascii="Verdana" w:eastAsia="Times New Roman" w:hAnsi="Verdana" w:cs="Arial"/>
          <w:sz w:val="20"/>
          <w:szCs w:val="20"/>
          <w:lang w:eastAsia="en-AU"/>
        </w:rPr>
        <w:t>COBA welcomes the RBA’s review of card payments regulation</w:t>
      </w:r>
      <w:r w:rsidR="0088503F">
        <w:rPr>
          <w:rFonts w:ascii="Verdana" w:eastAsia="Times New Roman" w:hAnsi="Verdana" w:cs="Arial"/>
          <w:sz w:val="20"/>
          <w:szCs w:val="20"/>
          <w:lang w:eastAsia="en-AU"/>
        </w:rPr>
        <w:t>. W</w:t>
      </w:r>
      <w:r>
        <w:rPr>
          <w:rFonts w:ascii="Verdana" w:eastAsia="Times New Roman" w:hAnsi="Verdana" w:cs="Arial"/>
          <w:sz w:val="20"/>
          <w:szCs w:val="20"/>
          <w:lang w:eastAsia="en-AU"/>
        </w:rPr>
        <w:t xml:space="preserve">e continue to support </w:t>
      </w:r>
      <w:r w:rsidR="00456916">
        <w:rPr>
          <w:rFonts w:ascii="Verdana" w:eastAsia="Times New Roman" w:hAnsi="Verdana" w:cs="Arial"/>
          <w:sz w:val="20"/>
          <w:szCs w:val="20"/>
          <w:lang w:eastAsia="en-AU"/>
        </w:rPr>
        <w:t xml:space="preserve">a framework that </w:t>
      </w:r>
      <w:r w:rsidR="00815894">
        <w:rPr>
          <w:rFonts w:ascii="Verdana" w:eastAsia="Times New Roman" w:hAnsi="Verdana" w:cs="Arial"/>
          <w:sz w:val="20"/>
          <w:szCs w:val="20"/>
          <w:lang w:eastAsia="en-AU"/>
        </w:rPr>
        <w:t>enables card issuers to recover costs for services that benefit merchants.</w:t>
      </w:r>
    </w:p>
    <w:p w:rsidR="00456916" w:rsidRPr="004C7543" w:rsidRDefault="00456916" w:rsidP="00C002D4">
      <w:pPr>
        <w:spacing w:after="0"/>
        <w:rPr>
          <w:rFonts w:ascii="Verdana" w:eastAsia="Times New Roman" w:hAnsi="Verdana" w:cs="Arial"/>
          <w:sz w:val="20"/>
          <w:szCs w:val="20"/>
          <w:lang w:eastAsia="en-AU"/>
        </w:rPr>
      </w:pPr>
    </w:p>
    <w:p w:rsidR="00AA6C83" w:rsidRDefault="00AA6C83" w:rsidP="00AA6C83">
      <w:pPr>
        <w:spacing w:after="0"/>
        <w:rPr>
          <w:rFonts w:ascii="Verdana" w:eastAsia="Times New Roman" w:hAnsi="Verdana" w:cs="Arial"/>
          <w:sz w:val="20"/>
          <w:szCs w:val="23"/>
          <w:lang w:eastAsia="en-AU"/>
        </w:rPr>
      </w:pPr>
      <w:r w:rsidRPr="00AA6C83">
        <w:rPr>
          <w:rFonts w:ascii="Verdana" w:eastAsia="Times New Roman" w:hAnsi="Verdana" w:cs="Arial"/>
          <w:sz w:val="20"/>
          <w:szCs w:val="23"/>
          <w:lang w:eastAsia="en-AU"/>
        </w:rPr>
        <w:t>Customer-owned banking is distinguished by:</w:t>
      </w:r>
    </w:p>
    <w:p w:rsidR="00AA6C83" w:rsidRPr="00AA6C83" w:rsidRDefault="00AA6C83" w:rsidP="00AA6C83">
      <w:pPr>
        <w:pStyle w:val="ListParagraph"/>
        <w:numPr>
          <w:ilvl w:val="0"/>
          <w:numId w:val="5"/>
        </w:numPr>
        <w:spacing w:after="0"/>
        <w:rPr>
          <w:rFonts w:ascii="Verdana" w:eastAsia="Times New Roman" w:hAnsi="Verdana" w:cs="Arial"/>
          <w:sz w:val="20"/>
          <w:szCs w:val="23"/>
          <w:lang w:eastAsia="en-AU"/>
        </w:rPr>
      </w:pPr>
      <w:r>
        <w:rPr>
          <w:rFonts w:ascii="Verdana" w:eastAsia="Times New Roman" w:hAnsi="Verdana" w:cs="Arial"/>
          <w:sz w:val="20"/>
          <w:szCs w:val="23"/>
          <w:lang w:eastAsia="en-AU"/>
        </w:rPr>
        <w:t>p</w:t>
      </w:r>
      <w:r w:rsidRPr="00AA6C83">
        <w:rPr>
          <w:rFonts w:ascii="Verdana" w:eastAsia="Times New Roman" w:hAnsi="Verdana" w:cs="Arial"/>
          <w:sz w:val="20"/>
          <w:szCs w:val="23"/>
          <w:lang w:eastAsia="en-AU"/>
        </w:rPr>
        <w:t>rioritising customer benefit over profit maximisation;</w:t>
      </w:r>
    </w:p>
    <w:p w:rsidR="00AA6C83" w:rsidRPr="00AA6C83" w:rsidRDefault="00AA6C83" w:rsidP="00AA6C83">
      <w:pPr>
        <w:pStyle w:val="ListParagraph"/>
        <w:numPr>
          <w:ilvl w:val="0"/>
          <w:numId w:val="5"/>
        </w:numPr>
        <w:spacing w:after="0"/>
        <w:rPr>
          <w:rFonts w:ascii="Verdana" w:eastAsia="Times New Roman" w:hAnsi="Verdana" w:cs="Arial"/>
          <w:sz w:val="20"/>
          <w:szCs w:val="23"/>
          <w:lang w:eastAsia="en-AU"/>
        </w:rPr>
      </w:pPr>
      <w:r>
        <w:rPr>
          <w:rFonts w:ascii="Verdana" w:eastAsia="Times New Roman" w:hAnsi="Verdana" w:cs="Arial"/>
          <w:sz w:val="20"/>
          <w:szCs w:val="23"/>
          <w:lang w:eastAsia="en-AU"/>
        </w:rPr>
        <w:t>c</w:t>
      </w:r>
      <w:r w:rsidRPr="00AA6C83">
        <w:rPr>
          <w:rFonts w:ascii="Verdana" w:eastAsia="Times New Roman" w:hAnsi="Verdana" w:cs="Arial"/>
          <w:sz w:val="20"/>
          <w:szCs w:val="23"/>
          <w:lang w:eastAsia="en-AU"/>
        </w:rPr>
        <w:t>onservative business models and prudent risk management; and</w:t>
      </w:r>
    </w:p>
    <w:p w:rsidR="00AA6C83" w:rsidRPr="00AA6C83" w:rsidRDefault="00AA6C83" w:rsidP="00AA6C83">
      <w:pPr>
        <w:pStyle w:val="ListParagraph"/>
        <w:numPr>
          <w:ilvl w:val="0"/>
          <w:numId w:val="5"/>
        </w:numPr>
        <w:spacing w:after="0"/>
        <w:rPr>
          <w:rFonts w:ascii="Verdana" w:hAnsi="Verdana"/>
          <w:sz w:val="20"/>
        </w:rPr>
      </w:pPr>
      <w:proofErr w:type="gramStart"/>
      <w:r>
        <w:rPr>
          <w:rFonts w:ascii="Verdana" w:eastAsia="Times New Roman" w:hAnsi="Verdana" w:cs="Arial"/>
          <w:sz w:val="20"/>
          <w:szCs w:val="23"/>
          <w:lang w:eastAsia="en-AU"/>
        </w:rPr>
        <w:t>d</w:t>
      </w:r>
      <w:r w:rsidRPr="00AA6C83">
        <w:rPr>
          <w:rFonts w:ascii="Verdana" w:eastAsia="Times New Roman" w:hAnsi="Verdana" w:cs="Arial"/>
          <w:sz w:val="20"/>
          <w:szCs w:val="23"/>
          <w:lang w:eastAsia="en-AU"/>
        </w:rPr>
        <w:t>eep</w:t>
      </w:r>
      <w:proofErr w:type="gramEnd"/>
      <w:r w:rsidRPr="00AA6C83">
        <w:rPr>
          <w:rFonts w:ascii="Verdana" w:eastAsia="Times New Roman" w:hAnsi="Verdana" w:cs="Arial"/>
          <w:sz w:val="20"/>
          <w:szCs w:val="23"/>
          <w:lang w:eastAsia="en-AU"/>
        </w:rPr>
        <w:t xml:space="preserve"> community engagement and strong customer loyalty.</w:t>
      </w:r>
    </w:p>
    <w:p w:rsidR="002A1025" w:rsidRDefault="002A1025" w:rsidP="003E26C6">
      <w:pPr>
        <w:spacing w:after="0" w:line="240" w:lineRule="auto"/>
        <w:rPr>
          <w:rFonts w:ascii="Verdana" w:hAnsi="Verdana"/>
          <w:sz w:val="20"/>
        </w:rPr>
      </w:pPr>
    </w:p>
    <w:p w:rsidR="00456916" w:rsidRDefault="00504316" w:rsidP="003E26C6">
      <w:pPr>
        <w:spacing w:after="0" w:line="240" w:lineRule="auto"/>
        <w:rPr>
          <w:rFonts w:ascii="Verdana" w:hAnsi="Verdana"/>
          <w:sz w:val="20"/>
        </w:rPr>
      </w:pPr>
      <w:r>
        <w:rPr>
          <w:rFonts w:ascii="Verdana" w:hAnsi="Verdana"/>
          <w:sz w:val="20"/>
        </w:rPr>
        <w:t>G</w:t>
      </w:r>
      <w:r w:rsidR="003E26C6">
        <w:rPr>
          <w:rFonts w:ascii="Verdana" w:hAnsi="Verdana"/>
          <w:sz w:val="20"/>
        </w:rPr>
        <w:t>iven the</w:t>
      </w:r>
      <w:r w:rsidR="002A1025">
        <w:rPr>
          <w:rFonts w:ascii="Verdana" w:hAnsi="Verdana"/>
          <w:sz w:val="20"/>
        </w:rPr>
        <w:t>ir</w:t>
      </w:r>
      <w:r w:rsidR="00A709E0">
        <w:rPr>
          <w:rFonts w:ascii="Verdana" w:hAnsi="Verdana"/>
          <w:sz w:val="20"/>
        </w:rPr>
        <w:t xml:space="preserve"> smaller customer-</w:t>
      </w:r>
      <w:r w:rsidR="003E26C6">
        <w:rPr>
          <w:rFonts w:ascii="Verdana" w:hAnsi="Verdana"/>
          <w:sz w:val="20"/>
        </w:rPr>
        <w:t>base</w:t>
      </w:r>
      <w:r w:rsidR="00456916">
        <w:rPr>
          <w:rFonts w:ascii="Verdana" w:hAnsi="Verdana"/>
          <w:sz w:val="20"/>
        </w:rPr>
        <w:t xml:space="preserve"> relative to the major banks</w:t>
      </w:r>
      <w:r w:rsidR="002A1025">
        <w:rPr>
          <w:rFonts w:ascii="Verdana" w:hAnsi="Verdana"/>
          <w:sz w:val="20"/>
        </w:rPr>
        <w:t xml:space="preserve">, conservative lending criteria and the </w:t>
      </w:r>
      <w:r w:rsidR="00AA6C83">
        <w:rPr>
          <w:rFonts w:ascii="Verdana" w:hAnsi="Verdana"/>
          <w:sz w:val="20"/>
        </w:rPr>
        <w:t xml:space="preserve">significant </w:t>
      </w:r>
      <w:r w:rsidR="002A1025">
        <w:rPr>
          <w:rFonts w:ascii="Verdana" w:hAnsi="Verdana"/>
          <w:sz w:val="20"/>
        </w:rPr>
        <w:t xml:space="preserve">cost of offering multiple scheme cards, the majority of customer-owned banking institutions offer </w:t>
      </w:r>
      <w:r w:rsidR="006F573C">
        <w:rPr>
          <w:rFonts w:ascii="Verdana" w:hAnsi="Verdana"/>
          <w:sz w:val="20"/>
        </w:rPr>
        <w:t xml:space="preserve">highly competitive low-rate </w:t>
      </w:r>
      <w:r w:rsidR="002A1025">
        <w:rPr>
          <w:rFonts w:ascii="Verdana" w:hAnsi="Verdana"/>
          <w:sz w:val="20"/>
        </w:rPr>
        <w:t>credit cards.</w:t>
      </w:r>
      <w:r w:rsidR="00456916">
        <w:rPr>
          <w:rFonts w:ascii="Verdana" w:hAnsi="Verdana"/>
          <w:sz w:val="20"/>
        </w:rPr>
        <w:t xml:space="preserve"> </w:t>
      </w:r>
    </w:p>
    <w:p w:rsidR="00515DB2" w:rsidRDefault="00515DB2" w:rsidP="003E26C6">
      <w:pPr>
        <w:spacing w:after="0" w:line="240" w:lineRule="auto"/>
        <w:rPr>
          <w:rFonts w:ascii="Verdana" w:hAnsi="Verdana"/>
          <w:sz w:val="20"/>
        </w:rPr>
      </w:pPr>
    </w:p>
    <w:p w:rsidR="00E40705" w:rsidRDefault="00456916" w:rsidP="00492CB1">
      <w:pPr>
        <w:spacing w:after="0"/>
        <w:rPr>
          <w:rFonts w:ascii="Verdana" w:hAnsi="Verdana"/>
          <w:sz w:val="20"/>
        </w:rPr>
      </w:pPr>
      <w:r w:rsidRPr="00456916">
        <w:rPr>
          <w:rFonts w:ascii="Verdana" w:hAnsi="Verdana"/>
          <w:sz w:val="20"/>
          <w:lang w:eastAsia="en-AU"/>
        </w:rPr>
        <w:t>The</w:t>
      </w:r>
      <w:r>
        <w:rPr>
          <w:rFonts w:ascii="Verdana" w:hAnsi="Verdana"/>
          <w:sz w:val="20"/>
          <w:lang w:eastAsia="en-AU"/>
        </w:rPr>
        <w:t xml:space="preserve"> </w:t>
      </w:r>
      <w:r w:rsidRPr="00456916">
        <w:rPr>
          <w:rFonts w:ascii="Verdana" w:hAnsi="Verdana"/>
          <w:sz w:val="20"/>
          <w:lang w:eastAsia="en-AU"/>
        </w:rPr>
        <w:t xml:space="preserve">sector’s singular focus on its customers is demonstrated by </w:t>
      </w:r>
      <w:r>
        <w:rPr>
          <w:rFonts w:ascii="Verdana" w:hAnsi="Verdana"/>
          <w:sz w:val="20"/>
        </w:rPr>
        <w:t xml:space="preserve">its </w:t>
      </w:r>
      <w:r w:rsidR="003E26C6">
        <w:rPr>
          <w:rFonts w:ascii="Verdana" w:hAnsi="Verdana"/>
          <w:sz w:val="20"/>
        </w:rPr>
        <w:t>market leading average credit card interest r</w:t>
      </w:r>
      <w:r>
        <w:rPr>
          <w:rFonts w:ascii="Verdana" w:hAnsi="Verdana"/>
          <w:sz w:val="20"/>
        </w:rPr>
        <w:t>ate for standard cards of 12.9%</w:t>
      </w:r>
      <w:r w:rsidR="003E26C6">
        <w:rPr>
          <w:rFonts w:ascii="Verdana" w:hAnsi="Verdana"/>
          <w:sz w:val="20"/>
        </w:rPr>
        <w:t xml:space="preserve"> compared to 18.1% for the major banks (excluding subsidiaries).</w:t>
      </w:r>
      <w:r w:rsidR="003E26C6">
        <w:rPr>
          <w:rStyle w:val="FootnoteReference"/>
          <w:rFonts w:ascii="Verdana" w:hAnsi="Verdana"/>
          <w:sz w:val="20"/>
        </w:rPr>
        <w:footnoteReference w:id="1"/>
      </w:r>
      <w:r w:rsidR="00492CB1">
        <w:rPr>
          <w:rFonts w:ascii="Verdana" w:hAnsi="Verdana"/>
          <w:sz w:val="20"/>
        </w:rPr>
        <w:t xml:space="preserve"> </w:t>
      </w:r>
    </w:p>
    <w:p w:rsidR="00E40705" w:rsidRDefault="00E40705" w:rsidP="00492CB1">
      <w:pPr>
        <w:spacing w:after="0"/>
        <w:rPr>
          <w:rFonts w:ascii="Verdana" w:hAnsi="Verdana"/>
          <w:sz w:val="20"/>
        </w:rPr>
      </w:pPr>
    </w:p>
    <w:p w:rsidR="00515DB2" w:rsidRPr="00515DB2" w:rsidRDefault="00492CB1" w:rsidP="00492CB1">
      <w:pPr>
        <w:spacing w:after="0"/>
        <w:rPr>
          <w:rFonts w:ascii="Verdana" w:hAnsi="Verdana"/>
          <w:sz w:val="20"/>
          <w:szCs w:val="20"/>
        </w:rPr>
      </w:pPr>
      <w:r>
        <w:rPr>
          <w:rFonts w:ascii="Verdana" w:hAnsi="Verdana"/>
          <w:sz w:val="20"/>
          <w:szCs w:val="20"/>
        </w:rPr>
        <w:lastRenderedPageBreak/>
        <w:t xml:space="preserve">The </w:t>
      </w:r>
      <w:proofErr w:type="spellStart"/>
      <w:r w:rsidR="00515DB2" w:rsidRPr="00515DB2">
        <w:rPr>
          <w:rFonts w:ascii="Verdana" w:hAnsi="Verdana"/>
          <w:sz w:val="20"/>
          <w:szCs w:val="20"/>
        </w:rPr>
        <w:t>Canstar</w:t>
      </w:r>
      <w:proofErr w:type="spellEnd"/>
      <w:r w:rsidR="00515DB2" w:rsidRPr="00515DB2">
        <w:rPr>
          <w:rFonts w:ascii="Verdana" w:hAnsi="Verdana"/>
          <w:sz w:val="20"/>
          <w:szCs w:val="20"/>
        </w:rPr>
        <w:t xml:space="preserve"> Online Database </w:t>
      </w:r>
      <w:r>
        <w:rPr>
          <w:rFonts w:ascii="Verdana" w:hAnsi="Verdana"/>
          <w:sz w:val="20"/>
          <w:szCs w:val="20"/>
        </w:rPr>
        <w:t xml:space="preserve">also </w:t>
      </w:r>
      <w:r w:rsidR="00E40705">
        <w:rPr>
          <w:rFonts w:ascii="Verdana" w:hAnsi="Verdana"/>
          <w:sz w:val="20"/>
          <w:szCs w:val="20"/>
        </w:rPr>
        <w:t xml:space="preserve">shows </w:t>
      </w:r>
      <w:r w:rsidR="00515DB2" w:rsidRPr="00515DB2">
        <w:rPr>
          <w:rFonts w:ascii="Verdana" w:hAnsi="Verdana"/>
          <w:sz w:val="20"/>
          <w:szCs w:val="20"/>
        </w:rPr>
        <w:t xml:space="preserve">that of the 193 personal credit cards </w:t>
      </w:r>
      <w:r w:rsidR="00515DB2">
        <w:rPr>
          <w:rFonts w:ascii="Verdana" w:hAnsi="Verdana"/>
          <w:sz w:val="20"/>
          <w:szCs w:val="20"/>
        </w:rPr>
        <w:t xml:space="preserve">subject to analysis, and </w:t>
      </w:r>
      <w:r w:rsidR="00515DB2" w:rsidRPr="00515DB2">
        <w:rPr>
          <w:rFonts w:ascii="Verdana" w:hAnsi="Verdana"/>
          <w:sz w:val="20"/>
          <w:szCs w:val="20"/>
        </w:rPr>
        <w:t xml:space="preserve">excluding bonus or introductory rates, 19 of the 20 lowest rate personal credit cards on the market </w:t>
      </w:r>
      <w:r w:rsidR="00E40705">
        <w:rPr>
          <w:rFonts w:ascii="Verdana" w:hAnsi="Verdana"/>
          <w:sz w:val="20"/>
          <w:szCs w:val="20"/>
        </w:rPr>
        <w:t>are</w:t>
      </w:r>
      <w:r w:rsidR="002A7760">
        <w:rPr>
          <w:rFonts w:ascii="Verdana" w:hAnsi="Verdana"/>
          <w:sz w:val="20"/>
          <w:szCs w:val="20"/>
        </w:rPr>
        <w:t xml:space="preserve"> </w:t>
      </w:r>
      <w:r w:rsidR="00515DB2" w:rsidRPr="00515DB2">
        <w:rPr>
          <w:rFonts w:ascii="Verdana" w:hAnsi="Verdana"/>
          <w:sz w:val="20"/>
          <w:szCs w:val="20"/>
        </w:rPr>
        <w:t xml:space="preserve">offered by </w:t>
      </w:r>
      <w:r w:rsidR="00515DB2">
        <w:rPr>
          <w:rFonts w:ascii="Verdana" w:hAnsi="Verdana"/>
          <w:sz w:val="20"/>
          <w:szCs w:val="20"/>
        </w:rPr>
        <w:t>customer-owned banking institutions.</w:t>
      </w:r>
      <w:r>
        <w:rPr>
          <w:rStyle w:val="FootnoteReference"/>
          <w:rFonts w:ascii="Verdana" w:hAnsi="Verdana"/>
          <w:sz w:val="20"/>
          <w:szCs w:val="20"/>
        </w:rPr>
        <w:footnoteReference w:id="2"/>
      </w:r>
    </w:p>
    <w:p w:rsidR="00515DB2" w:rsidRPr="00515DB2" w:rsidRDefault="00515DB2" w:rsidP="00515DB2">
      <w:pPr>
        <w:spacing w:after="0"/>
        <w:rPr>
          <w:rFonts w:ascii="Verdana" w:hAnsi="Verdana"/>
          <w:sz w:val="20"/>
          <w:szCs w:val="20"/>
        </w:rPr>
      </w:pPr>
    </w:p>
    <w:p w:rsidR="00E46252" w:rsidRPr="00E46252" w:rsidRDefault="00E46252" w:rsidP="00C002D4">
      <w:pPr>
        <w:spacing w:after="0"/>
        <w:rPr>
          <w:rFonts w:ascii="Verdana" w:hAnsi="Verdana"/>
          <w:b/>
          <w:sz w:val="20"/>
          <w:szCs w:val="20"/>
        </w:rPr>
      </w:pPr>
      <w:proofErr w:type="gramStart"/>
      <w:r w:rsidRPr="00E46252">
        <w:rPr>
          <w:rFonts w:ascii="Verdana" w:hAnsi="Verdana"/>
          <w:b/>
          <w:sz w:val="20"/>
          <w:szCs w:val="20"/>
        </w:rPr>
        <w:t xml:space="preserve">Case for </w:t>
      </w:r>
      <w:r w:rsidR="00E47ACF">
        <w:rPr>
          <w:rFonts w:ascii="Verdana" w:hAnsi="Verdana"/>
          <w:b/>
          <w:sz w:val="20"/>
          <w:szCs w:val="20"/>
        </w:rPr>
        <w:t>regulatory reform</w:t>
      </w:r>
      <w:r w:rsidRPr="00E46252">
        <w:rPr>
          <w:rFonts w:ascii="Verdana" w:hAnsi="Verdana"/>
          <w:b/>
          <w:sz w:val="20"/>
          <w:szCs w:val="20"/>
        </w:rPr>
        <w:t>?</w:t>
      </w:r>
      <w:proofErr w:type="gramEnd"/>
    </w:p>
    <w:p w:rsidR="00E46252" w:rsidRDefault="0035314A" w:rsidP="00E46252">
      <w:pPr>
        <w:spacing w:after="0" w:line="240" w:lineRule="auto"/>
        <w:rPr>
          <w:rFonts w:ascii="Verdana" w:hAnsi="Verdana"/>
          <w:sz w:val="20"/>
          <w:szCs w:val="20"/>
        </w:rPr>
      </w:pPr>
      <w:r>
        <w:rPr>
          <w:rFonts w:ascii="Verdana" w:hAnsi="Verdana"/>
          <w:sz w:val="20"/>
          <w:szCs w:val="20"/>
        </w:rPr>
        <w:t xml:space="preserve">COBA notes </w:t>
      </w:r>
      <w:r w:rsidR="00E46252">
        <w:rPr>
          <w:rFonts w:ascii="Verdana" w:hAnsi="Verdana"/>
          <w:sz w:val="20"/>
        </w:rPr>
        <w:t>the RBA’s observation that “Australia now has a relatively low cost payments system by international standards</w:t>
      </w:r>
      <w:r w:rsidR="00E46252" w:rsidRPr="004C7543">
        <w:rPr>
          <w:rFonts w:ascii="Verdana" w:hAnsi="Verdana"/>
          <w:sz w:val="20"/>
          <w:szCs w:val="20"/>
        </w:rPr>
        <w:t xml:space="preserve">.” </w:t>
      </w:r>
    </w:p>
    <w:p w:rsidR="00815894" w:rsidRDefault="00815894" w:rsidP="00E46252">
      <w:pPr>
        <w:spacing w:after="0" w:line="240" w:lineRule="auto"/>
        <w:rPr>
          <w:rFonts w:ascii="Verdana" w:hAnsi="Verdana"/>
          <w:sz w:val="20"/>
          <w:szCs w:val="20"/>
        </w:rPr>
      </w:pPr>
    </w:p>
    <w:p w:rsidR="00815894" w:rsidRDefault="00815894" w:rsidP="00E46252">
      <w:pPr>
        <w:spacing w:after="0" w:line="240" w:lineRule="auto"/>
        <w:rPr>
          <w:rFonts w:ascii="Verdana" w:hAnsi="Verdana"/>
          <w:sz w:val="20"/>
          <w:szCs w:val="20"/>
        </w:rPr>
      </w:pPr>
      <w:r>
        <w:rPr>
          <w:rFonts w:ascii="Verdana" w:hAnsi="Verdana"/>
          <w:sz w:val="20"/>
          <w:szCs w:val="20"/>
        </w:rPr>
        <w:t xml:space="preserve">However, there appears to be a case for some </w:t>
      </w:r>
      <w:r w:rsidR="007637AB">
        <w:rPr>
          <w:rFonts w:ascii="Verdana" w:hAnsi="Verdana"/>
          <w:sz w:val="20"/>
          <w:szCs w:val="20"/>
        </w:rPr>
        <w:t xml:space="preserve">modest </w:t>
      </w:r>
      <w:r>
        <w:rPr>
          <w:rFonts w:ascii="Verdana" w:hAnsi="Verdana"/>
          <w:sz w:val="20"/>
          <w:szCs w:val="20"/>
        </w:rPr>
        <w:t>amendments to the regulatory framework to address the negative impact on small merchants of some interchange fee trends. There is also a case for some further adjustment of the surcharging framework.</w:t>
      </w:r>
    </w:p>
    <w:p w:rsidR="00E46252" w:rsidRDefault="00E46252" w:rsidP="00E46252">
      <w:pPr>
        <w:spacing w:after="0" w:line="240" w:lineRule="auto"/>
        <w:rPr>
          <w:rFonts w:ascii="Verdana" w:hAnsi="Verdana"/>
          <w:sz w:val="20"/>
          <w:szCs w:val="20"/>
        </w:rPr>
      </w:pPr>
    </w:p>
    <w:p w:rsidR="00410E1C" w:rsidRDefault="00815894" w:rsidP="00C002D4">
      <w:pPr>
        <w:spacing w:after="0"/>
        <w:rPr>
          <w:rFonts w:ascii="Verdana" w:hAnsi="Verdana"/>
          <w:sz w:val="20"/>
          <w:szCs w:val="20"/>
        </w:rPr>
      </w:pPr>
      <w:r>
        <w:rPr>
          <w:rFonts w:ascii="Verdana" w:hAnsi="Verdana"/>
          <w:sz w:val="20"/>
          <w:szCs w:val="20"/>
        </w:rPr>
        <w:t>Any changes should be limited, with due consideration to avoid</w:t>
      </w:r>
      <w:r w:rsidR="00410E1C" w:rsidRPr="001B2AA8">
        <w:rPr>
          <w:rFonts w:ascii="Verdana" w:hAnsi="Verdana"/>
          <w:sz w:val="20"/>
          <w:szCs w:val="20"/>
        </w:rPr>
        <w:t xml:space="preserve"> complexity, unnecessary cost, unintended consequences, confusion for consumers, </w:t>
      </w:r>
      <w:r w:rsidR="00832F46">
        <w:rPr>
          <w:rFonts w:ascii="Verdana" w:hAnsi="Verdana"/>
          <w:sz w:val="20"/>
          <w:szCs w:val="20"/>
        </w:rPr>
        <w:t xml:space="preserve">and </w:t>
      </w:r>
      <w:r w:rsidR="00410E1C" w:rsidRPr="001B2AA8">
        <w:rPr>
          <w:rFonts w:ascii="Verdana" w:hAnsi="Verdana"/>
          <w:sz w:val="20"/>
          <w:szCs w:val="20"/>
        </w:rPr>
        <w:t>high</w:t>
      </w:r>
      <w:r w:rsidR="000C34CC">
        <w:rPr>
          <w:rFonts w:ascii="Verdana" w:hAnsi="Verdana"/>
          <w:sz w:val="20"/>
          <w:szCs w:val="20"/>
        </w:rPr>
        <w:t>er</w:t>
      </w:r>
      <w:r w:rsidR="00410E1C" w:rsidRPr="001B2AA8">
        <w:rPr>
          <w:rFonts w:ascii="Verdana" w:hAnsi="Verdana"/>
          <w:sz w:val="20"/>
          <w:szCs w:val="20"/>
        </w:rPr>
        <w:t xml:space="preserve"> costs for issuers of low-cost, low-rate credit cards</w:t>
      </w:r>
      <w:r w:rsidR="00832F46">
        <w:rPr>
          <w:rFonts w:ascii="Verdana" w:hAnsi="Verdana"/>
          <w:sz w:val="20"/>
          <w:szCs w:val="20"/>
        </w:rPr>
        <w:t xml:space="preserve"> and their customers.</w:t>
      </w:r>
    </w:p>
    <w:p w:rsidR="00410E1C" w:rsidRDefault="00410E1C" w:rsidP="00C002D4">
      <w:pPr>
        <w:spacing w:after="0"/>
        <w:rPr>
          <w:rFonts w:ascii="Verdana" w:hAnsi="Verdana"/>
          <w:sz w:val="20"/>
          <w:szCs w:val="20"/>
        </w:rPr>
      </w:pPr>
    </w:p>
    <w:p w:rsidR="00E27CA7" w:rsidRDefault="006F573C" w:rsidP="00C002D4">
      <w:pPr>
        <w:spacing w:after="0"/>
        <w:rPr>
          <w:rFonts w:ascii="Verdana" w:hAnsi="Verdana"/>
          <w:b/>
          <w:sz w:val="20"/>
          <w:szCs w:val="20"/>
        </w:rPr>
      </w:pPr>
      <w:r w:rsidRPr="006F573C">
        <w:rPr>
          <w:rFonts w:ascii="Verdana" w:hAnsi="Verdana"/>
          <w:b/>
          <w:sz w:val="20"/>
          <w:szCs w:val="20"/>
        </w:rPr>
        <w:t>Recommendations</w:t>
      </w:r>
    </w:p>
    <w:p w:rsidR="006F573C" w:rsidRDefault="005B3850" w:rsidP="00C002D4">
      <w:pPr>
        <w:spacing w:after="0"/>
        <w:rPr>
          <w:rFonts w:ascii="Verdana" w:hAnsi="Verdana"/>
          <w:sz w:val="20"/>
          <w:szCs w:val="20"/>
        </w:rPr>
      </w:pPr>
      <w:r>
        <w:rPr>
          <w:rFonts w:ascii="Verdana" w:hAnsi="Verdana"/>
          <w:sz w:val="20"/>
          <w:szCs w:val="20"/>
        </w:rPr>
        <w:t xml:space="preserve">COBA </w:t>
      </w:r>
      <w:r w:rsidR="00CD227D">
        <w:rPr>
          <w:rFonts w:ascii="Verdana" w:hAnsi="Verdana"/>
          <w:sz w:val="20"/>
          <w:szCs w:val="20"/>
        </w:rPr>
        <w:t>supports further consideration of the following proposals</w:t>
      </w:r>
      <w:r>
        <w:rPr>
          <w:rFonts w:ascii="Verdana" w:hAnsi="Verdana"/>
          <w:sz w:val="20"/>
          <w:szCs w:val="20"/>
        </w:rPr>
        <w:t>:</w:t>
      </w:r>
    </w:p>
    <w:p w:rsidR="005B3850" w:rsidRDefault="0076747D" w:rsidP="00CA15A9">
      <w:pPr>
        <w:pStyle w:val="ListParagraph"/>
        <w:numPr>
          <w:ilvl w:val="0"/>
          <w:numId w:val="8"/>
        </w:numPr>
        <w:spacing w:after="0"/>
        <w:rPr>
          <w:rFonts w:ascii="Verdana" w:hAnsi="Verdana"/>
          <w:sz w:val="20"/>
          <w:szCs w:val="20"/>
        </w:rPr>
      </w:pPr>
      <w:r>
        <w:rPr>
          <w:rFonts w:ascii="Verdana" w:hAnsi="Verdana"/>
          <w:sz w:val="20"/>
          <w:szCs w:val="20"/>
        </w:rPr>
        <w:t xml:space="preserve">the </w:t>
      </w:r>
      <w:r w:rsidR="005B3850" w:rsidRPr="00CA15A9">
        <w:rPr>
          <w:rFonts w:ascii="Verdana" w:hAnsi="Verdana"/>
          <w:sz w:val="20"/>
          <w:szCs w:val="20"/>
        </w:rPr>
        <w:t xml:space="preserve">weighted average interchange benchmark </w:t>
      </w:r>
      <w:r w:rsidR="00832F46">
        <w:rPr>
          <w:rFonts w:ascii="Verdana" w:hAnsi="Verdana"/>
          <w:sz w:val="20"/>
          <w:szCs w:val="20"/>
        </w:rPr>
        <w:t>be retained but subject to</w:t>
      </w:r>
      <w:r w:rsidR="00A709E0">
        <w:rPr>
          <w:rFonts w:ascii="Verdana" w:hAnsi="Verdana"/>
          <w:sz w:val="20"/>
          <w:szCs w:val="20"/>
        </w:rPr>
        <w:t xml:space="preserve"> </w:t>
      </w:r>
      <w:r w:rsidR="005B3850" w:rsidRPr="00CA15A9">
        <w:rPr>
          <w:rFonts w:ascii="Verdana" w:hAnsi="Verdana"/>
          <w:sz w:val="20"/>
          <w:szCs w:val="20"/>
        </w:rPr>
        <w:t>annual review;</w:t>
      </w:r>
    </w:p>
    <w:p w:rsidR="0076747D" w:rsidRDefault="00CA15A9" w:rsidP="0076747D">
      <w:pPr>
        <w:pStyle w:val="ListParagraph"/>
        <w:numPr>
          <w:ilvl w:val="0"/>
          <w:numId w:val="8"/>
        </w:numPr>
        <w:spacing w:after="0"/>
        <w:rPr>
          <w:rFonts w:ascii="Verdana" w:hAnsi="Verdana"/>
          <w:sz w:val="20"/>
          <w:szCs w:val="20"/>
        </w:rPr>
      </w:pPr>
      <w:r>
        <w:rPr>
          <w:rFonts w:ascii="Verdana" w:hAnsi="Verdana"/>
          <w:sz w:val="20"/>
          <w:szCs w:val="20"/>
        </w:rPr>
        <w:t xml:space="preserve">a cap on the highest individual </w:t>
      </w:r>
      <w:r w:rsidR="00CD227D">
        <w:rPr>
          <w:rFonts w:ascii="Verdana" w:hAnsi="Verdana"/>
          <w:sz w:val="20"/>
          <w:szCs w:val="20"/>
        </w:rPr>
        <w:t xml:space="preserve">interchange </w:t>
      </w:r>
      <w:r>
        <w:rPr>
          <w:rFonts w:ascii="Verdana" w:hAnsi="Verdana"/>
          <w:sz w:val="20"/>
          <w:szCs w:val="20"/>
        </w:rPr>
        <w:t xml:space="preserve">fee rate that a scheme could offer, as well as a possible limit on the number of categories of interchange fees; </w:t>
      </w:r>
    </w:p>
    <w:p w:rsidR="00E47ACF" w:rsidRPr="000843E7" w:rsidRDefault="00E47ACF" w:rsidP="00CA15A9">
      <w:pPr>
        <w:pStyle w:val="ListParagraph"/>
        <w:numPr>
          <w:ilvl w:val="0"/>
          <w:numId w:val="8"/>
        </w:numPr>
        <w:spacing w:after="0"/>
        <w:rPr>
          <w:rFonts w:ascii="Verdana" w:hAnsi="Verdana"/>
          <w:sz w:val="18"/>
          <w:szCs w:val="20"/>
        </w:rPr>
      </w:pPr>
      <w:r>
        <w:rPr>
          <w:rFonts w:ascii="Verdana" w:hAnsi="Verdana"/>
          <w:sz w:val="20"/>
          <w:szCs w:val="20"/>
        </w:rPr>
        <w:t xml:space="preserve">prepaid cards be formally included within the Standard on interchange fees </w:t>
      </w:r>
      <w:r w:rsidR="000843E7">
        <w:rPr>
          <w:rFonts w:ascii="Verdana" w:hAnsi="Verdana"/>
          <w:sz w:val="20"/>
          <w:szCs w:val="20"/>
        </w:rPr>
        <w:t>in the Visa Debit system;</w:t>
      </w:r>
      <w:r w:rsidR="000C34CC">
        <w:rPr>
          <w:rFonts w:ascii="Verdana" w:hAnsi="Verdana"/>
          <w:sz w:val="20"/>
          <w:szCs w:val="20"/>
        </w:rPr>
        <w:t xml:space="preserve"> and</w:t>
      </w:r>
    </w:p>
    <w:p w:rsidR="000843E7" w:rsidRDefault="000843E7" w:rsidP="000843E7">
      <w:pPr>
        <w:pStyle w:val="ListParagraph"/>
        <w:numPr>
          <w:ilvl w:val="0"/>
          <w:numId w:val="8"/>
        </w:numPr>
        <w:spacing w:after="0"/>
        <w:rPr>
          <w:rFonts w:ascii="Verdana" w:hAnsi="Verdana"/>
          <w:sz w:val="20"/>
          <w:szCs w:val="20"/>
        </w:rPr>
      </w:pPr>
      <w:proofErr w:type="gramStart"/>
      <w:r w:rsidRPr="0076747D">
        <w:rPr>
          <w:rFonts w:ascii="Verdana" w:hAnsi="Verdana"/>
          <w:sz w:val="20"/>
          <w:szCs w:val="20"/>
        </w:rPr>
        <w:t>modify</w:t>
      </w:r>
      <w:proofErr w:type="gramEnd"/>
      <w:r w:rsidRPr="0076747D">
        <w:rPr>
          <w:rFonts w:ascii="Verdana" w:hAnsi="Verdana"/>
          <w:sz w:val="20"/>
          <w:szCs w:val="20"/>
        </w:rPr>
        <w:t xml:space="preserve"> the </w:t>
      </w:r>
      <w:r>
        <w:rPr>
          <w:rFonts w:ascii="Verdana" w:hAnsi="Verdana"/>
          <w:sz w:val="20"/>
          <w:szCs w:val="20"/>
        </w:rPr>
        <w:t>RBA</w:t>
      </w:r>
      <w:r w:rsidRPr="0076747D">
        <w:rPr>
          <w:rFonts w:ascii="Verdana" w:hAnsi="Verdana"/>
          <w:sz w:val="20"/>
          <w:szCs w:val="20"/>
        </w:rPr>
        <w:t xml:space="preserve">’s surcharging Standard to allow </w:t>
      </w:r>
      <w:r w:rsidR="006E705A">
        <w:rPr>
          <w:rFonts w:ascii="Verdana" w:hAnsi="Verdana"/>
          <w:sz w:val="20"/>
          <w:szCs w:val="20"/>
        </w:rPr>
        <w:t xml:space="preserve">it </w:t>
      </w:r>
      <w:r w:rsidRPr="0076747D">
        <w:rPr>
          <w:rFonts w:ascii="Verdana" w:hAnsi="Verdana"/>
          <w:sz w:val="20"/>
          <w:szCs w:val="20"/>
        </w:rPr>
        <w:t>to cap any surcharges that are not percentage-based at some low fixed-dollar am</w:t>
      </w:r>
      <w:r>
        <w:rPr>
          <w:rFonts w:ascii="Verdana" w:hAnsi="Verdana"/>
          <w:sz w:val="20"/>
          <w:szCs w:val="20"/>
        </w:rPr>
        <w:t>ount.</w:t>
      </w:r>
    </w:p>
    <w:p w:rsidR="00E27CA7" w:rsidRDefault="00E27CA7" w:rsidP="00C002D4">
      <w:pPr>
        <w:spacing w:after="0"/>
        <w:rPr>
          <w:rFonts w:ascii="Verdana" w:hAnsi="Verdana"/>
          <w:sz w:val="20"/>
          <w:szCs w:val="20"/>
        </w:rPr>
      </w:pPr>
    </w:p>
    <w:p w:rsidR="00DA2995" w:rsidRPr="00BF6649" w:rsidRDefault="00DA2995" w:rsidP="00C002D4">
      <w:pPr>
        <w:spacing w:after="0"/>
        <w:rPr>
          <w:rFonts w:ascii="Verdana" w:hAnsi="Verdana"/>
          <w:b/>
          <w:sz w:val="20"/>
          <w:szCs w:val="20"/>
        </w:rPr>
      </w:pPr>
      <w:r w:rsidRPr="00BF6649">
        <w:rPr>
          <w:rFonts w:ascii="Verdana" w:hAnsi="Verdana"/>
          <w:b/>
          <w:sz w:val="20"/>
          <w:szCs w:val="20"/>
        </w:rPr>
        <w:t>Significant trends</w:t>
      </w:r>
    </w:p>
    <w:p w:rsidR="00D45335" w:rsidRDefault="00E042A0" w:rsidP="00BF6649">
      <w:pPr>
        <w:spacing w:after="0"/>
        <w:rPr>
          <w:rFonts w:ascii="Verdana" w:hAnsi="Verdana"/>
          <w:sz w:val="20"/>
          <w:szCs w:val="20"/>
        </w:rPr>
      </w:pPr>
      <w:r>
        <w:rPr>
          <w:rFonts w:ascii="Verdana" w:hAnsi="Verdana"/>
          <w:sz w:val="20"/>
          <w:szCs w:val="20"/>
        </w:rPr>
        <w:t>COBA notes the following significant trends outlined in the RBA’s Issues Paper on premium cards, interchange fees and merchant service fees.</w:t>
      </w:r>
    </w:p>
    <w:p w:rsidR="00BF6649" w:rsidRDefault="00BF6649" w:rsidP="00BF6649">
      <w:pPr>
        <w:spacing w:after="0"/>
        <w:rPr>
          <w:rFonts w:ascii="Verdana" w:hAnsi="Verdana"/>
          <w:sz w:val="20"/>
          <w:szCs w:val="20"/>
        </w:rPr>
      </w:pPr>
    </w:p>
    <w:p w:rsidR="0035314A" w:rsidRDefault="00E042A0" w:rsidP="00AE4141">
      <w:pPr>
        <w:spacing w:after="0"/>
        <w:rPr>
          <w:rFonts w:ascii="Verdana" w:hAnsi="Verdana"/>
          <w:sz w:val="20"/>
          <w:lang w:eastAsia="en-AU"/>
        </w:rPr>
      </w:pPr>
      <w:r>
        <w:rPr>
          <w:rFonts w:ascii="Verdana" w:hAnsi="Verdana"/>
          <w:sz w:val="20"/>
          <w:szCs w:val="20"/>
        </w:rPr>
        <w:t>“C</w:t>
      </w:r>
      <w:r w:rsidR="00DA2995" w:rsidRPr="00BF6649">
        <w:rPr>
          <w:rFonts w:ascii="Verdana" w:hAnsi="Verdana"/>
          <w:sz w:val="20"/>
          <w:szCs w:val="20"/>
        </w:rPr>
        <w:t>redit cards are more widely held by higher income individuals, with those in the highest income quartile far more likely to hold a premium-status card than those in the lowest quartile.”</w:t>
      </w:r>
      <w:r w:rsidR="00E47ACF">
        <w:rPr>
          <w:rFonts w:ascii="Verdana" w:hAnsi="Verdana"/>
          <w:sz w:val="20"/>
          <w:szCs w:val="20"/>
        </w:rPr>
        <w:t xml:space="preserve"> </w:t>
      </w:r>
      <w:r w:rsidR="00AE4141" w:rsidRPr="00AE4141">
        <w:rPr>
          <w:rFonts w:ascii="Verdana" w:hAnsi="Verdana"/>
          <w:sz w:val="20"/>
          <w:lang w:eastAsia="en-AU"/>
        </w:rPr>
        <w:t>Customer-owned banking institutions serve a number of niche communities, including regional areas and particular industries or occupations</w:t>
      </w:r>
      <w:r w:rsidR="00CD227D">
        <w:rPr>
          <w:rFonts w:ascii="Verdana" w:hAnsi="Verdana"/>
          <w:sz w:val="20"/>
          <w:lang w:eastAsia="en-AU"/>
        </w:rPr>
        <w:t xml:space="preserve"> (e.g.</w:t>
      </w:r>
      <w:r w:rsidR="00AE4141" w:rsidRPr="00AE4141">
        <w:rPr>
          <w:rFonts w:ascii="Verdana" w:hAnsi="Verdana"/>
          <w:sz w:val="20"/>
          <w:lang w:eastAsia="en-AU"/>
        </w:rPr>
        <w:t xml:space="preserve"> teachers, police and defence personnel</w:t>
      </w:r>
      <w:r w:rsidR="00CD227D">
        <w:rPr>
          <w:rFonts w:ascii="Verdana" w:hAnsi="Verdana"/>
          <w:sz w:val="20"/>
          <w:lang w:eastAsia="en-AU"/>
        </w:rPr>
        <w:t>)</w:t>
      </w:r>
      <w:r w:rsidR="00AE4141" w:rsidRPr="00AE4141">
        <w:rPr>
          <w:rFonts w:ascii="Verdana" w:hAnsi="Verdana"/>
          <w:sz w:val="20"/>
          <w:lang w:eastAsia="en-AU"/>
        </w:rPr>
        <w:t xml:space="preserve"> and the wider Australian community. </w:t>
      </w:r>
      <w:r w:rsidR="00747562">
        <w:rPr>
          <w:rFonts w:ascii="Verdana" w:hAnsi="Verdana"/>
          <w:sz w:val="20"/>
          <w:lang w:eastAsia="en-AU"/>
        </w:rPr>
        <w:t xml:space="preserve">While some </w:t>
      </w:r>
      <w:r w:rsidR="007A59BD">
        <w:rPr>
          <w:rFonts w:ascii="Verdana" w:hAnsi="Verdana"/>
          <w:sz w:val="20"/>
          <w:lang w:eastAsia="en-AU"/>
        </w:rPr>
        <w:t xml:space="preserve">of </w:t>
      </w:r>
      <w:r w:rsidR="00747562">
        <w:rPr>
          <w:rFonts w:ascii="Verdana" w:hAnsi="Verdana"/>
          <w:sz w:val="20"/>
          <w:lang w:eastAsia="en-AU"/>
        </w:rPr>
        <w:t>COBA</w:t>
      </w:r>
      <w:r w:rsidR="007A59BD">
        <w:rPr>
          <w:rFonts w:ascii="Verdana" w:hAnsi="Verdana"/>
          <w:sz w:val="20"/>
          <w:lang w:eastAsia="en-AU"/>
        </w:rPr>
        <w:t>’s large</w:t>
      </w:r>
      <w:r w:rsidR="00CD227D">
        <w:rPr>
          <w:rFonts w:ascii="Verdana" w:hAnsi="Verdana"/>
          <w:sz w:val="20"/>
          <w:lang w:eastAsia="en-AU"/>
        </w:rPr>
        <w:t>r</w:t>
      </w:r>
      <w:r w:rsidR="007A59BD">
        <w:rPr>
          <w:rFonts w:ascii="Verdana" w:hAnsi="Verdana"/>
          <w:sz w:val="20"/>
          <w:lang w:eastAsia="en-AU"/>
        </w:rPr>
        <w:t xml:space="preserve"> </w:t>
      </w:r>
      <w:r w:rsidR="00747562">
        <w:rPr>
          <w:rFonts w:ascii="Verdana" w:hAnsi="Verdana"/>
          <w:sz w:val="20"/>
          <w:lang w:eastAsia="en-AU"/>
        </w:rPr>
        <w:t xml:space="preserve">members offer premium cards, </w:t>
      </w:r>
      <w:r w:rsidR="00324892">
        <w:rPr>
          <w:rFonts w:ascii="Verdana" w:hAnsi="Verdana"/>
          <w:sz w:val="20"/>
          <w:lang w:eastAsia="en-AU"/>
        </w:rPr>
        <w:t>generally</w:t>
      </w:r>
      <w:r w:rsidR="00E47ACF">
        <w:rPr>
          <w:rFonts w:ascii="Verdana" w:hAnsi="Verdana"/>
          <w:sz w:val="20"/>
          <w:lang w:eastAsia="en-AU"/>
        </w:rPr>
        <w:t xml:space="preserve">, </w:t>
      </w:r>
      <w:r w:rsidR="00747562">
        <w:rPr>
          <w:rFonts w:ascii="Verdana" w:hAnsi="Verdana"/>
          <w:sz w:val="20"/>
          <w:lang w:eastAsia="en-AU"/>
        </w:rPr>
        <w:t>the customer</w:t>
      </w:r>
      <w:r w:rsidR="0035314A">
        <w:rPr>
          <w:rFonts w:ascii="Verdana" w:hAnsi="Verdana"/>
          <w:sz w:val="20"/>
          <w:lang w:eastAsia="en-AU"/>
        </w:rPr>
        <w:t xml:space="preserve"> </w:t>
      </w:r>
      <w:r w:rsidR="00747562">
        <w:rPr>
          <w:rFonts w:ascii="Verdana" w:hAnsi="Verdana"/>
          <w:sz w:val="20"/>
          <w:lang w:eastAsia="en-AU"/>
        </w:rPr>
        <w:t>base of c</w:t>
      </w:r>
      <w:r w:rsidR="00747562" w:rsidRPr="00AE4141">
        <w:rPr>
          <w:rFonts w:ascii="Verdana" w:hAnsi="Verdana"/>
          <w:sz w:val="20"/>
          <w:lang w:eastAsia="en-AU"/>
        </w:rPr>
        <w:t>ustomer-owned banking institutions</w:t>
      </w:r>
      <w:r w:rsidR="00E47ACF">
        <w:rPr>
          <w:rFonts w:ascii="Verdana" w:hAnsi="Verdana"/>
          <w:sz w:val="20"/>
          <w:lang w:eastAsia="en-AU"/>
        </w:rPr>
        <w:t xml:space="preserve"> </w:t>
      </w:r>
      <w:r w:rsidR="00747562">
        <w:rPr>
          <w:rFonts w:ascii="Verdana" w:hAnsi="Verdana"/>
          <w:sz w:val="20"/>
          <w:lang w:eastAsia="en-AU"/>
        </w:rPr>
        <w:t xml:space="preserve">is not the target </w:t>
      </w:r>
      <w:r w:rsidR="00E47ACF">
        <w:rPr>
          <w:rFonts w:ascii="Verdana" w:hAnsi="Verdana"/>
          <w:sz w:val="20"/>
          <w:lang w:eastAsia="en-AU"/>
        </w:rPr>
        <w:t>market for super premium cards</w:t>
      </w:r>
      <w:r w:rsidR="00747562">
        <w:rPr>
          <w:rFonts w:ascii="Verdana" w:hAnsi="Verdana"/>
          <w:sz w:val="20"/>
          <w:lang w:eastAsia="en-AU"/>
        </w:rPr>
        <w:t>.</w:t>
      </w:r>
      <w:r w:rsidR="0035314A">
        <w:rPr>
          <w:rFonts w:ascii="Verdana" w:hAnsi="Verdana"/>
          <w:sz w:val="20"/>
          <w:lang w:eastAsia="en-AU"/>
        </w:rPr>
        <w:t xml:space="preserve"> </w:t>
      </w:r>
    </w:p>
    <w:p w:rsidR="0035314A" w:rsidRDefault="0035314A" w:rsidP="00AE4141">
      <w:pPr>
        <w:spacing w:after="0"/>
        <w:rPr>
          <w:rFonts w:ascii="Verdana" w:hAnsi="Verdana"/>
          <w:sz w:val="20"/>
          <w:lang w:eastAsia="en-AU"/>
        </w:rPr>
      </w:pPr>
    </w:p>
    <w:p w:rsidR="00AE4141" w:rsidRPr="00AE4141" w:rsidRDefault="0035314A" w:rsidP="0035314A">
      <w:pPr>
        <w:spacing w:after="0"/>
        <w:rPr>
          <w:rFonts w:ascii="Verdana" w:hAnsi="Verdana"/>
          <w:sz w:val="20"/>
          <w:lang w:eastAsia="en-AU"/>
        </w:rPr>
      </w:pPr>
      <w:r>
        <w:rPr>
          <w:rFonts w:ascii="Verdana" w:hAnsi="Verdana"/>
          <w:sz w:val="20"/>
          <w:lang w:eastAsia="en-AU"/>
        </w:rPr>
        <w:t xml:space="preserve">Given the majority of the customer owned banking sector issue </w:t>
      </w:r>
      <w:r w:rsidR="00CD227D">
        <w:rPr>
          <w:rFonts w:ascii="Verdana" w:hAnsi="Verdana"/>
          <w:sz w:val="20"/>
          <w:lang w:eastAsia="en-AU"/>
        </w:rPr>
        <w:t>‘</w:t>
      </w:r>
      <w:r>
        <w:rPr>
          <w:rFonts w:ascii="Verdana" w:hAnsi="Verdana"/>
          <w:sz w:val="20"/>
          <w:lang w:eastAsia="en-AU"/>
        </w:rPr>
        <w:t>standard</w:t>
      </w:r>
      <w:r w:rsidR="00CD227D">
        <w:rPr>
          <w:rFonts w:ascii="Verdana" w:hAnsi="Verdana"/>
          <w:sz w:val="20"/>
          <w:lang w:eastAsia="en-AU"/>
        </w:rPr>
        <w:t>’</w:t>
      </w:r>
      <w:r>
        <w:rPr>
          <w:rFonts w:ascii="Verdana" w:hAnsi="Verdana"/>
          <w:sz w:val="20"/>
          <w:lang w:eastAsia="en-AU"/>
        </w:rPr>
        <w:t xml:space="preserve"> credit cards, COBA </w:t>
      </w:r>
      <w:r w:rsidR="00CD227D">
        <w:rPr>
          <w:rFonts w:ascii="Verdana" w:hAnsi="Verdana"/>
          <w:sz w:val="20"/>
          <w:lang w:eastAsia="en-AU"/>
        </w:rPr>
        <w:t>is concerned to ensure</w:t>
      </w:r>
      <w:r w:rsidR="00E40705">
        <w:rPr>
          <w:rFonts w:ascii="Verdana" w:hAnsi="Verdana"/>
          <w:sz w:val="20"/>
          <w:lang w:eastAsia="en-AU"/>
        </w:rPr>
        <w:t xml:space="preserve"> any</w:t>
      </w:r>
      <w:r>
        <w:rPr>
          <w:rFonts w:ascii="Verdana" w:hAnsi="Verdana"/>
          <w:sz w:val="20"/>
          <w:lang w:eastAsia="en-AU"/>
        </w:rPr>
        <w:t xml:space="preserve"> reforms</w:t>
      </w:r>
      <w:r w:rsidR="00E40705">
        <w:rPr>
          <w:rFonts w:ascii="Verdana" w:hAnsi="Verdana"/>
          <w:sz w:val="20"/>
          <w:lang w:eastAsia="en-AU"/>
        </w:rPr>
        <w:t xml:space="preserve"> that may be considered must be</w:t>
      </w:r>
      <w:r>
        <w:rPr>
          <w:rFonts w:ascii="Verdana" w:hAnsi="Verdana"/>
          <w:sz w:val="20"/>
          <w:lang w:eastAsia="en-AU"/>
        </w:rPr>
        <w:t xml:space="preserve"> </w:t>
      </w:r>
      <w:r w:rsidR="00CD227D">
        <w:rPr>
          <w:rFonts w:ascii="Verdana" w:hAnsi="Verdana"/>
          <w:sz w:val="20"/>
          <w:lang w:eastAsia="en-AU"/>
        </w:rPr>
        <w:t xml:space="preserve">targeted at </w:t>
      </w:r>
      <w:r>
        <w:rPr>
          <w:rFonts w:ascii="Verdana" w:hAnsi="Verdana"/>
          <w:sz w:val="20"/>
          <w:lang w:eastAsia="en-AU"/>
        </w:rPr>
        <w:t xml:space="preserve">the growth in premium and super premium cards </w:t>
      </w:r>
      <w:r w:rsidR="00E40705">
        <w:rPr>
          <w:rFonts w:ascii="Verdana" w:hAnsi="Verdana"/>
          <w:sz w:val="20"/>
          <w:lang w:eastAsia="en-AU"/>
        </w:rPr>
        <w:t xml:space="preserve">and </w:t>
      </w:r>
      <w:r w:rsidR="00CD227D">
        <w:rPr>
          <w:rFonts w:ascii="Verdana" w:hAnsi="Verdana"/>
          <w:sz w:val="20"/>
          <w:lang w:eastAsia="en-AU"/>
        </w:rPr>
        <w:t xml:space="preserve">do </w:t>
      </w:r>
      <w:r>
        <w:rPr>
          <w:rFonts w:ascii="Verdana" w:hAnsi="Verdana"/>
          <w:sz w:val="20"/>
          <w:lang w:eastAsia="en-AU"/>
        </w:rPr>
        <w:t xml:space="preserve">not have unintended </w:t>
      </w:r>
      <w:r w:rsidR="00CD227D">
        <w:rPr>
          <w:rFonts w:ascii="Verdana" w:hAnsi="Verdana"/>
          <w:sz w:val="20"/>
          <w:lang w:eastAsia="en-AU"/>
        </w:rPr>
        <w:t xml:space="preserve">impacts </w:t>
      </w:r>
      <w:r w:rsidR="00E542AE">
        <w:rPr>
          <w:rFonts w:ascii="Verdana" w:hAnsi="Verdana"/>
          <w:sz w:val="20"/>
          <w:lang w:eastAsia="en-AU"/>
        </w:rPr>
        <w:t>on</w:t>
      </w:r>
      <w:r>
        <w:rPr>
          <w:rFonts w:ascii="Verdana" w:hAnsi="Verdana"/>
          <w:sz w:val="20"/>
          <w:lang w:eastAsia="en-AU"/>
        </w:rPr>
        <w:t xml:space="preserve"> our member</w:t>
      </w:r>
      <w:r w:rsidR="000C34CC">
        <w:rPr>
          <w:rFonts w:ascii="Verdana" w:hAnsi="Verdana"/>
          <w:sz w:val="20"/>
          <w:lang w:eastAsia="en-AU"/>
        </w:rPr>
        <w:t xml:space="preserve"> ADI</w:t>
      </w:r>
      <w:r>
        <w:rPr>
          <w:rFonts w:ascii="Verdana" w:hAnsi="Verdana"/>
          <w:sz w:val="20"/>
          <w:lang w:eastAsia="en-AU"/>
        </w:rPr>
        <w:t xml:space="preserve">s </w:t>
      </w:r>
      <w:r w:rsidR="00623981">
        <w:rPr>
          <w:rFonts w:ascii="Verdana" w:hAnsi="Verdana"/>
          <w:sz w:val="20"/>
          <w:lang w:eastAsia="en-AU"/>
        </w:rPr>
        <w:t xml:space="preserve">and their customers. </w:t>
      </w:r>
    </w:p>
    <w:p w:rsidR="00AE4141" w:rsidRDefault="00AE4141" w:rsidP="00AE4141">
      <w:pPr>
        <w:spacing w:after="0"/>
        <w:rPr>
          <w:rFonts w:ascii="Verdana" w:hAnsi="Verdana"/>
          <w:sz w:val="20"/>
          <w:lang w:eastAsia="en-AU"/>
        </w:rPr>
      </w:pPr>
    </w:p>
    <w:p w:rsidR="003103ED" w:rsidRPr="00CD28D8" w:rsidRDefault="00E542AE" w:rsidP="00CD28D8">
      <w:pPr>
        <w:spacing w:after="0"/>
        <w:rPr>
          <w:rFonts w:ascii="Verdana" w:eastAsia="Times New Roman" w:hAnsi="Verdana" w:cs="Arial"/>
          <w:sz w:val="20"/>
          <w:szCs w:val="20"/>
          <w:lang w:eastAsia="en-AU"/>
        </w:rPr>
      </w:pPr>
      <w:r>
        <w:rPr>
          <w:rFonts w:ascii="Verdana" w:hAnsi="Verdana"/>
          <w:sz w:val="20"/>
          <w:lang w:eastAsia="en-AU"/>
        </w:rPr>
        <w:t>T</w:t>
      </w:r>
      <w:r w:rsidR="003103ED">
        <w:rPr>
          <w:rFonts w:ascii="Verdana" w:hAnsi="Verdana"/>
          <w:sz w:val="20"/>
          <w:lang w:eastAsia="en-AU"/>
        </w:rPr>
        <w:t xml:space="preserve">he RBA </w:t>
      </w:r>
      <w:r w:rsidR="00CD28D8">
        <w:rPr>
          <w:rFonts w:ascii="Verdana" w:hAnsi="Verdana"/>
          <w:sz w:val="20"/>
          <w:lang w:eastAsia="en-AU"/>
        </w:rPr>
        <w:t xml:space="preserve">raises concerns </w:t>
      </w:r>
      <w:r w:rsidR="00CD28D8">
        <w:rPr>
          <w:rFonts w:ascii="Verdana" w:eastAsia="Times New Roman" w:hAnsi="Verdana" w:cs="Arial"/>
          <w:sz w:val="20"/>
          <w:szCs w:val="20"/>
          <w:lang w:eastAsia="en-AU"/>
        </w:rPr>
        <w:t>that “</w:t>
      </w:r>
      <w:r w:rsidR="003103ED" w:rsidRPr="00CD28D8">
        <w:rPr>
          <w:rFonts w:ascii="Verdana" w:hAnsi="Verdana"/>
          <w:sz w:val="20"/>
          <w:szCs w:val="20"/>
          <w:lang w:eastAsia="en-AU"/>
        </w:rPr>
        <w:t xml:space="preserve">merchants are hindered in their ability to control their payment costs, given that they are typically unable to see the cost of different cards, are restricted by card scheme rules from choosing to accept only some types of debit or credit cards, and in </w:t>
      </w:r>
      <w:r w:rsidR="00CD28D8" w:rsidRPr="00CD28D8">
        <w:rPr>
          <w:rFonts w:ascii="Verdana" w:hAnsi="Verdana"/>
          <w:sz w:val="20"/>
          <w:szCs w:val="20"/>
          <w:lang w:eastAsia="en-AU"/>
        </w:rPr>
        <w:t xml:space="preserve">practice </w:t>
      </w:r>
      <w:r w:rsidR="003103ED" w:rsidRPr="00CD28D8">
        <w:rPr>
          <w:rFonts w:ascii="Verdana" w:hAnsi="Verdana"/>
          <w:sz w:val="20"/>
          <w:szCs w:val="20"/>
          <w:lang w:eastAsia="en-AU"/>
        </w:rPr>
        <w:t xml:space="preserve">are unable to differentially </w:t>
      </w:r>
      <w:r w:rsidR="00CD28D8" w:rsidRPr="00CD28D8">
        <w:rPr>
          <w:rFonts w:ascii="Verdana" w:hAnsi="Verdana"/>
          <w:sz w:val="20"/>
          <w:szCs w:val="20"/>
          <w:lang w:eastAsia="en-AU"/>
        </w:rPr>
        <w:t>s</w:t>
      </w:r>
      <w:r w:rsidR="003103ED" w:rsidRPr="00CD28D8">
        <w:rPr>
          <w:rFonts w:ascii="Verdana" w:hAnsi="Verdana"/>
          <w:sz w:val="20"/>
          <w:szCs w:val="20"/>
          <w:lang w:eastAsia="en-AU"/>
        </w:rPr>
        <w:t>urcharge</w:t>
      </w:r>
      <w:r w:rsidR="00CD28D8" w:rsidRPr="00CD28D8">
        <w:rPr>
          <w:rFonts w:ascii="Verdana" w:hAnsi="Verdana"/>
          <w:sz w:val="20"/>
          <w:szCs w:val="20"/>
          <w:lang w:eastAsia="en-AU"/>
        </w:rPr>
        <w:t xml:space="preserve"> </w:t>
      </w:r>
      <w:r w:rsidR="003103ED" w:rsidRPr="00CD28D8">
        <w:rPr>
          <w:rFonts w:ascii="Verdana" w:hAnsi="Verdana"/>
          <w:sz w:val="20"/>
          <w:szCs w:val="20"/>
          <w:lang w:eastAsia="en-AU"/>
        </w:rPr>
        <w:t>to reflect the difference in payment costs.</w:t>
      </w:r>
      <w:r w:rsidR="00CD28D8">
        <w:rPr>
          <w:rFonts w:ascii="Verdana" w:hAnsi="Verdana"/>
          <w:sz w:val="20"/>
          <w:szCs w:val="20"/>
          <w:lang w:eastAsia="en-AU"/>
        </w:rPr>
        <w:t>”</w:t>
      </w:r>
      <w:r w:rsidR="003103ED" w:rsidRPr="00CD28D8">
        <w:rPr>
          <w:rFonts w:ascii="Verdana" w:hAnsi="Verdana"/>
          <w:sz w:val="20"/>
          <w:szCs w:val="20"/>
          <w:lang w:eastAsia="en-AU"/>
        </w:rPr>
        <w:t xml:space="preserve"> </w:t>
      </w:r>
      <w:r w:rsidR="00CD28D8">
        <w:rPr>
          <w:rFonts w:ascii="Verdana" w:hAnsi="Verdana"/>
          <w:sz w:val="20"/>
          <w:szCs w:val="20"/>
          <w:lang w:eastAsia="en-AU"/>
        </w:rPr>
        <w:t>The RBA concludes that because of these factors, “</w:t>
      </w:r>
      <w:r w:rsidR="003103ED" w:rsidRPr="00CD28D8">
        <w:rPr>
          <w:rFonts w:ascii="Verdana" w:eastAsia="Times New Roman" w:hAnsi="Verdana" w:cs="Arial"/>
          <w:sz w:val="20"/>
          <w:szCs w:val="20"/>
          <w:lang w:eastAsia="en-AU"/>
        </w:rPr>
        <w:t xml:space="preserve">cardholders may not face the correct price signals associated with their choices, which </w:t>
      </w:r>
      <w:r w:rsidR="003103ED" w:rsidRPr="00CD28D8">
        <w:rPr>
          <w:rFonts w:ascii="Verdana" w:eastAsia="Times New Roman" w:hAnsi="Verdana" w:cs="Arial"/>
          <w:sz w:val="20"/>
          <w:szCs w:val="20"/>
          <w:lang w:eastAsia="en-AU"/>
        </w:rPr>
        <w:lastRenderedPageBreak/>
        <w:t>is likely to result in cross-subsidisation and less pressure to reduce the cost of payments.</w:t>
      </w:r>
      <w:r w:rsidR="00CD28D8">
        <w:rPr>
          <w:rFonts w:ascii="Verdana" w:eastAsia="Times New Roman" w:hAnsi="Verdana" w:cs="Arial"/>
          <w:sz w:val="20"/>
          <w:szCs w:val="20"/>
          <w:lang w:eastAsia="en-AU"/>
        </w:rPr>
        <w:t>”</w:t>
      </w:r>
    </w:p>
    <w:p w:rsidR="003103ED" w:rsidRPr="00CD28D8" w:rsidRDefault="003103ED" w:rsidP="00CD28D8">
      <w:pPr>
        <w:spacing w:after="0"/>
        <w:rPr>
          <w:rFonts w:ascii="Verdana" w:hAnsi="Verdana"/>
          <w:sz w:val="20"/>
          <w:szCs w:val="20"/>
          <w:lang w:eastAsia="en-AU"/>
        </w:rPr>
      </w:pPr>
    </w:p>
    <w:p w:rsidR="003103ED" w:rsidRDefault="00CD227D" w:rsidP="00AE4141">
      <w:pPr>
        <w:spacing w:after="0"/>
        <w:rPr>
          <w:rFonts w:ascii="Verdana" w:hAnsi="Verdana"/>
          <w:sz w:val="20"/>
          <w:lang w:eastAsia="en-AU"/>
        </w:rPr>
      </w:pPr>
      <w:r>
        <w:rPr>
          <w:rFonts w:ascii="Verdana" w:hAnsi="Verdana"/>
          <w:sz w:val="20"/>
          <w:lang w:eastAsia="en-AU"/>
        </w:rPr>
        <w:t>However,</w:t>
      </w:r>
      <w:r w:rsidR="00CD28D8">
        <w:rPr>
          <w:rFonts w:ascii="Verdana" w:hAnsi="Verdana"/>
          <w:sz w:val="20"/>
          <w:lang w:eastAsia="en-AU"/>
        </w:rPr>
        <w:t xml:space="preserve"> lowering the overall level of interchange fees </w:t>
      </w:r>
      <w:r>
        <w:rPr>
          <w:rFonts w:ascii="Verdana" w:hAnsi="Verdana"/>
          <w:sz w:val="20"/>
          <w:lang w:eastAsia="en-AU"/>
        </w:rPr>
        <w:t>would not</w:t>
      </w:r>
      <w:r w:rsidR="00CD28D8">
        <w:rPr>
          <w:rFonts w:ascii="Verdana" w:hAnsi="Verdana"/>
          <w:sz w:val="20"/>
          <w:lang w:eastAsia="en-AU"/>
        </w:rPr>
        <w:t xml:space="preserve"> address the issues facing merchants. </w:t>
      </w:r>
    </w:p>
    <w:p w:rsidR="00CD28D8" w:rsidRDefault="00CD28D8" w:rsidP="00BF6649">
      <w:pPr>
        <w:spacing w:after="0"/>
        <w:rPr>
          <w:rFonts w:ascii="Verdana" w:hAnsi="Verdana"/>
          <w:sz w:val="20"/>
          <w:szCs w:val="20"/>
        </w:rPr>
      </w:pPr>
    </w:p>
    <w:p w:rsidR="00CD227D" w:rsidRDefault="00CD28D8" w:rsidP="00BF6649">
      <w:pPr>
        <w:spacing w:after="0"/>
        <w:rPr>
          <w:rFonts w:ascii="Verdana" w:hAnsi="Verdana"/>
          <w:sz w:val="20"/>
          <w:szCs w:val="20"/>
        </w:rPr>
      </w:pPr>
      <w:r>
        <w:rPr>
          <w:rFonts w:ascii="Verdana" w:hAnsi="Verdana"/>
          <w:sz w:val="20"/>
          <w:szCs w:val="20"/>
        </w:rPr>
        <w:t xml:space="preserve">The </w:t>
      </w:r>
      <w:r w:rsidR="00E542AE">
        <w:rPr>
          <w:rFonts w:ascii="Verdana" w:hAnsi="Verdana"/>
          <w:sz w:val="20"/>
          <w:szCs w:val="20"/>
        </w:rPr>
        <w:t>RBA</w:t>
      </w:r>
      <w:r>
        <w:rPr>
          <w:rFonts w:ascii="Verdana" w:hAnsi="Verdana"/>
          <w:sz w:val="20"/>
          <w:szCs w:val="20"/>
        </w:rPr>
        <w:t xml:space="preserve"> notes:</w:t>
      </w:r>
    </w:p>
    <w:p w:rsidR="00CD227D" w:rsidRDefault="00CD227D" w:rsidP="00BF6649">
      <w:pPr>
        <w:spacing w:after="0"/>
        <w:rPr>
          <w:rFonts w:ascii="Verdana" w:hAnsi="Verdana"/>
          <w:sz w:val="20"/>
          <w:szCs w:val="20"/>
        </w:rPr>
      </w:pPr>
    </w:p>
    <w:p w:rsidR="00D45335" w:rsidRDefault="00D45335" w:rsidP="002A7760">
      <w:pPr>
        <w:spacing w:after="0"/>
        <w:ind w:left="720"/>
        <w:rPr>
          <w:rFonts w:ascii="Verdana" w:hAnsi="Verdana"/>
          <w:sz w:val="20"/>
          <w:szCs w:val="20"/>
        </w:rPr>
      </w:pPr>
      <w:r>
        <w:rPr>
          <w:rFonts w:ascii="Verdana" w:hAnsi="Verdana"/>
          <w:sz w:val="20"/>
          <w:szCs w:val="20"/>
        </w:rPr>
        <w:t>“</w:t>
      </w:r>
      <w:r w:rsidRPr="00BF6649">
        <w:rPr>
          <w:rFonts w:ascii="Verdana" w:hAnsi="Verdana"/>
          <w:sz w:val="20"/>
          <w:szCs w:val="20"/>
        </w:rPr>
        <w:t>There is a hierarchy of categories, which determines how the merchant, card and transaction categories interact. Typically, the relatively low ‘strategic’ interchange rates for large merchants have precedence over the interchange category for the type of card, so that the same relatively low rate for strategic merchants applies for all their transactions, including for those using premium cards with high interchange rates. However, merchants that do not have access to strategic or merchant-specific rates will face different rates based on the type of card presented.</w:t>
      </w:r>
    </w:p>
    <w:p w:rsidR="00CD28D8" w:rsidRPr="00BF6649" w:rsidRDefault="00CD28D8" w:rsidP="002A7760">
      <w:pPr>
        <w:spacing w:after="0"/>
        <w:ind w:left="720"/>
        <w:rPr>
          <w:rFonts w:ascii="Verdana" w:hAnsi="Verdana"/>
          <w:sz w:val="20"/>
          <w:szCs w:val="20"/>
        </w:rPr>
      </w:pPr>
    </w:p>
    <w:p w:rsidR="00D45335" w:rsidRPr="00BF6649" w:rsidRDefault="00D45335" w:rsidP="002A7760">
      <w:pPr>
        <w:spacing w:after="0"/>
        <w:ind w:left="720"/>
        <w:rPr>
          <w:rFonts w:ascii="Verdana" w:hAnsi="Verdana"/>
          <w:sz w:val="20"/>
          <w:szCs w:val="20"/>
        </w:rPr>
      </w:pPr>
      <w:r>
        <w:rPr>
          <w:rFonts w:ascii="Verdana" w:hAnsi="Verdana"/>
          <w:sz w:val="20"/>
          <w:szCs w:val="20"/>
        </w:rPr>
        <w:t>“</w:t>
      </w:r>
      <w:r w:rsidRPr="00BF6649">
        <w:rPr>
          <w:rFonts w:ascii="Verdana" w:hAnsi="Verdana"/>
          <w:sz w:val="20"/>
          <w:szCs w:val="20"/>
        </w:rPr>
        <w:t>Based on the hierarchy of interchange rates, the cost of the high interchange rates for consumer premium and commercial cards falls entirely on small merchants and other merchants that do not benefit from special rates.</w:t>
      </w:r>
      <w:r w:rsidR="00235B24">
        <w:rPr>
          <w:rFonts w:ascii="Verdana" w:hAnsi="Verdana"/>
          <w:sz w:val="20"/>
          <w:szCs w:val="20"/>
        </w:rPr>
        <w:t>”</w:t>
      </w:r>
    </w:p>
    <w:p w:rsidR="00BF6649" w:rsidRDefault="00BF6649" w:rsidP="002A7760">
      <w:pPr>
        <w:spacing w:after="0"/>
        <w:ind w:left="720"/>
        <w:rPr>
          <w:rFonts w:ascii="Verdana" w:hAnsi="Verdana"/>
          <w:sz w:val="20"/>
          <w:szCs w:val="20"/>
        </w:rPr>
      </w:pPr>
    </w:p>
    <w:p w:rsidR="00D45335" w:rsidRPr="00BF6649" w:rsidRDefault="00D45335" w:rsidP="002A7760">
      <w:pPr>
        <w:spacing w:after="0"/>
        <w:ind w:left="720"/>
        <w:rPr>
          <w:rFonts w:ascii="Verdana" w:hAnsi="Verdana"/>
          <w:sz w:val="20"/>
          <w:szCs w:val="20"/>
        </w:rPr>
      </w:pPr>
      <w:r>
        <w:rPr>
          <w:rFonts w:ascii="Verdana" w:hAnsi="Verdana"/>
          <w:sz w:val="20"/>
          <w:szCs w:val="20"/>
        </w:rPr>
        <w:t>“</w:t>
      </w:r>
      <w:r w:rsidRPr="00BF6649">
        <w:rPr>
          <w:rFonts w:ascii="Verdana" w:hAnsi="Verdana"/>
          <w:sz w:val="20"/>
          <w:szCs w:val="20"/>
        </w:rPr>
        <w:t>There are two significant consequences of these developments in interchange schedules. First, there are now large differences in the average interchange rates paid on the transactions of strategic or qualifying merchants compared with other merchants.</w:t>
      </w:r>
      <w:r w:rsidR="00CD227D">
        <w:rPr>
          <w:rFonts w:ascii="Verdana" w:hAnsi="Verdana"/>
          <w:sz w:val="20"/>
          <w:szCs w:val="20"/>
        </w:rPr>
        <w:t>”</w:t>
      </w:r>
    </w:p>
    <w:p w:rsidR="00BF6649" w:rsidRDefault="00BF6649" w:rsidP="002A7760">
      <w:pPr>
        <w:spacing w:after="0"/>
        <w:ind w:left="720"/>
        <w:rPr>
          <w:rFonts w:ascii="Verdana" w:hAnsi="Verdana"/>
          <w:sz w:val="20"/>
          <w:szCs w:val="20"/>
        </w:rPr>
      </w:pPr>
    </w:p>
    <w:p w:rsidR="00D45335" w:rsidRDefault="00D45335" w:rsidP="002A7760">
      <w:pPr>
        <w:spacing w:after="0"/>
        <w:ind w:left="720"/>
        <w:rPr>
          <w:rFonts w:ascii="Verdana" w:hAnsi="Verdana"/>
          <w:sz w:val="20"/>
          <w:szCs w:val="20"/>
        </w:rPr>
      </w:pPr>
      <w:r>
        <w:rPr>
          <w:rFonts w:ascii="Verdana" w:hAnsi="Verdana"/>
          <w:sz w:val="20"/>
          <w:szCs w:val="20"/>
        </w:rPr>
        <w:t>“</w:t>
      </w:r>
      <w:r w:rsidRPr="00BF6649">
        <w:rPr>
          <w:rFonts w:ascii="Verdana" w:hAnsi="Verdana"/>
          <w:sz w:val="20"/>
          <w:szCs w:val="20"/>
        </w:rPr>
        <w:t>These differences in interchange rates have a corresponding effect on the merchant service fees faced by the two groups which is in addition to the higher margin that acquiring banks would normally apply to small merchants relative to large merchants.</w:t>
      </w:r>
      <w:r w:rsidR="00E27CA7">
        <w:rPr>
          <w:rFonts w:ascii="Verdana" w:hAnsi="Verdana"/>
          <w:sz w:val="20"/>
          <w:szCs w:val="20"/>
        </w:rPr>
        <w:t>”</w:t>
      </w:r>
    </w:p>
    <w:p w:rsidR="003D63F8" w:rsidRDefault="003D63F8" w:rsidP="00BF6649">
      <w:pPr>
        <w:spacing w:after="0"/>
        <w:rPr>
          <w:rFonts w:ascii="Verdana" w:hAnsi="Verdana"/>
          <w:sz w:val="20"/>
          <w:szCs w:val="20"/>
        </w:rPr>
      </w:pPr>
    </w:p>
    <w:p w:rsidR="00623981" w:rsidRDefault="00623981" w:rsidP="00623981">
      <w:pPr>
        <w:spacing w:after="0"/>
        <w:rPr>
          <w:rFonts w:ascii="Verdana" w:hAnsi="Verdana"/>
          <w:sz w:val="20"/>
          <w:szCs w:val="20"/>
        </w:rPr>
      </w:pPr>
      <w:r>
        <w:rPr>
          <w:rFonts w:ascii="Verdana" w:hAnsi="Verdana"/>
          <w:sz w:val="20"/>
          <w:szCs w:val="20"/>
        </w:rPr>
        <w:t xml:space="preserve">Strategic merchants will continue to hold the dominate share of the card payment transactions. More </w:t>
      </w:r>
      <w:r w:rsidR="00E542AE">
        <w:rPr>
          <w:rFonts w:ascii="Verdana" w:hAnsi="Verdana"/>
          <w:sz w:val="20"/>
          <w:szCs w:val="20"/>
        </w:rPr>
        <w:t>importantly,</w:t>
      </w:r>
      <w:r>
        <w:rPr>
          <w:rFonts w:ascii="Verdana" w:hAnsi="Verdana"/>
          <w:sz w:val="20"/>
          <w:szCs w:val="20"/>
        </w:rPr>
        <w:t xml:space="preserve"> these strategic merchants will continue to have the </w:t>
      </w:r>
      <w:r w:rsidR="008C1FAD">
        <w:rPr>
          <w:rFonts w:ascii="Verdana" w:hAnsi="Verdana"/>
          <w:sz w:val="20"/>
          <w:szCs w:val="20"/>
        </w:rPr>
        <w:t>market power</w:t>
      </w:r>
      <w:r>
        <w:rPr>
          <w:rFonts w:ascii="Verdana" w:hAnsi="Verdana"/>
          <w:sz w:val="20"/>
          <w:szCs w:val="20"/>
        </w:rPr>
        <w:t xml:space="preserve"> to minimise </w:t>
      </w:r>
      <w:r w:rsidR="00E542AE">
        <w:rPr>
          <w:rFonts w:ascii="Verdana" w:hAnsi="Verdana"/>
          <w:sz w:val="20"/>
          <w:szCs w:val="20"/>
        </w:rPr>
        <w:t xml:space="preserve">their </w:t>
      </w:r>
      <w:r>
        <w:rPr>
          <w:rFonts w:ascii="Verdana" w:hAnsi="Verdana"/>
          <w:sz w:val="20"/>
          <w:szCs w:val="20"/>
        </w:rPr>
        <w:t xml:space="preserve">card transaction costs relative to other, smaller merchants. A lowering of the interchange fees will </w:t>
      </w:r>
      <w:r w:rsidR="00E542AE">
        <w:rPr>
          <w:rFonts w:ascii="Verdana" w:hAnsi="Verdana"/>
          <w:sz w:val="20"/>
          <w:szCs w:val="20"/>
        </w:rPr>
        <w:t>reduce</w:t>
      </w:r>
      <w:r>
        <w:rPr>
          <w:rFonts w:ascii="Verdana" w:hAnsi="Verdana"/>
          <w:sz w:val="20"/>
          <w:szCs w:val="20"/>
        </w:rPr>
        <w:t xml:space="preserve"> the capacity of smaller card issuers to continue to offer low-rate cards. </w:t>
      </w:r>
      <w:r w:rsidR="00E542AE">
        <w:rPr>
          <w:rFonts w:ascii="Verdana" w:hAnsi="Verdana"/>
          <w:sz w:val="20"/>
          <w:szCs w:val="20"/>
        </w:rPr>
        <w:t>However, i</w:t>
      </w:r>
      <w:r>
        <w:rPr>
          <w:rFonts w:ascii="Verdana" w:hAnsi="Verdana"/>
          <w:sz w:val="20"/>
          <w:szCs w:val="20"/>
        </w:rPr>
        <w:t xml:space="preserve">t will not </w:t>
      </w:r>
      <w:r w:rsidR="00E542AE">
        <w:rPr>
          <w:rFonts w:ascii="Verdana" w:hAnsi="Verdana"/>
          <w:sz w:val="20"/>
          <w:szCs w:val="20"/>
        </w:rPr>
        <w:t xml:space="preserve">necessarily </w:t>
      </w:r>
      <w:r>
        <w:rPr>
          <w:rFonts w:ascii="Verdana" w:hAnsi="Verdana"/>
          <w:sz w:val="20"/>
          <w:szCs w:val="20"/>
        </w:rPr>
        <w:t xml:space="preserve">improve a small merchant’s ability to compete with strategic merchants and </w:t>
      </w:r>
      <w:r w:rsidR="00E542AE">
        <w:rPr>
          <w:rFonts w:ascii="Verdana" w:hAnsi="Verdana"/>
          <w:sz w:val="20"/>
          <w:szCs w:val="20"/>
        </w:rPr>
        <w:t>to minimise</w:t>
      </w:r>
      <w:r>
        <w:rPr>
          <w:rFonts w:ascii="Verdana" w:hAnsi="Verdana"/>
          <w:sz w:val="20"/>
          <w:szCs w:val="20"/>
        </w:rPr>
        <w:t xml:space="preserve"> their payment costs. </w:t>
      </w:r>
    </w:p>
    <w:p w:rsidR="00623981" w:rsidRDefault="00623981" w:rsidP="00BF6649">
      <w:pPr>
        <w:spacing w:after="0"/>
        <w:rPr>
          <w:rFonts w:ascii="Verdana" w:hAnsi="Verdana"/>
          <w:sz w:val="20"/>
          <w:szCs w:val="20"/>
        </w:rPr>
      </w:pPr>
    </w:p>
    <w:p w:rsidR="00E27CA7" w:rsidRPr="00BF6649" w:rsidRDefault="00E27CA7" w:rsidP="00BF6649">
      <w:pPr>
        <w:spacing w:after="0"/>
        <w:rPr>
          <w:rFonts w:ascii="Verdana" w:hAnsi="Verdana"/>
          <w:b/>
          <w:sz w:val="20"/>
          <w:szCs w:val="20"/>
        </w:rPr>
      </w:pPr>
      <w:r>
        <w:rPr>
          <w:rFonts w:ascii="Verdana" w:hAnsi="Verdana"/>
          <w:b/>
          <w:sz w:val="20"/>
          <w:szCs w:val="20"/>
        </w:rPr>
        <w:t xml:space="preserve">Risks </w:t>
      </w:r>
      <w:r w:rsidR="00623981">
        <w:rPr>
          <w:rFonts w:ascii="Verdana" w:hAnsi="Verdana"/>
          <w:b/>
          <w:sz w:val="20"/>
          <w:szCs w:val="20"/>
        </w:rPr>
        <w:t xml:space="preserve">of </w:t>
      </w:r>
      <w:r w:rsidRPr="00E27CA7">
        <w:rPr>
          <w:rFonts w:ascii="Verdana" w:hAnsi="Verdana"/>
          <w:b/>
          <w:sz w:val="20"/>
          <w:szCs w:val="20"/>
        </w:rPr>
        <w:t>significant reduc</w:t>
      </w:r>
      <w:r>
        <w:rPr>
          <w:rFonts w:ascii="Verdana" w:hAnsi="Verdana"/>
          <w:b/>
          <w:sz w:val="20"/>
          <w:szCs w:val="20"/>
        </w:rPr>
        <w:t>tion in</w:t>
      </w:r>
      <w:r w:rsidRPr="00BF6649">
        <w:rPr>
          <w:rFonts w:ascii="Verdana" w:hAnsi="Verdana"/>
          <w:b/>
          <w:sz w:val="20"/>
          <w:szCs w:val="20"/>
        </w:rPr>
        <w:t xml:space="preserve"> interchange fees</w:t>
      </w:r>
    </w:p>
    <w:p w:rsidR="00E27CA7" w:rsidRDefault="00E27CA7" w:rsidP="00BF6649">
      <w:pPr>
        <w:spacing w:after="0"/>
        <w:rPr>
          <w:rFonts w:ascii="Verdana" w:hAnsi="Verdana"/>
          <w:sz w:val="20"/>
          <w:szCs w:val="20"/>
        </w:rPr>
      </w:pPr>
      <w:r w:rsidRPr="007C0798">
        <w:rPr>
          <w:rFonts w:ascii="Verdana" w:hAnsi="Verdana"/>
          <w:sz w:val="20"/>
          <w:szCs w:val="20"/>
        </w:rPr>
        <w:t>To continue to offer market</w:t>
      </w:r>
      <w:r w:rsidR="008C1FAD">
        <w:rPr>
          <w:rFonts w:ascii="Verdana" w:hAnsi="Verdana"/>
          <w:sz w:val="20"/>
          <w:szCs w:val="20"/>
        </w:rPr>
        <w:t>-</w:t>
      </w:r>
      <w:r w:rsidRPr="007C0798">
        <w:rPr>
          <w:rFonts w:ascii="Verdana" w:hAnsi="Verdana"/>
          <w:sz w:val="20"/>
          <w:szCs w:val="20"/>
        </w:rPr>
        <w:t>leading</w:t>
      </w:r>
      <w:r w:rsidR="008C1FAD">
        <w:rPr>
          <w:rFonts w:ascii="Verdana" w:hAnsi="Verdana"/>
          <w:sz w:val="20"/>
          <w:szCs w:val="20"/>
        </w:rPr>
        <w:t>,</w:t>
      </w:r>
      <w:r w:rsidRPr="007C0798">
        <w:rPr>
          <w:rFonts w:ascii="Verdana" w:hAnsi="Verdana"/>
          <w:sz w:val="20"/>
          <w:szCs w:val="20"/>
        </w:rPr>
        <w:t xml:space="preserve"> low</w:t>
      </w:r>
      <w:r w:rsidR="008C1FAD">
        <w:rPr>
          <w:rFonts w:ascii="Verdana" w:hAnsi="Verdana"/>
          <w:sz w:val="20"/>
          <w:szCs w:val="20"/>
        </w:rPr>
        <w:t>-</w:t>
      </w:r>
      <w:r>
        <w:rPr>
          <w:rFonts w:ascii="Verdana" w:hAnsi="Verdana"/>
          <w:sz w:val="20"/>
          <w:szCs w:val="20"/>
        </w:rPr>
        <w:t xml:space="preserve">cost </w:t>
      </w:r>
      <w:r w:rsidRPr="007C0798">
        <w:rPr>
          <w:rFonts w:ascii="Verdana" w:hAnsi="Verdana"/>
          <w:sz w:val="20"/>
          <w:szCs w:val="20"/>
        </w:rPr>
        <w:t xml:space="preserve">credit cards, it is vital that COBA members be able to rely on </w:t>
      </w:r>
      <w:r w:rsidR="00D577ED">
        <w:rPr>
          <w:rFonts w:ascii="Verdana" w:hAnsi="Verdana"/>
          <w:sz w:val="20"/>
          <w:szCs w:val="20"/>
        </w:rPr>
        <w:t xml:space="preserve">the current level of </w:t>
      </w:r>
      <w:r w:rsidRPr="007C0798">
        <w:rPr>
          <w:rFonts w:ascii="Verdana" w:hAnsi="Verdana"/>
          <w:sz w:val="20"/>
          <w:szCs w:val="20"/>
        </w:rPr>
        <w:t>interchange fees to cover the eligible costs of issuance</w:t>
      </w:r>
      <w:r>
        <w:rPr>
          <w:rFonts w:ascii="Verdana" w:hAnsi="Verdana"/>
          <w:sz w:val="20"/>
          <w:szCs w:val="20"/>
        </w:rPr>
        <w:t>.</w:t>
      </w:r>
      <w:r>
        <w:rPr>
          <w:rStyle w:val="FootnoteReference"/>
          <w:rFonts w:ascii="Verdana" w:hAnsi="Verdana"/>
          <w:sz w:val="20"/>
          <w:szCs w:val="20"/>
        </w:rPr>
        <w:footnoteReference w:id="3"/>
      </w:r>
      <w:r>
        <w:rPr>
          <w:rFonts w:ascii="Verdana" w:hAnsi="Verdana"/>
          <w:sz w:val="20"/>
          <w:szCs w:val="20"/>
        </w:rPr>
        <w:t xml:space="preserve"> </w:t>
      </w:r>
    </w:p>
    <w:p w:rsidR="00E27CA7" w:rsidRDefault="00E27CA7" w:rsidP="00BF6649">
      <w:pPr>
        <w:spacing w:after="0"/>
        <w:rPr>
          <w:rFonts w:ascii="Verdana" w:hAnsi="Verdana"/>
          <w:sz w:val="20"/>
          <w:szCs w:val="20"/>
        </w:rPr>
      </w:pPr>
    </w:p>
    <w:p w:rsidR="00DA2995" w:rsidRDefault="00E27CA7" w:rsidP="00E27CA7">
      <w:pPr>
        <w:spacing w:after="0"/>
        <w:rPr>
          <w:rFonts w:ascii="Verdana" w:hAnsi="Verdana"/>
          <w:sz w:val="20"/>
          <w:szCs w:val="20"/>
        </w:rPr>
      </w:pPr>
      <w:r>
        <w:rPr>
          <w:rFonts w:ascii="Verdana" w:hAnsi="Verdana"/>
          <w:sz w:val="20"/>
          <w:szCs w:val="20"/>
        </w:rPr>
        <w:t xml:space="preserve">Transaction processing and authorisation, fraud and fraud prevention and the provision of an interest-free period are significant costs that, if not recovered </w:t>
      </w:r>
      <w:r w:rsidR="0064569B">
        <w:rPr>
          <w:rFonts w:ascii="Verdana" w:hAnsi="Verdana"/>
          <w:sz w:val="20"/>
          <w:szCs w:val="20"/>
        </w:rPr>
        <w:t>through interchange fees, would</w:t>
      </w:r>
      <w:r>
        <w:rPr>
          <w:rFonts w:ascii="Verdana" w:hAnsi="Verdana"/>
          <w:sz w:val="20"/>
          <w:szCs w:val="20"/>
        </w:rPr>
        <w:t xml:space="preserve"> reduce the capacity of customer-owned banking institutions </w:t>
      </w:r>
      <w:r w:rsidR="006E705A">
        <w:rPr>
          <w:rFonts w:ascii="Verdana" w:hAnsi="Verdana"/>
          <w:sz w:val="20"/>
          <w:szCs w:val="20"/>
        </w:rPr>
        <w:t>to</w:t>
      </w:r>
      <w:r>
        <w:rPr>
          <w:rFonts w:ascii="Verdana" w:hAnsi="Verdana"/>
          <w:sz w:val="20"/>
          <w:szCs w:val="20"/>
        </w:rPr>
        <w:t xml:space="preserve"> offer affordable, low</w:t>
      </w:r>
      <w:r w:rsidR="008C1FAD">
        <w:rPr>
          <w:rFonts w:ascii="Verdana" w:hAnsi="Verdana"/>
          <w:sz w:val="20"/>
          <w:szCs w:val="20"/>
        </w:rPr>
        <w:t>-</w:t>
      </w:r>
      <w:r>
        <w:rPr>
          <w:rFonts w:ascii="Verdana" w:hAnsi="Verdana"/>
          <w:sz w:val="20"/>
          <w:szCs w:val="20"/>
        </w:rPr>
        <w:t>cost credit cards.</w:t>
      </w:r>
    </w:p>
    <w:p w:rsidR="00E27CA7" w:rsidRDefault="00E27CA7" w:rsidP="00E27CA7">
      <w:pPr>
        <w:spacing w:after="0"/>
        <w:rPr>
          <w:rFonts w:ascii="Verdana" w:hAnsi="Verdana"/>
          <w:sz w:val="20"/>
          <w:szCs w:val="20"/>
        </w:rPr>
      </w:pPr>
    </w:p>
    <w:p w:rsidR="00B15842" w:rsidRDefault="007C0798" w:rsidP="00C002D4">
      <w:pPr>
        <w:spacing w:after="0"/>
        <w:rPr>
          <w:rFonts w:ascii="Verdana" w:hAnsi="Verdana"/>
          <w:sz w:val="20"/>
          <w:szCs w:val="20"/>
        </w:rPr>
      </w:pPr>
      <w:r>
        <w:rPr>
          <w:rFonts w:ascii="Verdana" w:hAnsi="Verdana"/>
          <w:sz w:val="20"/>
          <w:szCs w:val="20"/>
        </w:rPr>
        <w:lastRenderedPageBreak/>
        <w:t>Given the major banks</w:t>
      </w:r>
      <w:r w:rsidR="00B11E02">
        <w:rPr>
          <w:rFonts w:ascii="Verdana" w:hAnsi="Verdana"/>
          <w:sz w:val="20"/>
          <w:szCs w:val="20"/>
        </w:rPr>
        <w:t>’</w:t>
      </w:r>
      <w:r>
        <w:rPr>
          <w:rFonts w:ascii="Verdana" w:hAnsi="Verdana"/>
          <w:sz w:val="20"/>
          <w:szCs w:val="20"/>
        </w:rPr>
        <w:t xml:space="preserve"> dominance </w:t>
      </w:r>
      <w:r w:rsidR="00561496">
        <w:rPr>
          <w:rFonts w:ascii="Verdana" w:hAnsi="Verdana"/>
          <w:sz w:val="20"/>
          <w:szCs w:val="20"/>
        </w:rPr>
        <w:t xml:space="preserve">of the </w:t>
      </w:r>
      <w:r>
        <w:rPr>
          <w:rFonts w:ascii="Verdana" w:hAnsi="Verdana"/>
          <w:sz w:val="20"/>
          <w:szCs w:val="20"/>
        </w:rPr>
        <w:t>credit card market</w:t>
      </w:r>
      <w:r w:rsidR="00561496">
        <w:rPr>
          <w:rFonts w:ascii="Verdana" w:hAnsi="Verdana"/>
          <w:sz w:val="20"/>
          <w:szCs w:val="20"/>
        </w:rPr>
        <w:t>,</w:t>
      </w:r>
      <w:r>
        <w:rPr>
          <w:rFonts w:ascii="Verdana" w:hAnsi="Verdana"/>
          <w:sz w:val="20"/>
          <w:szCs w:val="20"/>
        </w:rPr>
        <w:t xml:space="preserve"> </w:t>
      </w:r>
      <w:r w:rsidR="00561496">
        <w:rPr>
          <w:rFonts w:ascii="Verdana" w:hAnsi="Verdana"/>
          <w:sz w:val="20"/>
          <w:szCs w:val="20"/>
        </w:rPr>
        <w:t>through their roles as card issuers and acquirers,</w:t>
      </w:r>
      <w:r w:rsidR="00B15842">
        <w:rPr>
          <w:rFonts w:ascii="Verdana" w:hAnsi="Verdana"/>
          <w:sz w:val="20"/>
          <w:szCs w:val="20"/>
        </w:rPr>
        <w:t xml:space="preserve"> reducing interchange fees for issuers is likely to have disproportionately greater impact on smaller card issuers that do not compete in the acquiring market. </w:t>
      </w:r>
    </w:p>
    <w:p w:rsidR="00B11E02" w:rsidRDefault="00B11E02" w:rsidP="00C002D4">
      <w:pPr>
        <w:spacing w:after="0"/>
        <w:rPr>
          <w:rFonts w:ascii="Verdana" w:hAnsi="Verdana"/>
          <w:sz w:val="20"/>
          <w:szCs w:val="20"/>
        </w:rPr>
      </w:pPr>
    </w:p>
    <w:p w:rsidR="00B15842" w:rsidRDefault="00B15842" w:rsidP="00C002D4">
      <w:pPr>
        <w:spacing w:after="0"/>
        <w:rPr>
          <w:rFonts w:ascii="Verdana" w:hAnsi="Verdana"/>
          <w:sz w:val="20"/>
          <w:szCs w:val="20"/>
        </w:rPr>
      </w:pPr>
      <w:r>
        <w:rPr>
          <w:rFonts w:ascii="Verdana" w:hAnsi="Verdana"/>
          <w:sz w:val="20"/>
          <w:szCs w:val="20"/>
        </w:rPr>
        <w:t xml:space="preserve">In this </w:t>
      </w:r>
      <w:r w:rsidR="00C43267">
        <w:rPr>
          <w:rFonts w:ascii="Verdana" w:hAnsi="Verdana"/>
          <w:sz w:val="20"/>
          <w:szCs w:val="20"/>
        </w:rPr>
        <w:t>scenario</w:t>
      </w:r>
      <w:r>
        <w:rPr>
          <w:rFonts w:ascii="Verdana" w:hAnsi="Verdana"/>
          <w:sz w:val="20"/>
          <w:szCs w:val="20"/>
        </w:rPr>
        <w:t>, c</w:t>
      </w:r>
      <w:r w:rsidR="00B11E02">
        <w:rPr>
          <w:rFonts w:ascii="Verdana" w:hAnsi="Verdana"/>
          <w:sz w:val="20"/>
          <w:szCs w:val="20"/>
        </w:rPr>
        <w:t xml:space="preserve">ustomer-owned banking institutions </w:t>
      </w:r>
      <w:r>
        <w:rPr>
          <w:rFonts w:ascii="Verdana" w:hAnsi="Verdana"/>
          <w:sz w:val="20"/>
          <w:szCs w:val="20"/>
        </w:rPr>
        <w:t>w</w:t>
      </w:r>
      <w:r w:rsidR="00B11E02">
        <w:rPr>
          <w:rFonts w:ascii="Verdana" w:hAnsi="Verdana"/>
          <w:sz w:val="20"/>
          <w:szCs w:val="20"/>
        </w:rPr>
        <w:t xml:space="preserve">ould </w:t>
      </w:r>
      <w:r>
        <w:rPr>
          <w:rFonts w:ascii="Verdana" w:hAnsi="Verdana"/>
          <w:sz w:val="20"/>
          <w:szCs w:val="20"/>
        </w:rPr>
        <w:t xml:space="preserve">likely need to </w:t>
      </w:r>
      <w:r w:rsidR="008C1FAD">
        <w:rPr>
          <w:rFonts w:ascii="Verdana" w:hAnsi="Verdana"/>
          <w:sz w:val="20"/>
          <w:szCs w:val="20"/>
        </w:rPr>
        <w:t>increase</w:t>
      </w:r>
      <w:r>
        <w:rPr>
          <w:rFonts w:ascii="Verdana" w:hAnsi="Verdana"/>
          <w:sz w:val="20"/>
          <w:szCs w:val="20"/>
        </w:rPr>
        <w:t xml:space="preserve"> </w:t>
      </w:r>
      <w:r w:rsidR="000C34CC">
        <w:rPr>
          <w:rFonts w:ascii="Verdana" w:hAnsi="Verdana"/>
          <w:sz w:val="20"/>
          <w:szCs w:val="20"/>
        </w:rPr>
        <w:t xml:space="preserve">credit card </w:t>
      </w:r>
      <w:r>
        <w:rPr>
          <w:rFonts w:ascii="Verdana" w:hAnsi="Verdana"/>
          <w:sz w:val="20"/>
          <w:szCs w:val="20"/>
        </w:rPr>
        <w:t xml:space="preserve">interest rates and fees. </w:t>
      </w:r>
      <w:r w:rsidR="000C34CC">
        <w:rPr>
          <w:rFonts w:ascii="Verdana" w:hAnsi="Verdana"/>
          <w:sz w:val="20"/>
          <w:szCs w:val="20"/>
        </w:rPr>
        <w:t>M</w:t>
      </w:r>
      <w:r>
        <w:rPr>
          <w:rFonts w:ascii="Verdana" w:hAnsi="Verdana"/>
          <w:sz w:val="20"/>
          <w:szCs w:val="20"/>
        </w:rPr>
        <w:t xml:space="preserve">erchants would </w:t>
      </w:r>
      <w:r w:rsidR="00C43267">
        <w:rPr>
          <w:rFonts w:ascii="Verdana" w:hAnsi="Verdana"/>
          <w:sz w:val="20"/>
          <w:szCs w:val="20"/>
        </w:rPr>
        <w:t xml:space="preserve">continue to </w:t>
      </w:r>
      <w:r>
        <w:rPr>
          <w:rFonts w:ascii="Verdana" w:hAnsi="Verdana"/>
          <w:sz w:val="20"/>
          <w:szCs w:val="20"/>
        </w:rPr>
        <w:t>receive benefits provided by issuers</w:t>
      </w:r>
      <w:r w:rsidR="00C43267">
        <w:rPr>
          <w:rFonts w:ascii="Verdana" w:hAnsi="Verdana"/>
          <w:sz w:val="20"/>
          <w:szCs w:val="20"/>
        </w:rPr>
        <w:t xml:space="preserve"> however the </w:t>
      </w:r>
      <w:r>
        <w:rPr>
          <w:rFonts w:ascii="Verdana" w:hAnsi="Verdana"/>
          <w:sz w:val="20"/>
          <w:szCs w:val="20"/>
        </w:rPr>
        <w:t xml:space="preserve">costs </w:t>
      </w:r>
      <w:r w:rsidR="00C43267">
        <w:rPr>
          <w:rFonts w:ascii="Verdana" w:hAnsi="Verdana"/>
          <w:sz w:val="20"/>
          <w:szCs w:val="20"/>
        </w:rPr>
        <w:t xml:space="preserve">of these benefits will be </w:t>
      </w:r>
      <w:r>
        <w:rPr>
          <w:rFonts w:ascii="Verdana" w:hAnsi="Verdana"/>
          <w:sz w:val="20"/>
          <w:szCs w:val="20"/>
        </w:rPr>
        <w:t xml:space="preserve">borne by </w:t>
      </w:r>
      <w:r w:rsidR="00C43267">
        <w:rPr>
          <w:rFonts w:ascii="Verdana" w:hAnsi="Verdana"/>
          <w:sz w:val="20"/>
          <w:szCs w:val="20"/>
        </w:rPr>
        <w:t xml:space="preserve">a small </w:t>
      </w:r>
      <w:r>
        <w:rPr>
          <w:rFonts w:ascii="Verdana" w:hAnsi="Verdana"/>
          <w:sz w:val="20"/>
          <w:szCs w:val="20"/>
        </w:rPr>
        <w:t>issuer</w:t>
      </w:r>
      <w:r w:rsidR="008C1FAD">
        <w:rPr>
          <w:rFonts w:ascii="Verdana" w:hAnsi="Verdana"/>
          <w:sz w:val="20"/>
          <w:szCs w:val="20"/>
        </w:rPr>
        <w:t>’</w:t>
      </w:r>
      <w:r>
        <w:rPr>
          <w:rFonts w:ascii="Verdana" w:hAnsi="Verdana"/>
          <w:sz w:val="20"/>
          <w:szCs w:val="20"/>
        </w:rPr>
        <w:t xml:space="preserve">s customers. </w:t>
      </w:r>
    </w:p>
    <w:p w:rsidR="00B11E02" w:rsidRDefault="00B11E02" w:rsidP="00C002D4">
      <w:pPr>
        <w:spacing w:after="0"/>
        <w:rPr>
          <w:rFonts w:ascii="Verdana" w:hAnsi="Verdana"/>
          <w:sz w:val="20"/>
          <w:szCs w:val="20"/>
        </w:rPr>
      </w:pPr>
    </w:p>
    <w:p w:rsidR="003C6424" w:rsidRDefault="0059558F" w:rsidP="00C002D4">
      <w:pPr>
        <w:spacing w:after="0"/>
        <w:rPr>
          <w:rFonts w:ascii="Verdana" w:hAnsi="Verdana"/>
          <w:sz w:val="20"/>
          <w:szCs w:val="20"/>
        </w:rPr>
      </w:pPr>
      <w:r>
        <w:rPr>
          <w:rFonts w:ascii="Verdana" w:hAnsi="Verdana"/>
          <w:sz w:val="20"/>
          <w:szCs w:val="20"/>
        </w:rPr>
        <w:t xml:space="preserve">The RBA notes in its Issues Paper </w:t>
      </w:r>
      <w:r w:rsidR="00DA4829">
        <w:rPr>
          <w:rFonts w:ascii="Verdana" w:hAnsi="Verdana"/>
          <w:sz w:val="20"/>
          <w:szCs w:val="20"/>
        </w:rPr>
        <w:t>th</w:t>
      </w:r>
      <w:r>
        <w:rPr>
          <w:rFonts w:ascii="Verdana" w:hAnsi="Verdana"/>
          <w:sz w:val="20"/>
          <w:szCs w:val="20"/>
        </w:rPr>
        <w:t>at</w:t>
      </w:r>
      <w:r w:rsidR="00DA4829">
        <w:rPr>
          <w:rFonts w:ascii="Verdana" w:hAnsi="Verdana"/>
          <w:sz w:val="20"/>
          <w:szCs w:val="20"/>
        </w:rPr>
        <w:t xml:space="preserve"> “a more active strategy employed by schemes has been to introduce completely new, higher interchange rate categories” which is leading to “replacing standard cards with ‘premium’ cards, premium cards with ‘super-premium’ cards, and so on”. </w:t>
      </w:r>
    </w:p>
    <w:p w:rsidR="003C6424" w:rsidRDefault="003C6424" w:rsidP="00C002D4">
      <w:pPr>
        <w:spacing w:after="0"/>
        <w:rPr>
          <w:rFonts w:ascii="Verdana" w:hAnsi="Verdana"/>
          <w:sz w:val="20"/>
          <w:szCs w:val="20"/>
        </w:rPr>
      </w:pPr>
    </w:p>
    <w:p w:rsidR="00DA4829" w:rsidRDefault="00DA4829" w:rsidP="00C002D4">
      <w:pPr>
        <w:spacing w:after="0"/>
        <w:rPr>
          <w:rFonts w:ascii="Verdana" w:hAnsi="Verdana"/>
          <w:sz w:val="20"/>
          <w:szCs w:val="20"/>
        </w:rPr>
      </w:pPr>
      <w:r>
        <w:rPr>
          <w:rFonts w:ascii="Verdana" w:hAnsi="Verdana"/>
          <w:sz w:val="20"/>
          <w:szCs w:val="20"/>
        </w:rPr>
        <w:t xml:space="preserve">While COBA accepts there is a policy case to limit the </w:t>
      </w:r>
      <w:r w:rsidR="0088503F">
        <w:rPr>
          <w:rFonts w:ascii="Verdana" w:hAnsi="Verdana"/>
          <w:sz w:val="20"/>
          <w:szCs w:val="20"/>
        </w:rPr>
        <w:t xml:space="preserve">rate of </w:t>
      </w:r>
      <w:r>
        <w:rPr>
          <w:rFonts w:ascii="Verdana" w:hAnsi="Verdana"/>
          <w:sz w:val="20"/>
          <w:szCs w:val="20"/>
        </w:rPr>
        <w:t xml:space="preserve">growth of interchange fees, we believe it is imperative that these fees continue to support </w:t>
      </w:r>
      <w:r w:rsidR="003C6424">
        <w:rPr>
          <w:rFonts w:ascii="Verdana" w:hAnsi="Verdana"/>
          <w:sz w:val="20"/>
          <w:szCs w:val="20"/>
        </w:rPr>
        <w:t>the smaller card issuers in being able to offer low cost credit card offerings in a market dominated by the major bank issuers</w:t>
      </w:r>
      <w:r w:rsidR="00D577ED">
        <w:rPr>
          <w:rFonts w:ascii="Verdana" w:hAnsi="Verdana"/>
          <w:sz w:val="20"/>
          <w:szCs w:val="20"/>
        </w:rPr>
        <w:t xml:space="preserve"> that generally offer higher priced credit cards</w:t>
      </w:r>
      <w:r w:rsidR="003C6424">
        <w:rPr>
          <w:rFonts w:ascii="Verdana" w:hAnsi="Verdana"/>
          <w:sz w:val="20"/>
          <w:szCs w:val="20"/>
        </w:rPr>
        <w:t>.</w:t>
      </w:r>
    </w:p>
    <w:p w:rsidR="00DA4829" w:rsidRDefault="00DA4829" w:rsidP="00C002D4">
      <w:pPr>
        <w:spacing w:after="0"/>
        <w:rPr>
          <w:rFonts w:ascii="Verdana" w:hAnsi="Verdana"/>
          <w:sz w:val="20"/>
          <w:szCs w:val="20"/>
        </w:rPr>
      </w:pPr>
    </w:p>
    <w:p w:rsidR="001C7D58" w:rsidRDefault="004772AD">
      <w:pPr>
        <w:spacing w:after="0"/>
        <w:rPr>
          <w:rFonts w:ascii="Verdana" w:hAnsi="Verdana"/>
          <w:sz w:val="20"/>
          <w:szCs w:val="20"/>
        </w:rPr>
      </w:pPr>
      <w:r>
        <w:rPr>
          <w:rFonts w:ascii="Verdana" w:hAnsi="Verdana"/>
          <w:sz w:val="20"/>
          <w:szCs w:val="20"/>
        </w:rPr>
        <w:t>I</w:t>
      </w:r>
      <w:r w:rsidR="00E1021C">
        <w:rPr>
          <w:rFonts w:ascii="Verdana" w:hAnsi="Verdana"/>
          <w:sz w:val="20"/>
          <w:szCs w:val="20"/>
        </w:rPr>
        <w:t xml:space="preserve">f the RBA is concerned that that the growth in premium </w:t>
      </w:r>
      <w:r w:rsidR="00D577ED">
        <w:rPr>
          <w:rFonts w:ascii="Verdana" w:hAnsi="Verdana"/>
          <w:sz w:val="20"/>
          <w:szCs w:val="20"/>
        </w:rPr>
        <w:t xml:space="preserve">and super premium </w:t>
      </w:r>
      <w:r w:rsidR="00E1021C">
        <w:rPr>
          <w:rFonts w:ascii="Verdana" w:hAnsi="Verdana"/>
          <w:sz w:val="20"/>
          <w:szCs w:val="20"/>
        </w:rPr>
        <w:t>cards is causing an upward ‘drift’ in the average interchange fees</w:t>
      </w:r>
      <w:r>
        <w:rPr>
          <w:rFonts w:ascii="Verdana" w:hAnsi="Verdana"/>
          <w:sz w:val="20"/>
          <w:szCs w:val="20"/>
        </w:rPr>
        <w:t xml:space="preserve">, </w:t>
      </w:r>
      <w:r w:rsidR="00D577ED">
        <w:rPr>
          <w:rFonts w:ascii="Verdana" w:hAnsi="Verdana"/>
          <w:sz w:val="20"/>
          <w:szCs w:val="20"/>
        </w:rPr>
        <w:t xml:space="preserve">then </w:t>
      </w:r>
      <w:r>
        <w:rPr>
          <w:rFonts w:ascii="Verdana" w:hAnsi="Verdana"/>
          <w:sz w:val="20"/>
          <w:szCs w:val="20"/>
        </w:rPr>
        <w:t xml:space="preserve">that part of the card market </w:t>
      </w:r>
      <w:r w:rsidR="00D577ED">
        <w:rPr>
          <w:rFonts w:ascii="Verdana" w:hAnsi="Verdana"/>
          <w:sz w:val="20"/>
          <w:szCs w:val="20"/>
        </w:rPr>
        <w:t xml:space="preserve">should be </w:t>
      </w:r>
      <w:r>
        <w:rPr>
          <w:rFonts w:ascii="Verdana" w:hAnsi="Verdana"/>
          <w:sz w:val="20"/>
          <w:szCs w:val="20"/>
        </w:rPr>
        <w:t>subject</w:t>
      </w:r>
      <w:r w:rsidR="004C7543">
        <w:rPr>
          <w:rFonts w:ascii="Verdana" w:hAnsi="Verdana"/>
          <w:sz w:val="20"/>
          <w:szCs w:val="20"/>
        </w:rPr>
        <w:t xml:space="preserve"> </w:t>
      </w:r>
      <w:r w:rsidR="00D577ED">
        <w:rPr>
          <w:rFonts w:ascii="Verdana" w:hAnsi="Verdana"/>
          <w:sz w:val="20"/>
          <w:szCs w:val="20"/>
        </w:rPr>
        <w:t xml:space="preserve">to limited reforms that </w:t>
      </w:r>
      <w:r w:rsidR="004C7543">
        <w:rPr>
          <w:rFonts w:ascii="Verdana" w:hAnsi="Verdana"/>
          <w:sz w:val="20"/>
          <w:szCs w:val="20"/>
        </w:rPr>
        <w:t>cap the highest individual fee rate that a scheme could offer, as well as a possible limit on the number of categories of interchange fees.</w:t>
      </w:r>
      <w:r>
        <w:rPr>
          <w:rFonts w:ascii="Verdana" w:hAnsi="Verdana"/>
          <w:sz w:val="20"/>
          <w:szCs w:val="20"/>
        </w:rPr>
        <w:t xml:space="preserve"> </w:t>
      </w:r>
    </w:p>
    <w:p w:rsidR="001C7D58" w:rsidRDefault="001C7D58" w:rsidP="00C002D4">
      <w:pPr>
        <w:spacing w:after="0"/>
        <w:rPr>
          <w:rFonts w:ascii="Verdana" w:hAnsi="Verdana"/>
          <w:sz w:val="20"/>
          <w:szCs w:val="20"/>
        </w:rPr>
      </w:pPr>
    </w:p>
    <w:p w:rsidR="00504316" w:rsidRDefault="004772AD" w:rsidP="00C002D4">
      <w:pPr>
        <w:spacing w:after="0"/>
        <w:rPr>
          <w:rFonts w:ascii="Verdana" w:hAnsi="Verdana"/>
          <w:sz w:val="20"/>
          <w:szCs w:val="20"/>
        </w:rPr>
      </w:pPr>
      <w:r>
        <w:rPr>
          <w:rFonts w:ascii="Verdana" w:hAnsi="Verdana"/>
          <w:sz w:val="20"/>
          <w:szCs w:val="20"/>
        </w:rPr>
        <w:t xml:space="preserve">By doing </w:t>
      </w:r>
      <w:r w:rsidR="004C7543">
        <w:rPr>
          <w:rFonts w:ascii="Verdana" w:hAnsi="Verdana"/>
          <w:sz w:val="20"/>
          <w:szCs w:val="20"/>
        </w:rPr>
        <w:t>this</w:t>
      </w:r>
      <w:r>
        <w:rPr>
          <w:rFonts w:ascii="Verdana" w:hAnsi="Verdana"/>
          <w:sz w:val="20"/>
          <w:szCs w:val="20"/>
        </w:rPr>
        <w:t xml:space="preserve">, the smaller card issuers that offer the most competitive interest rates can continue to rely on interchange fees to cover legitimate costs while offering low cost card options in the market place. </w:t>
      </w:r>
    </w:p>
    <w:p w:rsidR="004772AD" w:rsidRDefault="004772AD" w:rsidP="00C002D4">
      <w:pPr>
        <w:spacing w:after="0"/>
        <w:rPr>
          <w:rFonts w:ascii="Verdana" w:hAnsi="Verdana"/>
          <w:sz w:val="20"/>
          <w:szCs w:val="20"/>
        </w:rPr>
      </w:pPr>
    </w:p>
    <w:p w:rsidR="00E47ACF" w:rsidRPr="00324892" w:rsidRDefault="00E47ACF" w:rsidP="00E47ACF">
      <w:pPr>
        <w:spacing w:after="0"/>
        <w:rPr>
          <w:rFonts w:ascii="Verdana" w:hAnsi="Verdana"/>
          <w:b/>
          <w:sz w:val="20"/>
          <w:szCs w:val="20"/>
        </w:rPr>
      </w:pPr>
      <w:r w:rsidRPr="001C7D58">
        <w:rPr>
          <w:rFonts w:ascii="Verdana" w:hAnsi="Verdana"/>
          <w:b/>
          <w:sz w:val="20"/>
          <w:szCs w:val="20"/>
        </w:rPr>
        <w:t>Prepaid Cards</w:t>
      </w:r>
    </w:p>
    <w:p w:rsidR="001C7D58" w:rsidRDefault="001C7D58" w:rsidP="001C7D58">
      <w:pPr>
        <w:spacing w:after="0"/>
        <w:rPr>
          <w:rFonts w:ascii="Verdana" w:hAnsi="Verdana" w:cs="Arial"/>
          <w:sz w:val="20"/>
          <w:szCs w:val="20"/>
        </w:rPr>
      </w:pPr>
      <w:r>
        <w:rPr>
          <w:rFonts w:ascii="Verdana" w:hAnsi="Verdana" w:cs="Arial"/>
          <w:sz w:val="20"/>
          <w:szCs w:val="20"/>
        </w:rPr>
        <w:t>COBA notes that the RBA’s expectation, since 2006, has been “that interchange fees for transactions on these cards would be published and set broadly in conformity with the Standard on interchange fees in the Visa Debit system.”</w:t>
      </w:r>
    </w:p>
    <w:p w:rsidR="001C7D58" w:rsidRDefault="001C7D58" w:rsidP="001C7D58">
      <w:pPr>
        <w:spacing w:after="0"/>
        <w:rPr>
          <w:rFonts w:ascii="Verdana" w:hAnsi="Verdana" w:cs="Arial"/>
          <w:sz w:val="20"/>
          <w:szCs w:val="20"/>
        </w:rPr>
      </w:pPr>
    </w:p>
    <w:p w:rsidR="00492CB1" w:rsidRDefault="001C7D58" w:rsidP="00E02D31">
      <w:pPr>
        <w:spacing w:after="0"/>
        <w:rPr>
          <w:rFonts w:ascii="Verdana" w:hAnsi="Verdana"/>
          <w:sz w:val="20"/>
          <w:szCs w:val="20"/>
        </w:rPr>
      </w:pPr>
      <w:r>
        <w:rPr>
          <w:rFonts w:ascii="Verdana" w:hAnsi="Verdana" w:cs="Arial"/>
          <w:sz w:val="20"/>
          <w:szCs w:val="20"/>
        </w:rPr>
        <w:t>COBA understand</w:t>
      </w:r>
      <w:r w:rsidR="008C1FAD">
        <w:rPr>
          <w:rFonts w:ascii="Verdana" w:hAnsi="Verdana" w:cs="Arial"/>
          <w:sz w:val="20"/>
          <w:szCs w:val="20"/>
        </w:rPr>
        <w:t>s</w:t>
      </w:r>
      <w:r>
        <w:rPr>
          <w:rFonts w:ascii="Verdana" w:hAnsi="Verdana" w:cs="Arial"/>
          <w:sz w:val="20"/>
          <w:szCs w:val="20"/>
        </w:rPr>
        <w:t xml:space="preserve"> </w:t>
      </w:r>
      <w:r w:rsidR="00E47ACF" w:rsidRPr="001C7D58">
        <w:rPr>
          <w:rFonts w:ascii="Verdana" w:hAnsi="Verdana"/>
          <w:sz w:val="20"/>
          <w:szCs w:val="20"/>
        </w:rPr>
        <w:t xml:space="preserve">that </w:t>
      </w:r>
      <w:r w:rsidR="008C1FAD">
        <w:rPr>
          <w:rFonts w:ascii="Verdana" w:hAnsi="Verdana"/>
          <w:sz w:val="20"/>
          <w:szCs w:val="20"/>
        </w:rPr>
        <w:t>this is the case</w:t>
      </w:r>
      <w:r w:rsidR="000C34CC">
        <w:rPr>
          <w:rFonts w:ascii="Verdana" w:hAnsi="Verdana"/>
          <w:sz w:val="20"/>
          <w:szCs w:val="20"/>
        </w:rPr>
        <w:t xml:space="preserve">, with </w:t>
      </w:r>
      <w:r w:rsidR="00E47ACF" w:rsidRPr="001C7D58">
        <w:rPr>
          <w:rFonts w:ascii="Verdana" w:hAnsi="Verdana"/>
          <w:sz w:val="20"/>
          <w:szCs w:val="20"/>
        </w:rPr>
        <w:t xml:space="preserve">participants in the prepaid card market </w:t>
      </w:r>
      <w:r w:rsidR="00E02D31">
        <w:rPr>
          <w:rFonts w:ascii="Verdana" w:hAnsi="Verdana"/>
          <w:sz w:val="20"/>
          <w:szCs w:val="20"/>
        </w:rPr>
        <w:t xml:space="preserve">complying with </w:t>
      </w:r>
      <w:r>
        <w:rPr>
          <w:rFonts w:ascii="Verdana" w:hAnsi="Verdana"/>
          <w:sz w:val="20"/>
          <w:szCs w:val="20"/>
        </w:rPr>
        <w:t>the Visa Debit interchange fee</w:t>
      </w:r>
      <w:r w:rsidR="000C34CC">
        <w:rPr>
          <w:rFonts w:ascii="Verdana" w:hAnsi="Verdana"/>
          <w:sz w:val="20"/>
          <w:szCs w:val="20"/>
        </w:rPr>
        <w:t xml:space="preserve"> Standard</w:t>
      </w:r>
      <w:r>
        <w:rPr>
          <w:rFonts w:ascii="Verdana" w:hAnsi="Verdana"/>
          <w:sz w:val="20"/>
          <w:szCs w:val="20"/>
        </w:rPr>
        <w:t xml:space="preserve">. </w:t>
      </w:r>
      <w:r w:rsidR="008C1FAD">
        <w:rPr>
          <w:rFonts w:ascii="Verdana" w:hAnsi="Verdana"/>
          <w:sz w:val="20"/>
          <w:szCs w:val="20"/>
        </w:rPr>
        <w:t xml:space="preserve">On the basis of competitive neutrality, </w:t>
      </w:r>
      <w:r w:rsidR="00E02D31">
        <w:rPr>
          <w:rFonts w:ascii="Verdana" w:hAnsi="Verdana"/>
          <w:sz w:val="20"/>
          <w:szCs w:val="20"/>
        </w:rPr>
        <w:t xml:space="preserve">COBA </w:t>
      </w:r>
      <w:r w:rsidR="008C1FAD">
        <w:rPr>
          <w:rFonts w:ascii="Verdana" w:hAnsi="Verdana"/>
          <w:sz w:val="20"/>
          <w:szCs w:val="20"/>
        </w:rPr>
        <w:t>does not object to formally including</w:t>
      </w:r>
      <w:r w:rsidR="00E02D31">
        <w:rPr>
          <w:rFonts w:ascii="Verdana" w:hAnsi="Verdana"/>
          <w:sz w:val="20"/>
          <w:szCs w:val="20"/>
        </w:rPr>
        <w:t xml:space="preserve"> </w:t>
      </w:r>
      <w:r w:rsidR="00E02D31" w:rsidRPr="00E02D31">
        <w:rPr>
          <w:rFonts w:ascii="Verdana" w:hAnsi="Verdana"/>
          <w:sz w:val="20"/>
          <w:szCs w:val="20"/>
        </w:rPr>
        <w:t>prepaid cards within the Standard</w:t>
      </w:r>
      <w:r w:rsidR="008C1FAD">
        <w:rPr>
          <w:rFonts w:ascii="Verdana" w:hAnsi="Verdana"/>
          <w:sz w:val="20"/>
          <w:szCs w:val="20"/>
        </w:rPr>
        <w:t>.</w:t>
      </w:r>
      <w:r w:rsidR="00D577ED">
        <w:rPr>
          <w:rFonts w:ascii="Verdana" w:hAnsi="Verdana"/>
          <w:sz w:val="20"/>
          <w:szCs w:val="20"/>
        </w:rPr>
        <w:t xml:space="preserve"> </w:t>
      </w:r>
    </w:p>
    <w:p w:rsidR="002A7760" w:rsidRPr="00E02D31" w:rsidRDefault="002A7760" w:rsidP="00E02D31">
      <w:pPr>
        <w:spacing w:after="0"/>
        <w:rPr>
          <w:rFonts w:ascii="Verdana" w:hAnsi="Verdana"/>
          <w:sz w:val="20"/>
          <w:szCs w:val="20"/>
        </w:rPr>
      </w:pPr>
    </w:p>
    <w:p w:rsidR="00E47ACF" w:rsidRPr="00E02D31" w:rsidRDefault="00E47ACF" w:rsidP="00E02D31">
      <w:pPr>
        <w:spacing w:after="0"/>
        <w:rPr>
          <w:rFonts w:ascii="Verdana" w:hAnsi="Verdana"/>
          <w:b/>
          <w:sz w:val="20"/>
          <w:szCs w:val="20"/>
        </w:rPr>
      </w:pPr>
      <w:r w:rsidRPr="00E02D31">
        <w:rPr>
          <w:rFonts w:ascii="Verdana" w:hAnsi="Verdana"/>
          <w:b/>
          <w:sz w:val="20"/>
          <w:szCs w:val="20"/>
        </w:rPr>
        <w:t xml:space="preserve">Routing </w:t>
      </w:r>
    </w:p>
    <w:p w:rsidR="00E47ACF" w:rsidRDefault="008C1FAD" w:rsidP="002A7760">
      <w:pPr>
        <w:spacing w:after="0"/>
        <w:rPr>
          <w:rFonts w:ascii="Verdana" w:hAnsi="Verdana"/>
          <w:sz w:val="20"/>
          <w:szCs w:val="20"/>
        </w:rPr>
      </w:pPr>
      <w:r>
        <w:rPr>
          <w:rFonts w:ascii="Verdana" w:hAnsi="Verdana"/>
          <w:sz w:val="20"/>
          <w:szCs w:val="20"/>
        </w:rPr>
        <w:t>C</w:t>
      </w:r>
      <w:r w:rsidR="00E47ACF" w:rsidRPr="002A7760">
        <w:rPr>
          <w:rFonts w:ascii="Verdana" w:hAnsi="Verdana"/>
          <w:sz w:val="20"/>
          <w:szCs w:val="20"/>
        </w:rPr>
        <w:t>ardholders should</w:t>
      </w:r>
      <w:r w:rsidR="000843E7" w:rsidRPr="002A7760">
        <w:rPr>
          <w:rFonts w:ascii="Verdana" w:hAnsi="Verdana"/>
          <w:sz w:val="20"/>
          <w:szCs w:val="20"/>
        </w:rPr>
        <w:t xml:space="preserve"> continue to</w:t>
      </w:r>
      <w:r w:rsidR="00E47ACF" w:rsidRPr="002A7760">
        <w:rPr>
          <w:rFonts w:ascii="Verdana" w:hAnsi="Verdana"/>
          <w:sz w:val="20"/>
          <w:szCs w:val="20"/>
        </w:rPr>
        <w:t xml:space="preserve"> be able to decide which account and scheme should be used for a transaction. Enabling merchants to decide on routing </w:t>
      </w:r>
      <w:r>
        <w:rPr>
          <w:rFonts w:ascii="Verdana" w:hAnsi="Verdana"/>
          <w:sz w:val="20"/>
          <w:szCs w:val="20"/>
        </w:rPr>
        <w:t>may</w:t>
      </w:r>
      <w:r w:rsidR="00E47ACF" w:rsidRPr="002A7760">
        <w:rPr>
          <w:rFonts w:ascii="Verdana" w:hAnsi="Verdana"/>
          <w:sz w:val="20"/>
          <w:szCs w:val="20"/>
        </w:rPr>
        <w:t xml:space="preserve"> benefit</w:t>
      </w:r>
      <w:r>
        <w:rPr>
          <w:rFonts w:ascii="Verdana" w:hAnsi="Verdana"/>
          <w:sz w:val="20"/>
          <w:szCs w:val="20"/>
        </w:rPr>
        <w:t xml:space="preserve"> some of the largest merchants, but at the expense of cardholders, issuers and smaller merchants.</w:t>
      </w:r>
      <w:r w:rsidR="00E47ACF" w:rsidRPr="002A7760">
        <w:rPr>
          <w:rFonts w:ascii="Verdana" w:hAnsi="Verdana"/>
          <w:sz w:val="20"/>
          <w:szCs w:val="20"/>
        </w:rPr>
        <w:t xml:space="preserve"> </w:t>
      </w:r>
    </w:p>
    <w:p w:rsidR="002A7760" w:rsidRPr="002A7760" w:rsidRDefault="002A7760" w:rsidP="002A7760">
      <w:pPr>
        <w:spacing w:after="0"/>
        <w:rPr>
          <w:rFonts w:ascii="Verdana" w:hAnsi="Verdana"/>
          <w:sz w:val="20"/>
          <w:szCs w:val="20"/>
        </w:rPr>
      </w:pPr>
    </w:p>
    <w:p w:rsidR="0076747D" w:rsidRPr="0076747D" w:rsidRDefault="0076747D" w:rsidP="00C002D4">
      <w:pPr>
        <w:spacing w:after="0"/>
        <w:rPr>
          <w:rFonts w:ascii="Verdana" w:hAnsi="Verdana"/>
          <w:b/>
          <w:sz w:val="20"/>
          <w:szCs w:val="20"/>
        </w:rPr>
      </w:pPr>
      <w:r>
        <w:rPr>
          <w:rFonts w:ascii="Verdana" w:hAnsi="Verdana"/>
          <w:b/>
          <w:sz w:val="20"/>
          <w:szCs w:val="20"/>
        </w:rPr>
        <w:t xml:space="preserve">Surcharging </w:t>
      </w:r>
    </w:p>
    <w:p w:rsidR="008C1FAD" w:rsidRDefault="00C5441A" w:rsidP="00832F46">
      <w:pPr>
        <w:spacing w:after="0"/>
        <w:rPr>
          <w:rFonts w:ascii="Verdana" w:hAnsi="Verdana"/>
          <w:sz w:val="20"/>
          <w:szCs w:val="20"/>
        </w:rPr>
      </w:pPr>
      <w:r>
        <w:rPr>
          <w:rFonts w:ascii="Verdana" w:hAnsi="Verdana"/>
          <w:sz w:val="20"/>
          <w:szCs w:val="20"/>
        </w:rPr>
        <w:t>COBA supports action to reduce excessive surcharging.</w:t>
      </w:r>
    </w:p>
    <w:p w:rsidR="008C1FAD" w:rsidRDefault="008C1FAD" w:rsidP="00832F46">
      <w:pPr>
        <w:spacing w:after="0"/>
        <w:rPr>
          <w:rFonts w:ascii="Verdana" w:hAnsi="Verdana"/>
          <w:sz w:val="20"/>
          <w:szCs w:val="20"/>
        </w:rPr>
      </w:pPr>
    </w:p>
    <w:p w:rsidR="00C5441A" w:rsidRDefault="00C5441A" w:rsidP="002A7760">
      <w:pPr>
        <w:autoSpaceDE w:val="0"/>
        <w:autoSpaceDN w:val="0"/>
        <w:adjustRightInd w:val="0"/>
        <w:spacing w:after="0" w:line="240" w:lineRule="auto"/>
        <w:rPr>
          <w:rFonts w:ascii="Verdana" w:hAnsi="Verdana"/>
          <w:sz w:val="20"/>
          <w:szCs w:val="20"/>
        </w:rPr>
      </w:pPr>
      <w:r>
        <w:rPr>
          <w:rFonts w:ascii="Verdana" w:hAnsi="Verdana" w:cs="Verdana"/>
          <w:sz w:val="20"/>
          <w:szCs w:val="20"/>
        </w:rPr>
        <w:t>Merchants have been clear beneficiaries of the RBA’s payments system reforms, yet many merchants have taken advantage of the RBA’s abolition of the no-surcharge rule to gouge their customers.</w:t>
      </w:r>
    </w:p>
    <w:p w:rsidR="00C5441A" w:rsidRDefault="00C5441A" w:rsidP="002A7760">
      <w:pPr>
        <w:autoSpaceDE w:val="0"/>
        <w:autoSpaceDN w:val="0"/>
        <w:adjustRightInd w:val="0"/>
        <w:spacing w:after="0" w:line="240" w:lineRule="auto"/>
        <w:rPr>
          <w:rFonts w:ascii="Verdana" w:hAnsi="Verdana"/>
          <w:sz w:val="20"/>
          <w:szCs w:val="20"/>
        </w:rPr>
      </w:pPr>
      <w:r>
        <w:rPr>
          <w:rFonts w:ascii="Verdana" w:hAnsi="Verdana" w:cs="Verdana"/>
          <w:sz w:val="20"/>
          <w:szCs w:val="20"/>
        </w:rPr>
        <w:lastRenderedPageBreak/>
        <w:t>Merchant</w:t>
      </w:r>
      <w:r w:rsidR="00E40705">
        <w:rPr>
          <w:rFonts w:ascii="Verdana" w:hAnsi="Verdana" w:cs="Verdana"/>
          <w:sz w:val="20"/>
          <w:szCs w:val="20"/>
        </w:rPr>
        <w:t>s</w:t>
      </w:r>
      <w:r>
        <w:rPr>
          <w:rFonts w:ascii="Verdana" w:hAnsi="Verdana" w:cs="Verdana"/>
          <w:sz w:val="20"/>
          <w:szCs w:val="20"/>
        </w:rPr>
        <w:t xml:space="preserve"> should be allowed flexibility in recovering their costs of card acceptance and consumers should be allowed the opportunity to exercise choice in response to fair and accurate price signals.</w:t>
      </w:r>
    </w:p>
    <w:p w:rsidR="00C5441A" w:rsidRDefault="00C5441A" w:rsidP="00832F46">
      <w:pPr>
        <w:spacing w:after="0"/>
        <w:rPr>
          <w:rFonts w:ascii="Verdana" w:hAnsi="Verdana"/>
          <w:sz w:val="20"/>
          <w:szCs w:val="20"/>
        </w:rPr>
      </w:pPr>
    </w:p>
    <w:p w:rsidR="00C5441A" w:rsidRDefault="00C5441A" w:rsidP="00832F46">
      <w:pPr>
        <w:spacing w:after="0"/>
        <w:rPr>
          <w:rFonts w:ascii="Verdana" w:hAnsi="Verdana"/>
          <w:sz w:val="20"/>
          <w:szCs w:val="20"/>
        </w:rPr>
      </w:pPr>
      <w:r>
        <w:rPr>
          <w:rFonts w:ascii="Verdana" w:hAnsi="Verdana"/>
          <w:sz w:val="20"/>
          <w:szCs w:val="20"/>
        </w:rPr>
        <w:t>However, some of the options proposed by the RBA would bring additional complexity to the system and could have unintended consequences.</w:t>
      </w:r>
    </w:p>
    <w:p w:rsidR="00E40705" w:rsidRDefault="00E40705" w:rsidP="00832F46">
      <w:pPr>
        <w:spacing w:after="0"/>
        <w:rPr>
          <w:rFonts w:ascii="Verdana" w:hAnsi="Verdana"/>
          <w:sz w:val="20"/>
          <w:szCs w:val="20"/>
        </w:rPr>
      </w:pPr>
    </w:p>
    <w:p w:rsidR="00E40705" w:rsidRDefault="00E40705" w:rsidP="00832F46">
      <w:pPr>
        <w:spacing w:after="0"/>
        <w:rPr>
          <w:rFonts w:ascii="Verdana" w:hAnsi="Verdana"/>
          <w:sz w:val="20"/>
          <w:szCs w:val="20"/>
        </w:rPr>
      </w:pPr>
      <w:r>
        <w:rPr>
          <w:rFonts w:ascii="Verdana" w:hAnsi="Verdana"/>
          <w:sz w:val="20"/>
          <w:szCs w:val="20"/>
        </w:rPr>
        <w:t>The RBA notes that the two industries where concerns about surcharging are most vocal are the taxi and airline industries. CHOICE has published research</w:t>
      </w:r>
      <w:r>
        <w:rPr>
          <w:rStyle w:val="FootnoteReference"/>
          <w:rFonts w:ascii="Verdana" w:hAnsi="Verdana"/>
          <w:sz w:val="20"/>
          <w:szCs w:val="20"/>
        </w:rPr>
        <w:footnoteReference w:id="4"/>
      </w:r>
      <w:r>
        <w:rPr>
          <w:rFonts w:ascii="Verdana" w:hAnsi="Verdana"/>
          <w:sz w:val="20"/>
          <w:szCs w:val="20"/>
          <w:lang w:eastAsia="en-AU"/>
        </w:rPr>
        <w:t xml:space="preserve"> on airline surcharging comparing surcharges with average merchant service fees.</w:t>
      </w:r>
    </w:p>
    <w:p w:rsidR="00C5441A" w:rsidRDefault="00C5441A" w:rsidP="00832F46">
      <w:pPr>
        <w:spacing w:after="0"/>
        <w:rPr>
          <w:rFonts w:ascii="Verdana" w:hAnsi="Verdana"/>
          <w:sz w:val="20"/>
          <w:szCs w:val="20"/>
        </w:rPr>
      </w:pPr>
    </w:p>
    <w:p w:rsidR="00E40705" w:rsidRPr="004C0236" w:rsidRDefault="00E40705" w:rsidP="002A7760">
      <w:pPr>
        <w:spacing w:after="0"/>
        <w:ind w:left="720"/>
        <w:rPr>
          <w:rFonts w:ascii="Verdana" w:hAnsi="Verdana"/>
          <w:sz w:val="20"/>
          <w:szCs w:val="20"/>
          <w:lang w:eastAsia="en-AU"/>
        </w:rPr>
      </w:pPr>
      <w:r w:rsidRPr="004C0236">
        <w:rPr>
          <w:rFonts w:ascii="Verdana" w:hAnsi="Verdana"/>
          <w:bCs/>
          <w:sz w:val="20"/>
          <w:szCs w:val="20"/>
          <w:lang w:eastAsia="en-AU"/>
        </w:rPr>
        <w:t xml:space="preserve">Average merchant service fee for </w:t>
      </w:r>
      <w:proofErr w:type="spellStart"/>
      <w:r w:rsidRPr="004C0236">
        <w:rPr>
          <w:rFonts w:ascii="Verdana" w:hAnsi="Verdana"/>
          <w:bCs/>
          <w:sz w:val="20"/>
          <w:szCs w:val="20"/>
          <w:lang w:eastAsia="en-AU"/>
        </w:rPr>
        <w:t>Mastercard</w:t>
      </w:r>
      <w:proofErr w:type="spellEnd"/>
      <w:r w:rsidRPr="004C0236">
        <w:rPr>
          <w:rFonts w:ascii="Verdana" w:hAnsi="Verdana"/>
          <w:bCs/>
          <w:sz w:val="20"/>
          <w:szCs w:val="20"/>
          <w:lang w:eastAsia="en-AU"/>
        </w:rPr>
        <w:t xml:space="preserve"> and Visa: 0.81%.</w:t>
      </w:r>
    </w:p>
    <w:p w:rsidR="00E40705" w:rsidRPr="004C0236" w:rsidRDefault="00E40705" w:rsidP="002A7760">
      <w:pPr>
        <w:spacing w:after="0"/>
        <w:ind w:left="720"/>
        <w:rPr>
          <w:rFonts w:ascii="Verdana" w:hAnsi="Verdana"/>
          <w:sz w:val="20"/>
          <w:szCs w:val="20"/>
          <w:lang w:eastAsia="en-AU"/>
        </w:rPr>
      </w:pPr>
      <w:r w:rsidRPr="004C0236">
        <w:rPr>
          <w:rFonts w:ascii="Verdana" w:hAnsi="Verdana"/>
          <w:bCs/>
          <w:sz w:val="20"/>
          <w:szCs w:val="20"/>
          <w:lang w:eastAsia="en-AU"/>
        </w:rPr>
        <w:t>Airline mark-ups on that average merchant service fee as at January 2014:</w:t>
      </w:r>
    </w:p>
    <w:p w:rsidR="00E40705" w:rsidRPr="000843E7" w:rsidRDefault="00E40705" w:rsidP="002A7760">
      <w:pPr>
        <w:pStyle w:val="ListParagraph"/>
        <w:numPr>
          <w:ilvl w:val="0"/>
          <w:numId w:val="10"/>
        </w:numPr>
        <w:spacing w:after="0" w:line="240" w:lineRule="auto"/>
        <w:ind w:left="1440"/>
        <w:rPr>
          <w:rFonts w:ascii="Verdana" w:eastAsia="Times New Roman" w:hAnsi="Verdana"/>
          <w:sz w:val="20"/>
          <w:szCs w:val="20"/>
          <w:lang w:eastAsia="en-AU"/>
        </w:rPr>
      </w:pPr>
      <w:r w:rsidRPr="000843E7">
        <w:rPr>
          <w:rFonts w:ascii="Verdana" w:eastAsia="Times New Roman" w:hAnsi="Verdana"/>
          <w:bCs/>
          <w:sz w:val="20"/>
          <w:szCs w:val="20"/>
          <w:lang w:eastAsia="en-AU"/>
        </w:rPr>
        <w:t xml:space="preserve">Qantas </w:t>
      </w:r>
      <w:r w:rsidRPr="000843E7">
        <w:rPr>
          <w:rFonts w:ascii="Verdana" w:eastAsia="Times New Roman" w:hAnsi="Verdana"/>
          <w:sz w:val="20"/>
          <w:szCs w:val="20"/>
          <w:lang w:eastAsia="en-AU"/>
        </w:rPr>
        <w:t>339% for a $197 ticket.</w:t>
      </w:r>
    </w:p>
    <w:p w:rsidR="00E40705" w:rsidRPr="000843E7" w:rsidRDefault="00E40705" w:rsidP="002A7760">
      <w:pPr>
        <w:pStyle w:val="ListParagraph"/>
        <w:numPr>
          <w:ilvl w:val="0"/>
          <w:numId w:val="10"/>
        </w:numPr>
        <w:spacing w:after="0" w:line="240" w:lineRule="auto"/>
        <w:ind w:left="1440"/>
        <w:rPr>
          <w:rFonts w:ascii="Verdana" w:eastAsia="Times New Roman" w:hAnsi="Verdana"/>
          <w:sz w:val="20"/>
          <w:szCs w:val="20"/>
          <w:lang w:eastAsia="en-AU"/>
        </w:rPr>
      </w:pPr>
      <w:r w:rsidRPr="000843E7">
        <w:rPr>
          <w:rFonts w:ascii="Verdana" w:eastAsia="Times New Roman" w:hAnsi="Verdana"/>
          <w:bCs/>
          <w:sz w:val="20"/>
          <w:szCs w:val="20"/>
          <w:lang w:eastAsia="en-AU"/>
        </w:rPr>
        <w:t xml:space="preserve">Virgin Australia </w:t>
      </w:r>
      <w:r w:rsidRPr="000843E7">
        <w:rPr>
          <w:rFonts w:ascii="Verdana" w:eastAsia="Times New Roman" w:hAnsi="Verdana"/>
          <w:sz w:val="20"/>
          <w:szCs w:val="20"/>
          <w:lang w:eastAsia="en-AU"/>
        </w:rPr>
        <w:t>412% for a $185.70 ticket.</w:t>
      </w:r>
    </w:p>
    <w:p w:rsidR="00E40705" w:rsidRPr="000843E7" w:rsidRDefault="00E40705" w:rsidP="002A7760">
      <w:pPr>
        <w:pStyle w:val="ListParagraph"/>
        <w:numPr>
          <w:ilvl w:val="0"/>
          <w:numId w:val="10"/>
        </w:numPr>
        <w:spacing w:after="0" w:line="240" w:lineRule="auto"/>
        <w:ind w:left="1440"/>
        <w:rPr>
          <w:rFonts w:ascii="Verdana" w:eastAsia="Times New Roman" w:hAnsi="Verdana"/>
          <w:sz w:val="20"/>
          <w:szCs w:val="20"/>
          <w:lang w:eastAsia="en-AU"/>
        </w:rPr>
      </w:pPr>
      <w:r w:rsidRPr="000843E7">
        <w:rPr>
          <w:rFonts w:ascii="Verdana" w:eastAsia="Times New Roman" w:hAnsi="Verdana"/>
          <w:bCs/>
          <w:sz w:val="20"/>
          <w:szCs w:val="20"/>
          <w:lang w:eastAsia="en-AU"/>
        </w:rPr>
        <w:t xml:space="preserve">Jetstar </w:t>
      </w:r>
      <w:r w:rsidRPr="000843E7">
        <w:rPr>
          <w:rFonts w:ascii="Verdana" w:eastAsia="Times New Roman" w:hAnsi="Verdana"/>
          <w:sz w:val="20"/>
          <w:szCs w:val="20"/>
          <w:lang w:eastAsia="en-AU"/>
        </w:rPr>
        <w:t>2312% for an $87 ticket.</w:t>
      </w:r>
    </w:p>
    <w:p w:rsidR="00E40705" w:rsidRPr="000843E7" w:rsidRDefault="00E40705" w:rsidP="002A7760">
      <w:pPr>
        <w:pStyle w:val="ListParagraph"/>
        <w:numPr>
          <w:ilvl w:val="0"/>
          <w:numId w:val="10"/>
        </w:numPr>
        <w:spacing w:after="0" w:line="240" w:lineRule="auto"/>
        <w:ind w:left="1440"/>
        <w:rPr>
          <w:rFonts w:ascii="Verdana" w:eastAsia="Times New Roman" w:hAnsi="Verdana"/>
          <w:sz w:val="20"/>
          <w:szCs w:val="20"/>
          <w:lang w:eastAsia="en-AU"/>
        </w:rPr>
      </w:pPr>
      <w:proofErr w:type="spellStart"/>
      <w:r w:rsidRPr="000843E7">
        <w:rPr>
          <w:rFonts w:ascii="Verdana" w:eastAsia="Times New Roman" w:hAnsi="Verdana"/>
          <w:bCs/>
          <w:sz w:val="20"/>
          <w:szCs w:val="20"/>
          <w:lang w:eastAsia="en-AU"/>
        </w:rPr>
        <w:t>Tigerair</w:t>
      </w:r>
      <w:proofErr w:type="spellEnd"/>
      <w:r w:rsidRPr="000843E7">
        <w:rPr>
          <w:rFonts w:ascii="Verdana" w:eastAsia="Times New Roman" w:hAnsi="Verdana"/>
          <w:bCs/>
          <w:sz w:val="20"/>
          <w:szCs w:val="20"/>
          <w:lang w:eastAsia="en-AU"/>
        </w:rPr>
        <w:t xml:space="preserve"> </w:t>
      </w:r>
      <w:r w:rsidRPr="000843E7">
        <w:rPr>
          <w:rFonts w:ascii="Verdana" w:eastAsia="Times New Roman" w:hAnsi="Verdana"/>
          <w:sz w:val="20"/>
          <w:szCs w:val="20"/>
          <w:lang w:eastAsia="en-AU"/>
        </w:rPr>
        <w:t>1479% for a $132.90 ticket.</w:t>
      </w:r>
    </w:p>
    <w:p w:rsidR="00832F46" w:rsidRPr="002D48A3" w:rsidRDefault="00832F46" w:rsidP="00832F46">
      <w:pPr>
        <w:spacing w:after="0"/>
        <w:rPr>
          <w:rFonts w:ascii="Verdana" w:hAnsi="Verdana"/>
          <w:sz w:val="20"/>
          <w:szCs w:val="20"/>
        </w:rPr>
      </w:pPr>
    </w:p>
    <w:p w:rsidR="00E40705" w:rsidRDefault="004C0236" w:rsidP="004C0236">
      <w:pPr>
        <w:spacing w:after="0"/>
        <w:rPr>
          <w:rFonts w:ascii="Verdana" w:hAnsi="Verdana"/>
          <w:sz w:val="20"/>
          <w:szCs w:val="20"/>
        </w:rPr>
      </w:pPr>
      <w:r>
        <w:rPr>
          <w:rFonts w:ascii="Verdana" w:hAnsi="Verdana"/>
          <w:sz w:val="20"/>
          <w:szCs w:val="20"/>
        </w:rPr>
        <w:t xml:space="preserve">Given the ongoing </w:t>
      </w:r>
      <w:r w:rsidR="000843E7">
        <w:rPr>
          <w:rFonts w:ascii="Verdana" w:hAnsi="Verdana"/>
          <w:sz w:val="20"/>
          <w:szCs w:val="20"/>
        </w:rPr>
        <w:t xml:space="preserve">and unreasonable costs to </w:t>
      </w:r>
      <w:r>
        <w:rPr>
          <w:rFonts w:ascii="Verdana" w:hAnsi="Verdana"/>
          <w:sz w:val="20"/>
          <w:szCs w:val="20"/>
        </w:rPr>
        <w:t>consumer</w:t>
      </w:r>
      <w:r w:rsidR="000843E7">
        <w:rPr>
          <w:rFonts w:ascii="Verdana" w:hAnsi="Verdana"/>
          <w:sz w:val="20"/>
          <w:szCs w:val="20"/>
        </w:rPr>
        <w:t>s</w:t>
      </w:r>
      <w:r>
        <w:rPr>
          <w:rFonts w:ascii="Verdana" w:hAnsi="Verdana"/>
          <w:sz w:val="20"/>
          <w:szCs w:val="20"/>
        </w:rPr>
        <w:t xml:space="preserve"> caused by </w:t>
      </w:r>
      <w:r w:rsidR="000843E7">
        <w:rPr>
          <w:rFonts w:ascii="Verdana" w:hAnsi="Verdana"/>
          <w:sz w:val="20"/>
          <w:szCs w:val="20"/>
        </w:rPr>
        <w:t xml:space="preserve">such examples of </w:t>
      </w:r>
      <w:r>
        <w:rPr>
          <w:rFonts w:ascii="Verdana" w:hAnsi="Verdana"/>
          <w:sz w:val="20"/>
          <w:szCs w:val="20"/>
        </w:rPr>
        <w:t xml:space="preserve">excessive surcharging, COBA supports </w:t>
      </w:r>
      <w:r w:rsidR="00E40705">
        <w:rPr>
          <w:rFonts w:ascii="Verdana" w:hAnsi="Verdana"/>
          <w:sz w:val="20"/>
          <w:szCs w:val="20"/>
        </w:rPr>
        <w:t xml:space="preserve">the RBA’s option for a targeted change in the surcharging rules. This would allow schemes to cap any surcharges that </w:t>
      </w:r>
      <w:r w:rsidR="000C34CC">
        <w:rPr>
          <w:rFonts w:ascii="Verdana" w:hAnsi="Verdana"/>
          <w:sz w:val="20"/>
          <w:szCs w:val="20"/>
        </w:rPr>
        <w:t xml:space="preserve">are </w:t>
      </w:r>
      <w:r w:rsidR="00E40705">
        <w:rPr>
          <w:rFonts w:ascii="Verdana" w:hAnsi="Verdana"/>
          <w:sz w:val="20"/>
          <w:szCs w:val="20"/>
        </w:rPr>
        <w:t>not percentage-based at some low fixed-dollar amount, resulting in a significant reduction in surcharges payable on lower-value fares. As noted, this change could be implemented relatively quickly.</w:t>
      </w:r>
    </w:p>
    <w:p w:rsidR="00E40705" w:rsidRDefault="00E40705" w:rsidP="004C0236">
      <w:pPr>
        <w:spacing w:after="0"/>
        <w:rPr>
          <w:rFonts w:ascii="Verdana" w:hAnsi="Verdana"/>
          <w:sz w:val="20"/>
          <w:szCs w:val="20"/>
        </w:rPr>
      </w:pPr>
    </w:p>
    <w:p w:rsidR="00865C09" w:rsidRPr="00C002D4" w:rsidRDefault="00865C09" w:rsidP="00C002D4">
      <w:pPr>
        <w:spacing w:after="0"/>
        <w:rPr>
          <w:rFonts w:ascii="Verdana" w:hAnsi="Verdana"/>
          <w:sz w:val="20"/>
          <w:szCs w:val="20"/>
        </w:rPr>
      </w:pPr>
      <w:r>
        <w:rPr>
          <w:rFonts w:ascii="Verdana" w:hAnsi="Verdana"/>
          <w:sz w:val="20"/>
          <w:szCs w:val="20"/>
        </w:rPr>
        <w:t xml:space="preserve">Please contact me on 02 8035 8448, or Jim Aliferis, Senior Policy Adviser, on 02 8035 8442 to discuss any aspect of this submission. </w:t>
      </w:r>
    </w:p>
    <w:p w:rsidR="00C002D4" w:rsidRPr="00C002D4" w:rsidRDefault="00C002D4" w:rsidP="00C002D4">
      <w:pPr>
        <w:spacing w:after="0"/>
        <w:rPr>
          <w:rFonts w:ascii="Verdana" w:hAnsi="Verdana"/>
          <w:sz w:val="20"/>
          <w:szCs w:val="20"/>
        </w:rPr>
      </w:pPr>
    </w:p>
    <w:p w:rsidR="00C002D4" w:rsidRPr="00C002D4" w:rsidRDefault="00C002D4" w:rsidP="00C002D4">
      <w:pPr>
        <w:spacing w:after="0"/>
        <w:rPr>
          <w:rFonts w:ascii="Verdana" w:hAnsi="Verdana"/>
          <w:sz w:val="20"/>
          <w:szCs w:val="20"/>
        </w:rPr>
      </w:pPr>
      <w:r w:rsidRPr="00C002D4">
        <w:rPr>
          <w:rFonts w:ascii="Verdana" w:hAnsi="Verdana"/>
          <w:sz w:val="20"/>
          <w:szCs w:val="20"/>
        </w:rPr>
        <w:t>Yours sincerely</w:t>
      </w:r>
    </w:p>
    <w:p w:rsidR="00C002D4" w:rsidRDefault="00C002D4" w:rsidP="00C002D4">
      <w:pPr>
        <w:spacing w:after="0"/>
        <w:rPr>
          <w:rFonts w:ascii="Verdana" w:hAnsi="Verdana"/>
          <w:sz w:val="20"/>
          <w:szCs w:val="20"/>
        </w:rPr>
      </w:pPr>
    </w:p>
    <w:p w:rsidR="005260CE" w:rsidRDefault="005260CE" w:rsidP="00C002D4">
      <w:pPr>
        <w:spacing w:after="0"/>
        <w:rPr>
          <w:noProof/>
          <w:lang w:eastAsia="en-AU"/>
        </w:rPr>
      </w:pPr>
    </w:p>
    <w:p w:rsidR="00745D12" w:rsidRDefault="00745D12" w:rsidP="00C002D4">
      <w:pPr>
        <w:spacing w:after="0"/>
        <w:rPr>
          <w:rFonts w:ascii="Verdana" w:hAnsi="Verdana"/>
          <w:sz w:val="20"/>
          <w:szCs w:val="20"/>
        </w:rPr>
      </w:pPr>
    </w:p>
    <w:p w:rsidR="00C002D4" w:rsidRPr="00C002D4" w:rsidRDefault="00865C09" w:rsidP="00C002D4">
      <w:pPr>
        <w:spacing w:after="0"/>
        <w:rPr>
          <w:rStyle w:val="Strong"/>
          <w:szCs w:val="20"/>
        </w:rPr>
      </w:pPr>
      <w:r>
        <w:rPr>
          <w:rStyle w:val="Strong"/>
          <w:szCs w:val="20"/>
        </w:rPr>
        <w:t>LUKE LAWLER</w:t>
      </w:r>
    </w:p>
    <w:p w:rsidR="00C002D4" w:rsidRPr="00C002D4" w:rsidRDefault="00865C09" w:rsidP="00C002D4">
      <w:pPr>
        <w:spacing w:after="0"/>
        <w:rPr>
          <w:rFonts w:ascii="Verdana" w:hAnsi="Verdana"/>
          <w:b/>
          <w:sz w:val="20"/>
          <w:szCs w:val="20"/>
        </w:rPr>
      </w:pPr>
      <w:r>
        <w:rPr>
          <w:rFonts w:ascii="Verdana" w:hAnsi="Verdana"/>
          <w:b/>
          <w:sz w:val="20"/>
          <w:szCs w:val="20"/>
        </w:rPr>
        <w:t xml:space="preserve">Acting Head of Public Affairs </w:t>
      </w:r>
    </w:p>
    <w:sectPr w:rsidR="00C002D4" w:rsidRPr="00C002D4" w:rsidSect="001B1796">
      <w:headerReference w:type="default" r:id="rId12"/>
      <w:footerReference w:type="default" r:id="rId13"/>
      <w:type w:val="continuous"/>
      <w:pgSz w:w="11907" w:h="16839" w:code="9"/>
      <w:pgMar w:top="1276" w:right="1275" w:bottom="1134" w:left="1701" w:header="851" w:footer="5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9C" w:rsidRDefault="009C749C">
      <w:pPr>
        <w:spacing w:after="0" w:line="240" w:lineRule="auto"/>
      </w:pPr>
      <w:r>
        <w:separator/>
      </w:r>
    </w:p>
  </w:endnote>
  <w:endnote w:type="continuationSeparator" w:id="0">
    <w:p w:rsidR="009C749C" w:rsidRDefault="009C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B4" w:rsidRPr="00E6645A" w:rsidRDefault="00464DB4" w:rsidP="002B30E2">
    <w:pPr>
      <w:pStyle w:val="FootnoteText"/>
      <w:tabs>
        <w:tab w:val="left" w:pos="7880"/>
        <w:tab w:val="right" w:pos="9242"/>
      </w:tabs>
      <w:jc w:val="left"/>
    </w:pPr>
    <w:r>
      <w:rPr>
        <w:noProof/>
        <w:lang w:eastAsia="en-AU"/>
      </w:rPr>
      <w:drawing>
        <wp:anchor distT="0" distB="0" distL="114300" distR="114300" simplePos="0" relativeHeight="251658752" behindDoc="0" locked="0" layoutInCell="1" allowOverlap="1" wp14:anchorId="501D7A31" wp14:editId="15E591BB">
          <wp:simplePos x="0" y="0"/>
          <wp:positionH relativeFrom="column">
            <wp:posOffset>3047365</wp:posOffset>
          </wp:positionH>
          <wp:positionV relativeFrom="paragraph">
            <wp:posOffset>20955</wp:posOffset>
          </wp:positionV>
          <wp:extent cx="2877312" cy="121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223 COBA-letterhead-word-footer_update_Final.jpg"/>
                  <pic:cNvPicPr/>
                </pic:nvPicPr>
                <pic:blipFill>
                  <a:blip r:embed="rId1">
                    <a:extLst>
                      <a:ext uri="{28A0092B-C50C-407E-A947-70E740481C1C}">
                        <a14:useLocalDpi xmlns:a14="http://schemas.microsoft.com/office/drawing/2010/main" val="0"/>
                      </a:ext>
                    </a:extLst>
                  </a:blip>
                  <a:stretch>
                    <a:fillRect/>
                  </a:stretch>
                </pic:blipFill>
                <pic:spPr>
                  <a:xfrm>
                    <a:off x="0" y="0"/>
                    <a:ext cx="2877312" cy="12192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8E" w:rsidRDefault="0050654A" w:rsidP="003101AC">
    <w:pPr>
      <w:pStyle w:val="FootnoteText"/>
      <w:ind w:right="-312"/>
    </w:pPr>
    <w:r>
      <w:t xml:space="preserve">         </w:t>
    </w:r>
    <w:sdt>
      <w:sdtPr>
        <w:id w:val="16593462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62A0">
          <w:rPr>
            <w:noProof/>
          </w:rPr>
          <w:t>2</w:t>
        </w:r>
        <w:r>
          <w:rPr>
            <w:noProof/>
          </w:rPr>
          <w:fldChar w:fldCharType="end"/>
        </w:r>
      </w:sdtContent>
    </w:sdt>
  </w:p>
  <w:p w:rsidR="00FB678E" w:rsidRPr="00E6645A" w:rsidRDefault="0050654A" w:rsidP="002B30E2">
    <w:pPr>
      <w:pStyle w:val="FootnoteText"/>
      <w:tabs>
        <w:tab w:val="left" w:pos="7880"/>
        <w:tab w:val="right" w:pos="9242"/>
      </w:tabs>
      <w:jc w:val="left"/>
    </w:pPr>
    <w:r>
      <w:rPr>
        <w:noProof/>
        <w:lang w:eastAsia="en-AU"/>
      </w:rPr>
      <w:drawing>
        <wp:anchor distT="0" distB="0" distL="114300" distR="114300" simplePos="0" relativeHeight="251657728" behindDoc="0" locked="0" layoutInCell="1" allowOverlap="1" wp14:anchorId="576C1C2F" wp14:editId="698216C1">
          <wp:simplePos x="0" y="0"/>
          <wp:positionH relativeFrom="column">
            <wp:posOffset>3037840</wp:posOffset>
          </wp:positionH>
          <wp:positionV relativeFrom="paragraph">
            <wp:posOffset>173355</wp:posOffset>
          </wp:positionV>
          <wp:extent cx="2877312" cy="121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223 COBA-letterhead-word-footer_update_Final.jpg"/>
                  <pic:cNvPicPr/>
                </pic:nvPicPr>
                <pic:blipFill>
                  <a:blip r:embed="rId1">
                    <a:extLst>
                      <a:ext uri="{28A0092B-C50C-407E-A947-70E740481C1C}">
                        <a14:useLocalDpi xmlns:a14="http://schemas.microsoft.com/office/drawing/2010/main" val="0"/>
                      </a:ext>
                    </a:extLst>
                  </a:blip>
                  <a:stretch>
                    <a:fillRect/>
                  </a:stretch>
                </pic:blipFill>
                <pic:spPr>
                  <a:xfrm>
                    <a:off x="0" y="0"/>
                    <a:ext cx="2877312" cy="12192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9C" w:rsidRDefault="009C749C">
      <w:pPr>
        <w:spacing w:after="0" w:line="240" w:lineRule="auto"/>
      </w:pPr>
      <w:r>
        <w:separator/>
      </w:r>
    </w:p>
  </w:footnote>
  <w:footnote w:type="continuationSeparator" w:id="0">
    <w:p w:rsidR="009C749C" w:rsidRDefault="009C749C">
      <w:pPr>
        <w:spacing w:after="0" w:line="240" w:lineRule="auto"/>
      </w:pPr>
      <w:r>
        <w:continuationSeparator/>
      </w:r>
    </w:p>
  </w:footnote>
  <w:footnote w:id="1">
    <w:p w:rsidR="003E26C6" w:rsidRPr="003E26C6" w:rsidRDefault="003E26C6" w:rsidP="003E26C6">
      <w:pPr>
        <w:pStyle w:val="FootnoteText"/>
        <w:jc w:val="left"/>
        <w:rPr>
          <w:szCs w:val="15"/>
        </w:rPr>
      </w:pPr>
      <w:r w:rsidRPr="003E26C6">
        <w:rPr>
          <w:rStyle w:val="FootnoteReference"/>
          <w:szCs w:val="15"/>
        </w:rPr>
        <w:footnoteRef/>
      </w:r>
      <w:r w:rsidRPr="003E26C6">
        <w:rPr>
          <w:szCs w:val="15"/>
        </w:rPr>
        <w:t xml:space="preserve"> </w:t>
      </w:r>
      <w:proofErr w:type="gramStart"/>
      <w:r w:rsidRPr="003E26C6">
        <w:rPr>
          <w:szCs w:val="15"/>
        </w:rPr>
        <w:t xml:space="preserve">Based on data sourced from </w:t>
      </w:r>
      <w:proofErr w:type="spellStart"/>
      <w:r w:rsidRPr="003E26C6">
        <w:rPr>
          <w:szCs w:val="15"/>
        </w:rPr>
        <w:t>Canstar</w:t>
      </w:r>
      <w:proofErr w:type="spellEnd"/>
      <w:r w:rsidRPr="003E26C6">
        <w:rPr>
          <w:szCs w:val="15"/>
        </w:rPr>
        <w:t xml:space="preserve"> Online Database</w:t>
      </w:r>
      <w:r w:rsidR="00492CB1">
        <w:rPr>
          <w:szCs w:val="15"/>
        </w:rPr>
        <w:t>.</w:t>
      </w:r>
      <w:proofErr w:type="gramEnd"/>
    </w:p>
  </w:footnote>
  <w:footnote w:id="2">
    <w:p w:rsidR="00492CB1" w:rsidRPr="00492CB1" w:rsidRDefault="00492CB1" w:rsidP="00492CB1">
      <w:pPr>
        <w:pStyle w:val="FootnoteText"/>
        <w:jc w:val="left"/>
        <w:rPr>
          <w:i/>
        </w:rPr>
      </w:pPr>
      <w:r>
        <w:rPr>
          <w:rStyle w:val="FootnoteReference"/>
        </w:rPr>
        <w:footnoteRef/>
      </w:r>
      <w:r>
        <w:t xml:space="preserve"> </w:t>
      </w:r>
      <w:r>
        <w:rPr>
          <w:i/>
        </w:rPr>
        <w:t>Ibid, 29 April 2015.</w:t>
      </w:r>
    </w:p>
  </w:footnote>
  <w:footnote w:id="3">
    <w:p w:rsidR="00E27CA7" w:rsidRDefault="00E27CA7" w:rsidP="00E27CA7">
      <w:pPr>
        <w:pStyle w:val="FootnoteText"/>
        <w:jc w:val="left"/>
      </w:pPr>
      <w:r>
        <w:rPr>
          <w:rStyle w:val="FootnoteReference"/>
        </w:rPr>
        <w:footnoteRef/>
      </w:r>
      <w:r>
        <w:t xml:space="preserve"> </w:t>
      </w:r>
      <w:hyperlink r:id="rId1" w:history="1">
        <w:r w:rsidRPr="00AE459E">
          <w:rPr>
            <w:rStyle w:val="Hyperlink"/>
          </w:rPr>
          <w:t>http://www.rba.gov.au/payments-system/reforms/cc-schemes/cc-fees-benchmark/guidance.html</w:t>
        </w:r>
      </w:hyperlink>
      <w:r>
        <w:t xml:space="preserve"> </w:t>
      </w:r>
    </w:p>
  </w:footnote>
  <w:footnote w:id="4">
    <w:p w:rsidR="00E40705" w:rsidRPr="00E02D31" w:rsidRDefault="00E40705" w:rsidP="00E40705">
      <w:pPr>
        <w:spacing w:after="0"/>
        <w:rPr>
          <w:rFonts w:ascii="Verdana" w:hAnsi="Verdana"/>
          <w:sz w:val="15"/>
          <w:szCs w:val="15"/>
        </w:rPr>
      </w:pPr>
      <w:r>
        <w:rPr>
          <w:rStyle w:val="FootnoteReference"/>
        </w:rPr>
        <w:footnoteRef/>
      </w:r>
      <w:r>
        <w:t xml:space="preserve"> </w:t>
      </w:r>
      <w:hyperlink r:id="rId2" w:history="1">
        <w:r w:rsidRPr="00E02D31">
          <w:rPr>
            <w:rStyle w:val="Hyperlink"/>
            <w:rFonts w:ascii="Verdana" w:hAnsi="Verdana"/>
            <w:sz w:val="15"/>
            <w:szCs w:val="15"/>
          </w:rPr>
          <w:t>https://www.choice.com.au/money/credit-cards-and-loans/credit-cards/articles/excessive-credit-card-surcharging-update</w:t>
        </w:r>
      </w:hyperlink>
      <w:r w:rsidRPr="00E02D31">
        <w:rPr>
          <w:rFonts w:ascii="Verdana" w:hAnsi="Verdana"/>
          <w:sz w:val="15"/>
          <w:szCs w:val="15"/>
        </w:rPr>
        <w:t xml:space="preserve"> </w:t>
      </w:r>
    </w:p>
    <w:p w:rsidR="00E40705" w:rsidRDefault="00E40705" w:rsidP="00E40705">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B4" w:rsidRDefault="00464DB4">
    <w:pPr>
      <w:pStyle w:val="Header"/>
    </w:pPr>
    <w:r>
      <w:rPr>
        <w:noProof/>
        <w:lang w:eastAsia="en-AU"/>
      </w:rPr>
      <w:drawing>
        <wp:anchor distT="0" distB="0" distL="114300" distR="114300" simplePos="0" relativeHeight="251656704" behindDoc="0" locked="0" layoutInCell="1" allowOverlap="1" wp14:anchorId="45DB60B4" wp14:editId="0C19AD64">
          <wp:simplePos x="0" y="0"/>
          <wp:positionH relativeFrom="page">
            <wp:align>right</wp:align>
          </wp:positionH>
          <wp:positionV relativeFrom="page">
            <wp:align>top</wp:align>
          </wp:positionV>
          <wp:extent cx="7223760" cy="11765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769 COBA-letterhead-temp-syd-update_Fina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223760" cy="11765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EC" w:rsidRDefault="000B6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E04"/>
    <w:multiLevelType w:val="hybridMultilevel"/>
    <w:tmpl w:val="15666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172CF"/>
    <w:multiLevelType w:val="hybridMultilevel"/>
    <w:tmpl w:val="930CA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BDD1451"/>
    <w:multiLevelType w:val="multilevel"/>
    <w:tmpl w:val="28BCF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23247B"/>
    <w:multiLevelType w:val="hybridMultilevel"/>
    <w:tmpl w:val="8156347E"/>
    <w:lvl w:ilvl="0" w:tplc="0C090001">
      <w:start w:val="1"/>
      <w:numFmt w:val="bullet"/>
      <w:lvlText w:val=""/>
      <w:lvlJc w:val="left"/>
      <w:pPr>
        <w:ind w:left="64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361A4C6D"/>
    <w:multiLevelType w:val="hybridMultilevel"/>
    <w:tmpl w:val="6FF8F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BD64B5B"/>
    <w:multiLevelType w:val="hybridMultilevel"/>
    <w:tmpl w:val="5B0A2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245338"/>
    <w:multiLevelType w:val="hybridMultilevel"/>
    <w:tmpl w:val="B6F44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9AE6C5F"/>
    <w:multiLevelType w:val="hybridMultilevel"/>
    <w:tmpl w:val="A306B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B82D58"/>
    <w:multiLevelType w:val="hybridMultilevel"/>
    <w:tmpl w:val="82B6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A10C72"/>
    <w:multiLevelType w:val="hybridMultilevel"/>
    <w:tmpl w:val="51F80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0"/>
  </w:num>
  <w:num w:numId="7">
    <w:abstractNumId w:val="9"/>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B4"/>
    <w:rsid w:val="000078C0"/>
    <w:rsid w:val="000843E7"/>
    <w:rsid w:val="000A0743"/>
    <w:rsid w:val="000B62A0"/>
    <w:rsid w:val="000C34CC"/>
    <w:rsid w:val="000D5D6B"/>
    <w:rsid w:val="000D5E99"/>
    <w:rsid w:val="000F6C89"/>
    <w:rsid w:val="001341A2"/>
    <w:rsid w:val="001B2AA8"/>
    <w:rsid w:val="001C7D58"/>
    <w:rsid w:val="00227D06"/>
    <w:rsid w:val="00235B24"/>
    <w:rsid w:val="00266C68"/>
    <w:rsid w:val="00297427"/>
    <w:rsid w:val="002A1025"/>
    <w:rsid w:val="002A7760"/>
    <w:rsid w:val="003056A3"/>
    <w:rsid w:val="003103ED"/>
    <w:rsid w:val="00324892"/>
    <w:rsid w:val="0035314A"/>
    <w:rsid w:val="00360180"/>
    <w:rsid w:val="003B56A5"/>
    <w:rsid w:val="003C6424"/>
    <w:rsid w:val="003D63F8"/>
    <w:rsid w:val="003E26C6"/>
    <w:rsid w:val="00410E1C"/>
    <w:rsid w:val="00456916"/>
    <w:rsid w:val="00464630"/>
    <w:rsid w:val="00464DB4"/>
    <w:rsid w:val="004772AD"/>
    <w:rsid w:val="00492CB1"/>
    <w:rsid w:val="004C0236"/>
    <w:rsid w:val="004C7543"/>
    <w:rsid w:val="00504316"/>
    <w:rsid w:val="0050654A"/>
    <w:rsid w:val="00515DB2"/>
    <w:rsid w:val="005260CE"/>
    <w:rsid w:val="00540572"/>
    <w:rsid w:val="00560428"/>
    <w:rsid w:val="00561496"/>
    <w:rsid w:val="0059558F"/>
    <w:rsid w:val="005B1B9D"/>
    <w:rsid w:val="005B3850"/>
    <w:rsid w:val="005B74C9"/>
    <w:rsid w:val="00623981"/>
    <w:rsid w:val="00627822"/>
    <w:rsid w:val="00631A59"/>
    <w:rsid w:val="0064569B"/>
    <w:rsid w:val="00650376"/>
    <w:rsid w:val="006940AA"/>
    <w:rsid w:val="006B065E"/>
    <w:rsid w:val="006E705A"/>
    <w:rsid w:val="006F573C"/>
    <w:rsid w:val="00745D12"/>
    <w:rsid w:val="00747562"/>
    <w:rsid w:val="007637AB"/>
    <w:rsid w:val="0076747D"/>
    <w:rsid w:val="007A59BD"/>
    <w:rsid w:val="007C0798"/>
    <w:rsid w:val="00815894"/>
    <w:rsid w:val="00832F46"/>
    <w:rsid w:val="00865C09"/>
    <w:rsid w:val="0088503F"/>
    <w:rsid w:val="008C1FAD"/>
    <w:rsid w:val="00900E7D"/>
    <w:rsid w:val="00956BE7"/>
    <w:rsid w:val="009A2268"/>
    <w:rsid w:val="009C749C"/>
    <w:rsid w:val="009E48B9"/>
    <w:rsid w:val="009F4668"/>
    <w:rsid w:val="00A709E0"/>
    <w:rsid w:val="00A91608"/>
    <w:rsid w:val="00AA6C83"/>
    <w:rsid w:val="00AE4141"/>
    <w:rsid w:val="00B004D1"/>
    <w:rsid w:val="00B11E02"/>
    <w:rsid w:val="00B15842"/>
    <w:rsid w:val="00B2317F"/>
    <w:rsid w:val="00B262A0"/>
    <w:rsid w:val="00B26C29"/>
    <w:rsid w:val="00BF6649"/>
    <w:rsid w:val="00C002D4"/>
    <w:rsid w:val="00C24721"/>
    <w:rsid w:val="00C2591D"/>
    <w:rsid w:val="00C43267"/>
    <w:rsid w:val="00C45921"/>
    <w:rsid w:val="00C5441A"/>
    <w:rsid w:val="00C63B5E"/>
    <w:rsid w:val="00C76BA8"/>
    <w:rsid w:val="00C81F59"/>
    <w:rsid w:val="00CA15A9"/>
    <w:rsid w:val="00CD227D"/>
    <w:rsid w:val="00CD28D8"/>
    <w:rsid w:val="00CE0644"/>
    <w:rsid w:val="00D03FC5"/>
    <w:rsid w:val="00D20101"/>
    <w:rsid w:val="00D44FAA"/>
    <w:rsid w:val="00D45335"/>
    <w:rsid w:val="00D577ED"/>
    <w:rsid w:val="00DA2995"/>
    <w:rsid w:val="00DA4829"/>
    <w:rsid w:val="00E02D31"/>
    <w:rsid w:val="00E042A0"/>
    <w:rsid w:val="00E1021C"/>
    <w:rsid w:val="00E27CA7"/>
    <w:rsid w:val="00E40705"/>
    <w:rsid w:val="00E40972"/>
    <w:rsid w:val="00E46252"/>
    <w:rsid w:val="00E46C35"/>
    <w:rsid w:val="00E47ACF"/>
    <w:rsid w:val="00E542AE"/>
    <w:rsid w:val="00E94B32"/>
    <w:rsid w:val="00EA07DF"/>
    <w:rsid w:val="00F16417"/>
    <w:rsid w:val="00FD6A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B4"/>
    <w:pPr>
      <w:tabs>
        <w:tab w:val="center" w:pos="4680"/>
        <w:tab w:val="right" w:pos="9360"/>
      </w:tabs>
      <w:spacing w:after="0" w:line="240" w:lineRule="auto"/>
    </w:pPr>
    <w:rPr>
      <w:rFonts w:ascii="Verdana" w:eastAsiaTheme="minorEastAsia" w:hAnsi="Verdana"/>
      <w:color w:val="000000" w:themeColor="text1"/>
      <w:sz w:val="20"/>
    </w:rPr>
  </w:style>
  <w:style w:type="character" w:customStyle="1" w:styleId="HeaderChar">
    <w:name w:val="Header Char"/>
    <w:basedOn w:val="DefaultParagraphFont"/>
    <w:link w:val="Header"/>
    <w:uiPriority w:val="99"/>
    <w:rsid w:val="00464DB4"/>
    <w:rPr>
      <w:rFonts w:ascii="Verdana" w:eastAsiaTheme="minorEastAsia" w:hAnsi="Verdana"/>
      <w:color w:val="000000" w:themeColor="text1"/>
      <w:sz w:val="20"/>
    </w:rPr>
  </w:style>
  <w:style w:type="paragraph" w:styleId="Footer">
    <w:name w:val="footer"/>
    <w:basedOn w:val="Normal"/>
    <w:link w:val="FooterChar"/>
    <w:uiPriority w:val="99"/>
    <w:unhideWhenUsed/>
    <w:rsid w:val="00464DB4"/>
    <w:pPr>
      <w:tabs>
        <w:tab w:val="center" w:pos="4680"/>
        <w:tab w:val="right" w:pos="9360"/>
      </w:tabs>
      <w:spacing w:after="0" w:line="240" w:lineRule="auto"/>
      <w:jc w:val="right"/>
    </w:pPr>
    <w:rPr>
      <w:rFonts w:ascii="Verdana" w:eastAsiaTheme="minorEastAsia" w:hAnsi="Verdana"/>
      <w:color w:val="000000" w:themeColor="text1"/>
      <w:sz w:val="14"/>
    </w:rPr>
  </w:style>
  <w:style w:type="character" w:customStyle="1" w:styleId="FooterChar">
    <w:name w:val="Footer Char"/>
    <w:basedOn w:val="DefaultParagraphFont"/>
    <w:link w:val="Footer"/>
    <w:uiPriority w:val="99"/>
    <w:rsid w:val="00464DB4"/>
    <w:rPr>
      <w:rFonts w:ascii="Verdana" w:eastAsiaTheme="minorEastAsia" w:hAnsi="Verdana"/>
      <w:color w:val="000000" w:themeColor="text1"/>
      <w:sz w:val="14"/>
    </w:rPr>
  </w:style>
  <w:style w:type="paragraph" w:styleId="FootnoteText">
    <w:name w:val="footnote text"/>
    <w:basedOn w:val="Normal"/>
    <w:link w:val="FootnoteTextChar"/>
    <w:uiPriority w:val="99"/>
    <w:unhideWhenUsed/>
    <w:qFormat/>
    <w:rsid w:val="00464DB4"/>
    <w:pPr>
      <w:spacing w:after="0" w:line="240" w:lineRule="auto"/>
      <w:ind w:right="-510"/>
      <w:jc w:val="right"/>
    </w:pPr>
    <w:rPr>
      <w:rFonts w:ascii="Verdana" w:eastAsiaTheme="minorEastAsia" w:hAnsi="Verdana"/>
      <w:color w:val="000000" w:themeColor="text1"/>
      <w:sz w:val="15"/>
      <w:szCs w:val="20"/>
    </w:rPr>
  </w:style>
  <w:style w:type="character" w:customStyle="1" w:styleId="FootnoteTextChar">
    <w:name w:val="Footnote Text Char"/>
    <w:basedOn w:val="DefaultParagraphFont"/>
    <w:link w:val="FootnoteText"/>
    <w:uiPriority w:val="99"/>
    <w:rsid w:val="00464DB4"/>
    <w:rPr>
      <w:rFonts w:ascii="Verdana" w:eastAsiaTheme="minorEastAsia" w:hAnsi="Verdana"/>
      <w:color w:val="000000" w:themeColor="text1"/>
      <w:sz w:val="15"/>
      <w:szCs w:val="20"/>
    </w:rPr>
  </w:style>
  <w:style w:type="paragraph" w:styleId="NoSpacing">
    <w:name w:val="No Spacing"/>
    <w:uiPriority w:val="1"/>
    <w:qFormat/>
    <w:rsid w:val="00464DB4"/>
    <w:pPr>
      <w:spacing w:after="0" w:line="240" w:lineRule="auto"/>
    </w:pPr>
    <w:rPr>
      <w:rFonts w:ascii="Verdana" w:eastAsiaTheme="minorEastAsia" w:hAnsi="Verdana"/>
      <w:color w:val="000000" w:themeColor="text1"/>
      <w:sz w:val="20"/>
      <w:lang w:val="en-US"/>
    </w:rPr>
  </w:style>
  <w:style w:type="character" w:styleId="Strong">
    <w:name w:val="Strong"/>
    <w:basedOn w:val="DefaultParagraphFont"/>
    <w:uiPriority w:val="22"/>
    <w:qFormat/>
    <w:rsid w:val="00464DB4"/>
    <w:rPr>
      <w:rFonts w:ascii="Verdana" w:hAnsi="Verdana"/>
      <w:b/>
      <w:bCs/>
      <w:i w:val="0"/>
      <w:color w:val="auto"/>
      <w:sz w:val="20"/>
    </w:rPr>
  </w:style>
  <w:style w:type="character" w:styleId="Hyperlink">
    <w:name w:val="Hyperlink"/>
    <w:basedOn w:val="DefaultParagraphFont"/>
    <w:uiPriority w:val="99"/>
    <w:unhideWhenUsed/>
    <w:rsid w:val="00C002D4"/>
    <w:rPr>
      <w:color w:val="0000FF" w:themeColor="hyperlink"/>
      <w:u w:val="single"/>
    </w:rPr>
  </w:style>
  <w:style w:type="paragraph" w:styleId="ListParagraph">
    <w:name w:val="List Paragraph"/>
    <w:basedOn w:val="Normal"/>
    <w:uiPriority w:val="34"/>
    <w:qFormat/>
    <w:rsid w:val="001341A2"/>
    <w:pPr>
      <w:ind w:left="720"/>
      <w:contextualSpacing/>
    </w:pPr>
  </w:style>
  <w:style w:type="character" w:styleId="FootnoteReference">
    <w:name w:val="footnote reference"/>
    <w:basedOn w:val="DefaultParagraphFont"/>
    <w:uiPriority w:val="99"/>
    <w:semiHidden/>
    <w:unhideWhenUsed/>
    <w:rsid w:val="003E26C6"/>
    <w:rPr>
      <w:vertAlign w:val="superscript"/>
    </w:rPr>
  </w:style>
  <w:style w:type="character" w:customStyle="1" w:styleId="highlight">
    <w:name w:val="highlight"/>
    <w:basedOn w:val="DefaultParagraphFont"/>
    <w:rsid w:val="00456916"/>
  </w:style>
  <w:style w:type="character" w:styleId="CommentReference">
    <w:name w:val="annotation reference"/>
    <w:basedOn w:val="DefaultParagraphFont"/>
    <w:uiPriority w:val="99"/>
    <w:semiHidden/>
    <w:unhideWhenUsed/>
    <w:rsid w:val="00B004D1"/>
    <w:rPr>
      <w:sz w:val="16"/>
      <w:szCs w:val="16"/>
    </w:rPr>
  </w:style>
  <w:style w:type="paragraph" w:styleId="CommentText">
    <w:name w:val="annotation text"/>
    <w:basedOn w:val="Normal"/>
    <w:link w:val="CommentTextChar"/>
    <w:uiPriority w:val="99"/>
    <w:semiHidden/>
    <w:unhideWhenUsed/>
    <w:rsid w:val="00B004D1"/>
    <w:pPr>
      <w:spacing w:line="240" w:lineRule="auto"/>
    </w:pPr>
    <w:rPr>
      <w:sz w:val="20"/>
      <w:szCs w:val="20"/>
    </w:rPr>
  </w:style>
  <w:style w:type="character" w:customStyle="1" w:styleId="CommentTextChar">
    <w:name w:val="Comment Text Char"/>
    <w:basedOn w:val="DefaultParagraphFont"/>
    <w:link w:val="CommentText"/>
    <w:uiPriority w:val="99"/>
    <w:semiHidden/>
    <w:rsid w:val="00B004D1"/>
    <w:rPr>
      <w:sz w:val="20"/>
      <w:szCs w:val="20"/>
    </w:rPr>
  </w:style>
  <w:style w:type="paragraph" w:styleId="CommentSubject">
    <w:name w:val="annotation subject"/>
    <w:basedOn w:val="CommentText"/>
    <w:next w:val="CommentText"/>
    <w:link w:val="CommentSubjectChar"/>
    <w:uiPriority w:val="99"/>
    <w:semiHidden/>
    <w:unhideWhenUsed/>
    <w:rsid w:val="00B004D1"/>
    <w:rPr>
      <w:b/>
      <w:bCs/>
    </w:rPr>
  </w:style>
  <w:style w:type="character" w:customStyle="1" w:styleId="CommentSubjectChar">
    <w:name w:val="Comment Subject Char"/>
    <w:basedOn w:val="CommentTextChar"/>
    <w:link w:val="CommentSubject"/>
    <w:uiPriority w:val="99"/>
    <w:semiHidden/>
    <w:rsid w:val="00B004D1"/>
    <w:rPr>
      <w:b/>
      <w:bCs/>
      <w:sz w:val="20"/>
      <w:szCs w:val="20"/>
    </w:rPr>
  </w:style>
  <w:style w:type="paragraph" w:styleId="BalloonText">
    <w:name w:val="Balloon Text"/>
    <w:basedOn w:val="Normal"/>
    <w:link w:val="BalloonTextChar"/>
    <w:uiPriority w:val="99"/>
    <w:semiHidden/>
    <w:unhideWhenUsed/>
    <w:rsid w:val="00B0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D1"/>
    <w:rPr>
      <w:rFonts w:ascii="Tahoma" w:hAnsi="Tahoma" w:cs="Tahoma"/>
      <w:sz w:val="16"/>
      <w:szCs w:val="16"/>
    </w:rPr>
  </w:style>
  <w:style w:type="character" w:styleId="FollowedHyperlink">
    <w:name w:val="FollowedHyperlink"/>
    <w:basedOn w:val="DefaultParagraphFont"/>
    <w:uiPriority w:val="99"/>
    <w:semiHidden/>
    <w:unhideWhenUsed/>
    <w:rsid w:val="00DA2995"/>
    <w:rPr>
      <w:color w:val="800080" w:themeColor="followedHyperlink"/>
      <w:u w:val="single"/>
    </w:rPr>
  </w:style>
  <w:style w:type="paragraph" w:styleId="BodyText">
    <w:name w:val="Body Text"/>
    <w:basedOn w:val="Normal"/>
    <w:link w:val="BodyTextChar"/>
    <w:rsid w:val="00E47ACF"/>
    <w:pPr>
      <w:spacing w:before="240" w:after="120" w:line="336" w:lineRule="auto"/>
      <w:jc w:val="both"/>
    </w:pPr>
    <w:rPr>
      <w:rFonts w:ascii="Arial" w:eastAsia="MS Mincho" w:hAnsi="Arial" w:cs="Times New Roman"/>
      <w:sz w:val="20"/>
      <w:szCs w:val="20"/>
      <w:lang w:eastAsia="en-AU"/>
    </w:rPr>
  </w:style>
  <w:style w:type="character" w:customStyle="1" w:styleId="BodyTextChar">
    <w:name w:val="Body Text Char"/>
    <w:basedOn w:val="DefaultParagraphFont"/>
    <w:link w:val="BodyText"/>
    <w:rsid w:val="00E47ACF"/>
    <w:rPr>
      <w:rFonts w:ascii="Arial" w:eastAsia="MS Mincho"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B4"/>
    <w:pPr>
      <w:tabs>
        <w:tab w:val="center" w:pos="4680"/>
        <w:tab w:val="right" w:pos="9360"/>
      </w:tabs>
      <w:spacing w:after="0" w:line="240" w:lineRule="auto"/>
    </w:pPr>
    <w:rPr>
      <w:rFonts w:ascii="Verdana" w:eastAsiaTheme="minorEastAsia" w:hAnsi="Verdana"/>
      <w:color w:val="000000" w:themeColor="text1"/>
      <w:sz w:val="20"/>
    </w:rPr>
  </w:style>
  <w:style w:type="character" w:customStyle="1" w:styleId="HeaderChar">
    <w:name w:val="Header Char"/>
    <w:basedOn w:val="DefaultParagraphFont"/>
    <w:link w:val="Header"/>
    <w:uiPriority w:val="99"/>
    <w:rsid w:val="00464DB4"/>
    <w:rPr>
      <w:rFonts w:ascii="Verdana" w:eastAsiaTheme="minorEastAsia" w:hAnsi="Verdana"/>
      <w:color w:val="000000" w:themeColor="text1"/>
      <w:sz w:val="20"/>
    </w:rPr>
  </w:style>
  <w:style w:type="paragraph" w:styleId="Footer">
    <w:name w:val="footer"/>
    <w:basedOn w:val="Normal"/>
    <w:link w:val="FooterChar"/>
    <w:uiPriority w:val="99"/>
    <w:unhideWhenUsed/>
    <w:rsid w:val="00464DB4"/>
    <w:pPr>
      <w:tabs>
        <w:tab w:val="center" w:pos="4680"/>
        <w:tab w:val="right" w:pos="9360"/>
      </w:tabs>
      <w:spacing w:after="0" w:line="240" w:lineRule="auto"/>
      <w:jc w:val="right"/>
    </w:pPr>
    <w:rPr>
      <w:rFonts w:ascii="Verdana" w:eastAsiaTheme="minorEastAsia" w:hAnsi="Verdana"/>
      <w:color w:val="000000" w:themeColor="text1"/>
      <w:sz w:val="14"/>
    </w:rPr>
  </w:style>
  <w:style w:type="character" w:customStyle="1" w:styleId="FooterChar">
    <w:name w:val="Footer Char"/>
    <w:basedOn w:val="DefaultParagraphFont"/>
    <w:link w:val="Footer"/>
    <w:uiPriority w:val="99"/>
    <w:rsid w:val="00464DB4"/>
    <w:rPr>
      <w:rFonts w:ascii="Verdana" w:eastAsiaTheme="minorEastAsia" w:hAnsi="Verdana"/>
      <w:color w:val="000000" w:themeColor="text1"/>
      <w:sz w:val="14"/>
    </w:rPr>
  </w:style>
  <w:style w:type="paragraph" w:styleId="FootnoteText">
    <w:name w:val="footnote text"/>
    <w:basedOn w:val="Normal"/>
    <w:link w:val="FootnoteTextChar"/>
    <w:uiPriority w:val="99"/>
    <w:unhideWhenUsed/>
    <w:qFormat/>
    <w:rsid w:val="00464DB4"/>
    <w:pPr>
      <w:spacing w:after="0" w:line="240" w:lineRule="auto"/>
      <w:ind w:right="-510"/>
      <w:jc w:val="right"/>
    </w:pPr>
    <w:rPr>
      <w:rFonts w:ascii="Verdana" w:eastAsiaTheme="minorEastAsia" w:hAnsi="Verdana"/>
      <w:color w:val="000000" w:themeColor="text1"/>
      <w:sz w:val="15"/>
      <w:szCs w:val="20"/>
    </w:rPr>
  </w:style>
  <w:style w:type="character" w:customStyle="1" w:styleId="FootnoteTextChar">
    <w:name w:val="Footnote Text Char"/>
    <w:basedOn w:val="DefaultParagraphFont"/>
    <w:link w:val="FootnoteText"/>
    <w:uiPriority w:val="99"/>
    <w:rsid w:val="00464DB4"/>
    <w:rPr>
      <w:rFonts w:ascii="Verdana" w:eastAsiaTheme="minorEastAsia" w:hAnsi="Verdana"/>
      <w:color w:val="000000" w:themeColor="text1"/>
      <w:sz w:val="15"/>
      <w:szCs w:val="20"/>
    </w:rPr>
  </w:style>
  <w:style w:type="paragraph" w:styleId="NoSpacing">
    <w:name w:val="No Spacing"/>
    <w:uiPriority w:val="1"/>
    <w:qFormat/>
    <w:rsid w:val="00464DB4"/>
    <w:pPr>
      <w:spacing w:after="0" w:line="240" w:lineRule="auto"/>
    </w:pPr>
    <w:rPr>
      <w:rFonts w:ascii="Verdana" w:eastAsiaTheme="minorEastAsia" w:hAnsi="Verdana"/>
      <w:color w:val="000000" w:themeColor="text1"/>
      <w:sz w:val="20"/>
      <w:lang w:val="en-US"/>
    </w:rPr>
  </w:style>
  <w:style w:type="character" w:styleId="Strong">
    <w:name w:val="Strong"/>
    <w:basedOn w:val="DefaultParagraphFont"/>
    <w:uiPriority w:val="22"/>
    <w:qFormat/>
    <w:rsid w:val="00464DB4"/>
    <w:rPr>
      <w:rFonts w:ascii="Verdana" w:hAnsi="Verdana"/>
      <w:b/>
      <w:bCs/>
      <w:i w:val="0"/>
      <w:color w:val="auto"/>
      <w:sz w:val="20"/>
    </w:rPr>
  </w:style>
  <w:style w:type="character" w:styleId="Hyperlink">
    <w:name w:val="Hyperlink"/>
    <w:basedOn w:val="DefaultParagraphFont"/>
    <w:uiPriority w:val="99"/>
    <w:unhideWhenUsed/>
    <w:rsid w:val="00C002D4"/>
    <w:rPr>
      <w:color w:val="0000FF" w:themeColor="hyperlink"/>
      <w:u w:val="single"/>
    </w:rPr>
  </w:style>
  <w:style w:type="paragraph" w:styleId="ListParagraph">
    <w:name w:val="List Paragraph"/>
    <w:basedOn w:val="Normal"/>
    <w:uiPriority w:val="34"/>
    <w:qFormat/>
    <w:rsid w:val="001341A2"/>
    <w:pPr>
      <w:ind w:left="720"/>
      <w:contextualSpacing/>
    </w:pPr>
  </w:style>
  <w:style w:type="character" w:styleId="FootnoteReference">
    <w:name w:val="footnote reference"/>
    <w:basedOn w:val="DefaultParagraphFont"/>
    <w:uiPriority w:val="99"/>
    <w:semiHidden/>
    <w:unhideWhenUsed/>
    <w:rsid w:val="003E26C6"/>
    <w:rPr>
      <w:vertAlign w:val="superscript"/>
    </w:rPr>
  </w:style>
  <w:style w:type="character" w:customStyle="1" w:styleId="highlight">
    <w:name w:val="highlight"/>
    <w:basedOn w:val="DefaultParagraphFont"/>
    <w:rsid w:val="00456916"/>
  </w:style>
  <w:style w:type="character" w:styleId="CommentReference">
    <w:name w:val="annotation reference"/>
    <w:basedOn w:val="DefaultParagraphFont"/>
    <w:uiPriority w:val="99"/>
    <w:semiHidden/>
    <w:unhideWhenUsed/>
    <w:rsid w:val="00B004D1"/>
    <w:rPr>
      <w:sz w:val="16"/>
      <w:szCs w:val="16"/>
    </w:rPr>
  </w:style>
  <w:style w:type="paragraph" w:styleId="CommentText">
    <w:name w:val="annotation text"/>
    <w:basedOn w:val="Normal"/>
    <w:link w:val="CommentTextChar"/>
    <w:uiPriority w:val="99"/>
    <w:semiHidden/>
    <w:unhideWhenUsed/>
    <w:rsid w:val="00B004D1"/>
    <w:pPr>
      <w:spacing w:line="240" w:lineRule="auto"/>
    </w:pPr>
    <w:rPr>
      <w:sz w:val="20"/>
      <w:szCs w:val="20"/>
    </w:rPr>
  </w:style>
  <w:style w:type="character" w:customStyle="1" w:styleId="CommentTextChar">
    <w:name w:val="Comment Text Char"/>
    <w:basedOn w:val="DefaultParagraphFont"/>
    <w:link w:val="CommentText"/>
    <w:uiPriority w:val="99"/>
    <w:semiHidden/>
    <w:rsid w:val="00B004D1"/>
    <w:rPr>
      <w:sz w:val="20"/>
      <w:szCs w:val="20"/>
    </w:rPr>
  </w:style>
  <w:style w:type="paragraph" w:styleId="CommentSubject">
    <w:name w:val="annotation subject"/>
    <w:basedOn w:val="CommentText"/>
    <w:next w:val="CommentText"/>
    <w:link w:val="CommentSubjectChar"/>
    <w:uiPriority w:val="99"/>
    <w:semiHidden/>
    <w:unhideWhenUsed/>
    <w:rsid w:val="00B004D1"/>
    <w:rPr>
      <w:b/>
      <w:bCs/>
    </w:rPr>
  </w:style>
  <w:style w:type="character" w:customStyle="1" w:styleId="CommentSubjectChar">
    <w:name w:val="Comment Subject Char"/>
    <w:basedOn w:val="CommentTextChar"/>
    <w:link w:val="CommentSubject"/>
    <w:uiPriority w:val="99"/>
    <w:semiHidden/>
    <w:rsid w:val="00B004D1"/>
    <w:rPr>
      <w:b/>
      <w:bCs/>
      <w:sz w:val="20"/>
      <w:szCs w:val="20"/>
    </w:rPr>
  </w:style>
  <w:style w:type="paragraph" w:styleId="BalloonText">
    <w:name w:val="Balloon Text"/>
    <w:basedOn w:val="Normal"/>
    <w:link w:val="BalloonTextChar"/>
    <w:uiPriority w:val="99"/>
    <w:semiHidden/>
    <w:unhideWhenUsed/>
    <w:rsid w:val="00B0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D1"/>
    <w:rPr>
      <w:rFonts w:ascii="Tahoma" w:hAnsi="Tahoma" w:cs="Tahoma"/>
      <w:sz w:val="16"/>
      <w:szCs w:val="16"/>
    </w:rPr>
  </w:style>
  <w:style w:type="character" w:styleId="FollowedHyperlink">
    <w:name w:val="FollowedHyperlink"/>
    <w:basedOn w:val="DefaultParagraphFont"/>
    <w:uiPriority w:val="99"/>
    <w:semiHidden/>
    <w:unhideWhenUsed/>
    <w:rsid w:val="00DA2995"/>
    <w:rPr>
      <w:color w:val="800080" w:themeColor="followedHyperlink"/>
      <w:u w:val="single"/>
    </w:rPr>
  </w:style>
  <w:style w:type="paragraph" w:styleId="BodyText">
    <w:name w:val="Body Text"/>
    <w:basedOn w:val="Normal"/>
    <w:link w:val="BodyTextChar"/>
    <w:rsid w:val="00E47ACF"/>
    <w:pPr>
      <w:spacing w:before="240" w:after="120" w:line="336" w:lineRule="auto"/>
      <w:jc w:val="both"/>
    </w:pPr>
    <w:rPr>
      <w:rFonts w:ascii="Arial" w:eastAsia="MS Mincho" w:hAnsi="Arial" w:cs="Times New Roman"/>
      <w:sz w:val="20"/>
      <w:szCs w:val="20"/>
      <w:lang w:eastAsia="en-AU"/>
    </w:rPr>
  </w:style>
  <w:style w:type="character" w:customStyle="1" w:styleId="BodyTextChar">
    <w:name w:val="Body Text Char"/>
    <w:basedOn w:val="DefaultParagraphFont"/>
    <w:link w:val="BodyText"/>
    <w:rsid w:val="00E47ACF"/>
    <w:rPr>
      <w:rFonts w:ascii="Arial" w:eastAsia="MS Mincho"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469">
      <w:bodyDiv w:val="1"/>
      <w:marLeft w:val="0"/>
      <w:marRight w:val="0"/>
      <w:marTop w:val="0"/>
      <w:marBottom w:val="0"/>
      <w:divBdr>
        <w:top w:val="none" w:sz="0" w:space="0" w:color="auto"/>
        <w:left w:val="none" w:sz="0" w:space="0" w:color="auto"/>
        <w:bottom w:val="none" w:sz="0" w:space="0" w:color="auto"/>
        <w:right w:val="none" w:sz="0" w:space="0" w:color="auto"/>
      </w:divBdr>
      <w:divsChild>
        <w:div w:id="1923026584">
          <w:marLeft w:val="0"/>
          <w:marRight w:val="0"/>
          <w:marTop w:val="0"/>
          <w:marBottom w:val="0"/>
          <w:divBdr>
            <w:top w:val="none" w:sz="0" w:space="0" w:color="auto"/>
            <w:left w:val="none" w:sz="0" w:space="0" w:color="auto"/>
            <w:bottom w:val="none" w:sz="0" w:space="0" w:color="auto"/>
            <w:right w:val="none" w:sz="0" w:space="0" w:color="auto"/>
          </w:divBdr>
        </w:div>
        <w:div w:id="1651902709">
          <w:marLeft w:val="0"/>
          <w:marRight w:val="0"/>
          <w:marTop w:val="0"/>
          <w:marBottom w:val="0"/>
          <w:divBdr>
            <w:top w:val="none" w:sz="0" w:space="0" w:color="auto"/>
            <w:left w:val="none" w:sz="0" w:space="0" w:color="auto"/>
            <w:bottom w:val="none" w:sz="0" w:space="0" w:color="auto"/>
            <w:right w:val="none" w:sz="0" w:space="0" w:color="auto"/>
          </w:divBdr>
        </w:div>
        <w:div w:id="445198923">
          <w:marLeft w:val="0"/>
          <w:marRight w:val="0"/>
          <w:marTop w:val="0"/>
          <w:marBottom w:val="0"/>
          <w:divBdr>
            <w:top w:val="none" w:sz="0" w:space="0" w:color="auto"/>
            <w:left w:val="none" w:sz="0" w:space="0" w:color="auto"/>
            <w:bottom w:val="none" w:sz="0" w:space="0" w:color="auto"/>
            <w:right w:val="none" w:sz="0" w:space="0" w:color="auto"/>
          </w:divBdr>
        </w:div>
        <w:div w:id="98449430">
          <w:marLeft w:val="0"/>
          <w:marRight w:val="0"/>
          <w:marTop w:val="0"/>
          <w:marBottom w:val="0"/>
          <w:divBdr>
            <w:top w:val="none" w:sz="0" w:space="0" w:color="auto"/>
            <w:left w:val="none" w:sz="0" w:space="0" w:color="auto"/>
            <w:bottom w:val="none" w:sz="0" w:space="0" w:color="auto"/>
            <w:right w:val="none" w:sz="0" w:space="0" w:color="auto"/>
          </w:divBdr>
        </w:div>
        <w:div w:id="1199708879">
          <w:marLeft w:val="0"/>
          <w:marRight w:val="0"/>
          <w:marTop w:val="0"/>
          <w:marBottom w:val="0"/>
          <w:divBdr>
            <w:top w:val="none" w:sz="0" w:space="0" w:color="auto"/>
            <w:left w:val="none" w:sz="0" w:space="0" w:color="auto"/>
            <w:bottom w:val="none" w:sz="0" w:space="0" w:color="auto"/>
            <w:right w:val="none" w:sz="0" w:space="0" w:color="auto"/>
          </w:divBdr>
        </w:div>
      </w:divsChild>
    </w:div>
    <w:div w:id="608657885">
      <w:bodyDiv w:val="1"/>
      <w:marLeft w:val="0"/>
      <w:marRight w:val="0"/>
      <w:marTop w:val="0"/>
      <w:marBottom w:val="0"/>
      <w:divBdr>
        <w:top w:val="none" w:sz="0" w:space="0" w:color="auto"/>
        <w:left w:val="none" w:sz="0" w:space="0" w:color="auto"/>
        <w:bottom w:val="none" w:sz="0" w:space="0" w:color="auto"/>
        <w:right w:val="none" w:sz="0" w:space="0" w:color="auto"/>
      </w:divBdr>
    </w:div>
    <w:div w:id="632488198">
      <w:bodyDiv w:val="1"/>
      <w:marLeft w:val="0"/>
      <w:marRight w:val="0"/>
      <w:marTop w:val="0"/>
      <w:marBottom w:val="0"/>
      <w:divBdr>
        <w:top w:val="none" w:sz="0" w:space="0" w:color="auto"/>
        <w:left w:val="none" w:sz="0" w:space="0" w:color="auto"/>
        <w:bottom w:val="none" w:sz="0" w:space="0" w:color="auto"/>
        <w:right w:val="none" w:sz="0" w:space="0" w:color="auto"/>
      </w:divBdr>
      <w:divsChild>
        <w:div w:id="866255231">
          <w:marLeft w:val="0"/>
          <w:marRight w:val="0"/>
          <w:marTop w:val="0"/>
          <w:marBottom w:val="0"/>
          <w:divBdr>
            <w:top w:val="none" w:sz="0" w:space="0" w:color="auto"/>
            <w:left w:val="none" w:sz="0" w:space="0" w:color="auto"/>
            <w:bottom w:val="none" w:sz="0" w:space="0" w:color="auto"/>
            <w:right w:val="none" w:sz="0" w:space="0" w:color="auto"/>
          </w:divBdr>
        </w:div>
        <w:div w:id="1800687921">
          <w:marLeft w:val="0"/>
          <w:marRight w:val="0"/>
          <w:marTop w:val="0"/>
          <w:marBottom w:val="0"/>
          <w:divBdr>
            <w:top w:val="none" w:sz="0" w:space="0" w:color="auto"/>
            <w:left w:val="none" w:sz="0" w:space="0" w:color="auto"/>
            <w:bottom w:val="none" w:sz="0" w:space="0" w:color="auto"/>
            <w:right w:val="none" w:sz="0" w:space="0" w:color="auto"/>
          </w:divBdr>
        </w:div>
        <w:div w:id="1701588175">
          <w:marLeft w:val="0"/>
          <w:marRight w:val="0"/>
          <w:marTop w:val="0"/>
          <w:marBottom w:val="0"/>
          <w:divBdr>
            <w:top w:val="none" w:sz="0" w:space="0" w:color="auto"/>
            <w:left w:val="none" w:sz="0" w:space="0" w:color="auto"/>
            <w:bottom w:val="none" w:sz="0" w:space="0" w:color="auto"/>
            <w:right w:val="none" w:sz="0" w:space="0" w:color="auto"/>
          </w:divBdr>
        </w:div>
        <w:div w:id="548227398">
          <w:marLeft w:val="0"/>
          <w:marRight w:val="0"/>
          <w:marTop w:val="0"/>
          <w:marBottom w:val="0"/>
          <w:divBdr>
            <w:top w:val="none" w:sz="0" w:space="0" w:color="auto"/>
            <w:left w:val="none" w:sz="0" w:space="0" w:color="auto"/>
            <w:bottom w:val="none" w:sz="0" w:space="0" w:color="auto"/>
            <w:right w:val="none" w:sz="0" w:space="0" w:color="auto"/>
          </w:divBdr>
        </w:div>
        <w:div w:id="693188768">
          <w:marLeft w:val="0"/>
          <w:marRight w:val="0"/>
          <w:marTop w:val="0"/>
          <w:marBottom w:val="0"/>
          <w:divBdr>
            <w:top w:val="none" w:sz="0" w:space="0" w:color="auto"/>
            <w:left w:val="none" w:sz="0" w:space="0" w:color="auto"/>
            <w:bottom w:val="none" w:sz="0" w:space="0" w:color="auto"/>
            <w:right w:val="none" w:sz="0" w:space="0" w:color="auto"/>
          </w:divBdr>
        </w:div>
        <w:div w:id="2086146356">
          <w:marLeft w:val="0"/>
          <w:marRight w:val="0"/>
          <w:marTop w:val="0"/>
          <w:marBottom w:val="0"/>
          <w:divBdr>
            <w:top w:val="none" w:sz="0" w:space="0" w:color="auto"/>
            <w:left w:val="none" w:sz="0" w:space="0" w:color="auto"/>
            <w:bottom w:val="none" w:sz="0" w:space="0" w:color="auto"/>
            <w:right w:val="none" w:sz="0" w:space="0" w:color="auto"/>
          </w:divBdr>
        </w:div>
        <w:div w:id="1953854468">
          <w:marLeft w:val="0"/>
          <w:marRight w:val="0"/>
          <w:marTop w:val="0"/>
          <w:marBottom w:val="0"/>
          <w:divBdr>
            <w:top w:val="none" w:sz="0" w:space="0" w:color="auto"/>
            <w:left w:val="none" w:sz="0" w:space="0" w:color="auto"/>
            <w:bottom w:val="none" w:sz="0" w:space="0" w:color="auto"/>
            <w:right w:val="none" w:sz="0" w:space="0" w:color="auto"/>
          </w:divBdr>
        </w:div>
        <w:div w:id="1664970459">
          <w:marLeft w:val="0"/>
          <w:marRight w:val="0"/>
          <w:marTop w:val="0"/>
          <w:marBottom w:val="0"/>
          <w:divBdr>
            <w:top w:val="none" w:sz="0" w:space="0" w:color="auto"/>
            <w:left w:val="none" w:sz="0" w:space="0" w:color="auto"/>
            <w:bottom w:val="none" w:sz="0" w:space="0" w:color="auto"/>
            <w:right w:val="none" w:sz="0" w:space="0" w:color="auto"/>
          </w:divBdr>
        </w:div>
        <w:div w:id="1995135067">
          <w:marLeft w:val="0"/>
          <w:marRight w:val="0"/>
          <w:marTop w:val="0"/>
          <w:marBottom w:val="0"/>
          <w:divBdr>
            <w:top w:val="none" w:sz="0" w:space="0" w:color="auto"/>
            <w:left w:val="none" w:sz="0" w:space="0" w:color="auto"/>
            <w:bottom w:val="none" w:sz="0" w:space="0" w:color="auto"/>
            <w:right w:val="none" w:sz="0" w:space="0" w:color="auto"/>
          </w:divBdr>
        </w:div>
        <w:div w:id="902720476">
          <w:marLeft w:val="0"/>
          <w:marRight w:val="0"/>
          <w:marTop w:val="0"/>
          <w:marBottom w:val="0"/>
          <w:divBdr>
            <w:top w:val="none" w:sz="0" w:space="0" w:color="auto"/>
            <w:left w:val="none" w:sz="0" w:space="0" w:color="auto"/>
            <w:bottom w:val="none" w:sz="0" w:space="0" w:color="auto"/>
            <w:right w:val="none" w:sz="0" w:space="0" w:color="auto"/>
          </w:divBdr>
        </w:div>
        <w:div w:id="1936013649">
          <w:marLeft w:val="0"/>
          <w:marRight w:val="0"/>
          <w:marTop w:val="0"/>
          <w:marBottom w:val="0"/>
          <w:divBdr>
            <w:top w:val="none" w:sz="0" w:space="0" w:color="auto"/>
            <w:left w:val="none" w:sz="0" w:space="0" w:color="auto"/>
            <w:bottom w:val="none" w:sz="0" w:space="0" w:color="auto"/>
            <w:right w:val="none" w:sz="0" w:space="0" w:color="auto"/>
          </w:divBdr>
        </w:div>
        <w:div w:id="1767113378">
          <w:marLeft w:val="0"/>
          <w:marRight w:val="0"/>
          <w:marTop w:val="0"/>
          <w:marBottom w:val="0"/>
          <w:divBdr>
            <w:top w:val="none" w:sz="0" w:space="0" w:color="auto"/>
            <w:left w:val="none" w:sz="0" w:space="0" w:color="auto"/>
            <w:bottom w:val="none" w:sz="0" w:space="0" w:color="auto"/>
            <w:right w:val="none" w:sz="0" w:space="0" w:color="auto"/>
          </w:divBdr>
        </w:div>
        <w:div w:id="156699398">
          <w:marLeft w:val="0"/>
          <w:marRight w:val="0"/>
          <w:marTop w:val="0"/>
          <w:marBottom w:val="0"/>
          <w:divBdr>
            <w:top w:val="none" w:sz="0" w:space="0" w:color="auto"/>
            <w:left w:val="none" w:sz="0" w:space="0" w:color="auto"/>
            <w:bottom w:val="none" w:sz="0" w:space="0" w:color="auto"/>
            <w:right w:val="none" w:sz="0" w:space="0" w:color="auto"/>
          </w:divBdr>
        </w:div>
        <w:div w:id="1856187146">
          <w:marLeft w:val="0"/>
          <w:marRight w:val="0"/>
          <w:marTop w:val="0"/>
          <w:marBottom w:val="0"/>
          <w:divBdr>
            <w:top w:val="none" w:sz="0" w:space="0" w:color="auto"/>
            <w:left w:val="none" w:sz="0" w:space="0" w:color="auto"/>
            <w:bottom w:val="none" w:sz="0" w:space="0" w:color="auto"/>
            <w:right w:val="none" w:sz="0" w:space="0" w:color="auto"/>
          </w:divBdr>
        </w:div>
        <w:div w:id="965815007">
          <w:marLeft w:val="0"/>
          <w:marRight w:val="0"/>
          <w:marTop w:val="0"/>
          <w:marBottom w:val="0"/>
          <w:divBdr>
            <w:top w:val="none" w:sz="0" w:space="0" w:color="auto"/>
            <w:left w:val="none" w:sz="0" w:space="0" w:color="auto"/>
            <w:bottom w:val="none" w:sz="0" w:space="0" w:color="auto"/>
            <w:right w:val="none" w:sz="0" w:space="0" w:color="auto"/>
          </w:divBdr>
        </w:div>
        <w:div w:id="1013653925">
          <w:marLeft w:val="0"/>
          <w:marRight w:val="0"/>
          <w:marTop w:val="0"/>
          <w:marBottom w:val="0"/>
          <w:divBdr>
            <w:top w:val="none" w:sz="0" w:space="0" w:color="auto"/>
            <w:left w:val="none" w:sz="0" w:space="0" w:color="auto"/>
            <w:bottom w:val="none" w:sz="0" w:space="0" w:color="auto"/>
            <w:right w:val="none" w:sz="0" w:space="0" w:color="auto"/>
          </w:divBdr>
        </w:div>
        <w:div w:id="1419212448">
          <w:marLeft w:val="0"/>
          <w:marRight w:val="0"/>
          <w:marTop w:val="0"/>
          <w:marBottom w:val="0"/>
          <w:divBdr>
            <w:top w:val="none" w:sz="0" w:space="0" w:color="auto"/>
            <w:left w:val="none" w:sz="0" w:space="0" w:color="auto"/>
            <w:bottom w:val="none" w:sz="0" w:space="0" w:color="auto"/>
            <w:right w:val="none" w:sz="0" w:space="0" w:color="auto"/>
          </w:divBdr>
        </w:div>
        <w:div w:id="180051273">
          <w:marLeft w:val="0"/>
          <w:marRight w:val="0"/>
          <w:marTop w:val="0"/>
          <w:marBottom w:val="0"/>
          <w:divBdr>
            <w:top w:val="none" w:sz="0" w:space="0" w:color="auto"/>
            <w:left w:val="none" w:sz="0" w:space="0" w:color="auto"/>
            <w:bottom w:val="none" w:sz="0" w:space="0" w:color="auto"/>
            <w:right w:val="none" w:sz="0" w:space="0" w:color="auto"/>
          </w:divBdr>
        </w:div>
        <w:div w:id="1855151648">
          <w:marLeft w:val="0"/>
          <w:marRight w:val="0"/>
          <w:marTop w:val="0"/>
          <w:marBottom w:val="0"/>
          <w:divBdr>
            <w:top w:val="none" w:sz="0" w:space="0" w:color="auto"/>
            <w:left w:val="none" w:sz="0" w:space="0" w:color="auto"/>
            <w:bottom w:val="none" w:sz="0" w:space="0" w:color="auto"/>
            <w:right w:val="none" w:sz="0" w:space="0" w:color="auto"/>
          </w:divBdr>
        </w:div>
      </w:divsChild>
    </w:div>
    <w:div w:id="683675782">
      <w:bodyDiv w:val="1"/>
      <w:marLeft w:val="0"/>
      <w:marRight w:val="0"/>
      <w:marTop w:val="0"/>
      <w:marBottom w:val="0"/>
      <w:divBdr>
        <w:top w:val="none" w:sz="0" w:space="0" w:color="auto"/>
        <w:left w:val="none" w:sz="0" w:space="0" w:color="auto"/>
        <w:bottom w:val="none" w:sz="0" w:space="0" w:color="auto"/>
        <w:right w:val="none" w:sz="0" w:space="0" w:color="auto"/>
      </w:divBdr>
    </w:div>
    <w:div w:id="718481056">
      <w:bodyDiv w:val="1"/>
      <w:marLeft w:val="0"/>
      <w:marRight w:val="0"/>
      <w:marTop w:val="0"/>
      <w:marBottom w:val="0"/>
      <w:divBdr>
        <w:top w:val="none" w:sz="0" w:space="0" w:color="auto"/>
        <w:left w:val="none" w:sz="0" w:space="0" w:color="auto"/>
        <w:bottom w:val="none" w:sz="0" w:space="0" w:color="auto"/>
        <w:right w:val="none" w:sz="0" w:space="0" w:color="auto"/>
      </w:divBdr>
      <w:divsChild>
        <w:div w:id="186261468">
          <w:marLeft w:val="0"/>
          <w:marRight w:val="0"/>
          <w:marTop w:val="0"/>
          <w:marBottom w:val="0"/>
          <w:divBdr>
            <w:top w:val="none" w:sz="0" w:space="0" w:color="auto"/>
            <w:left w:val="none" w:sz="0" w:space="0" w:color="auto"/>
            <w:bottom w:val="none" w:sz="0" w:space="0" w:color="auto"/>
            <w:right w:val="none" w:sz="0" w:space="0" w:color="auto"/>
          </w:divBdr>
        </w:div>
        <w:div w:id="1198157759">
          <w:marLeft w:val="0"/>
          <w:marRight w:val="0"/>
          <w:marTop w:val="0"/>
          <w:marBottom w:val="0"/>
          <w:divBdr>
            <w:top w:val="none" w:sz="0" w:space="0" w:color="auto"/>
            <w:left w:val="none" w:sz="0" w:space="0" w:color="auto"/>
            <w:bottom w:val="none" w:sz="0" w:space="0" w:color="auto"/>
            <w:right w:val="none" w:sz="0" w:space="0" w:color="auto"/>
          </w:divBdr>
        </w:div>
        <w:div w:id="472723742">
          <w:marLeft w:val="0"/>
          <w:marRight w:val="0"/>
          <w:marTop w:val="0"/>
          <w:marBottom w:val="0"/>
          <w:divBdr>
            <w:top w:val="none" w:sz="0" w:space="0" w:color="auto"/>
            <w:left w:val="none" w:sz="0" w:space="0" w:color="auto"/>
            <w:bottom w:val="none" w:sz="0" w:space="0" w:color="auto"/>
            <w:right w:val="none" w:sz="0" w:space="0" w:color="auto"/>
          </w:divBdr>
        </w:div>
        <w:div w:id="1705208927">
          <w:marLeft w:val="0"/>
          <w:marRight w:val="0"/>
          <w:marTop w:val="0"/>
          <w:marBottom w:val="0"/>
          <w:divBdr>
            <w:top w:val="none" w:sz="0" w:space="0" w:color="auto"/>
            <w:left w:val="none" w:sz="0" w:space="0" w:color="auto"/>
            <w:bottom w:val="none" w:sz="0" w:space="0" w:color="auto"/>
            <w:right w:val="none" w:sz="0" w:space="0" w:color="auto"/>
          </w:divBdr>
        </w:div>
        <w:div w:id="246498850">
          <w:marLeft w:val="0"/>
          <w:marRight w:val="0"/>
          <w:marTop w:val="0"/>
          <w:marBottom w:val="0"/>
          <w:divBdr>
            <w:top w:val="none" w:sz="0" w:space="0" w:color="auto"/>
            <w:left w:val="none" w:sz="0" w:space="0" w:color="auto"/>
            <w:bottom w:val="none" w:sz="0" w:space="0" w:color="auto"/>
            <w:right w:val="none" w:sz="0" w:space="0" w:color="auto"/>
          </w:divBdr>
        </w:div>
        <w:div w:id="328097660">
          <w:marLeft w:val="0"/>
          <w:marRight w:val="0"/>
          <w:marTop w:val="0"/>
          <w:marBottom w:val="0"/>
          <w:divBdr>
            <w:top w:val="none" w:sz="0" w:space="0" w:color="auto"/>
            <w:left w:val="none" w:sz="0" w:space="0" w:color="auto"/>
            <w:bottom w:val="none" w:sz="0" w:space="0" w:color="auto"/>
            <w:right w:val="none" w:sz="0" w:space="0" w:color="auto"/>
          </w:divBdr>
        </w:div>
        <w:div w:id="1120026904">
          <w:marLeft w:val="0"/>
          <w:marRight w:val="0"/>
          <w:marTop w:val="0"/>
          <w:marBottom w:val="0"/>
          <w:divBdr>
            <w:top w:val="none" w:sz="0" w:space="0" w:color="auto"/>
            <w:left w:val="none" w:sz="0" w:space="0" w:color="auto"/>
            <w:bottom w:val="none" w:sz="0" w:space="0" w:color="auto"/>
            <w:right w:val="none" w:sz="0" w:space="0" w:color="auto"/>
          </w:divBdr>
        </w:div>
        <w:div w:id="1240752588">
          <w:marLeft w:val="0"/>
          <w:marRight w:val="0"/>
          <w:marTop w:val="0"/>
          <w:marBottom w:val="0"/>
          <w:divBdr>
            <w:top w:val="none" w:sz="0" w:space="0" w:color="auto"/>
            <w:left w:val="none" w:sz="0" w:space="0" w:color="auto"/>
            <w:bottom w:val="none" w:sz="0" w:space="0" w:color="auto"/>
            <w:right w:val="none" w:sz="0" w:space="0" w:color="auto"/>
          </w:divBdr>
        </w:div>
        <w:div w:id="1710491020">
          <w:marLeft w:val="0"/>
          <w:marRight w:val="0"/>
          <w:marTop w:val="0"/>
          <w:marBottom w:val="0"/>
          <w:divBdr>
            <w:top w:val="none" w:sz="0" w:space="0" w:color="auto"/>
            <w:left w:val="none" w:sz="0" w:space="0" w:color="auto"/>
            <w:bottom w:val="none" w:sz="0" w:space="0" w:color="auto"/>
            <w:right w:val="none" w:sz="0" w:space="0" w:color="auto"/>
          </w:divBdr>
        </w:div>
        <w:div w:id="1113086720">
          <w:marLeft w:val="0"/>
          <w:marRight w:val="0"/>
          <w:marTop w:val="0"/>
          <w:marBottom w:val="0"/>
          <w:divBdr>
            <w:top w:val="none" w:sz="0" w:space="0" w:color="auto"/>
            <w:left w:val="none" w:sz="0" w:space="0" w:color="auto"/>
            <w:bottom w:val="none" w:sz="0" w:space="0" w:color="auto"/>
            <w:right w:val="none" w:sz="0" w:space="0" w:color="auto"/>
          </w:divBdr>
        </w:div>
        <w:div w:id="571045507">
          <w:marLeft w:val="0"/>
          <w:marRight w:val="0"/>
          <w:marTop w:val="0"/>
          <w:marBottom w:val="0"/>
          <w:divBdr>
            <w:top w:val="none" w:sz="0" w:space="0" w:color="auto"/>
            <w:left w:val="none" w:sz="0" w:space="0" w:color="auto"/>
            <w:bottom w:val="none" w:sz="0" w:space="0" w:color="auto"/>
            <w:right w:val="none" w:sz="0" w:space="0" w:color="auto"/>
          </w:divBdr>
        </w:div>
      </w:divsChild>
    </w:div>
    <w:div w:id="1170367304">
      <w:bodyDiv w:val="1"/>
      <w:marLeft w:val="0"/>
      <w:marRight w:val="0"/>
      <w:marTop w:val="0"/>
      <w:marBottom w:val="0"/>
      <w:divBdr>
        <w:top w:val="none" w:sz="0" w:space="0" w:color="auto"/>
        <w:left w:val="none" w:sz="0" w:space="0" w:color="auto"/>
        <w:bottom w:val="none" w:sz="0" w:space="0" w:color="auto"/>
        <w:right w:val="none" w:sz="0" w:space="0" w:color="auto"/>
      </w:divBdr>
      <w:divsChild>
        <w:div w:id="1662535990">
          <w:marLeft w:val="0"/>
          <w:marRight w:val="0"/>
          <w:marTop w:val="0"/>
          <w:marBottom w:val="0"/>
          <w:divBdr>
            <w:top w:val="none" w:sz="0" w:space="0" w:color="auto"/>
            <w:left w:val="none" w:sz="0" w:space="0" w:color="auto"/>
            <w:bottom w:val="none" w:sz="0" w:space="0" w:color="auto"/>
            <w:right w:val="none" w:sz="0" w:space="0" w:color="auto"/>
          </w:divBdr>
        </w:div>
        <w:div w:id="741636067">
          <w:marLeft w:val="0"/>
          <w:marRight w:val="0"/>
          <w:marTop w:val="0"/>
          <w:marBottom w:val="0"/>
          <w:divBdr>
            <w:top w:val="none" w:sz="0" w:space="0" w:color="auto"/>
            <w:left w:val="none" w:sz="0" w:space="0" w:color="auto"/>
            <w:bottom w:val="none" w:sz="0" w:space="0" w:color="auto"/>
            <w:right w:val="none" w:sz="0" w:space="0" w:color="auto"/>
          </w:divBdr>
        </w:div>
        <w:div w:id="1950819215">
          <w:marLeft w:val="0"/>
          <w:marRight w:val="0"/>
          <w:marTop w:val="0"/>
          <w:marBottom w:val="0"/>
          <w:divBdr>
            <w:top w:val="none" w:sz="0" w:space="0" w:color="auto"/>
            <w:left w:val="none" w:sz="0" w:space="0" w:color="auto"/>
            <w:bottom w:val="none" w:sz="0" w:space="0" w:color="auto"/>
            <w:right w:val="none" w:sz="0" w:space="0" w:color="auto"/>
          </w:divBdr>
        </w:div>
        <w:div w:id="920871498">
          <w:marLeft w:val="0"/>
          <w:marRight w:val="0"/>
          <w:marTop w:val="0"/>
          <w:marBottom w:val="0"/>
          <w:divBdr>
            <w:top w:val="none" w:sz="0" w:space="0" w:color="auto"/>
            <w:left w:val="none" w:sz="0" w:space="0" w:color="auto"/>
            <w:bottom w:val="none" w:sz="0" w:space="0" w:color="auto"/>
            <w:right w:val="none" w:sz="0" w:space="0" w:color="auto"/>
          </w:divBdr>
        </w:div>
        <w:div w:id="1727876230">
          <w:marLeft w:val="0"/>
          <w:marRight w:val="0"/>
          <w:marTop w:val="0"/>
          <w:marBottom w:val="0"/>
          <w:divBdr>
            <w:top w:val="none" w:sz="0" w:space="0" w:color="auto"/>
            <w:left w:val="none" w:sz="0" w:space="0" w:color="auto"/>
            <w:bottom w:val="none" w:sz="0" w:space="0" w:color="auto"/>
            <w:right w:val="none" w:sz="0" w:space="0" w:color="auto"/>
          </w:divBdr>
        </w:div>
        <w:div w:id="1611274662">
          <w:marLeft w:val="0"/>
          <w:marRight w:val="0"/>
          <w:marTop w:val="0"/>
          <w:marBottom w:val="0"/>
          <w:divBdr>
            <w:top w:val="none" w:sz="0" w:space="0" w:color="auto"/>
            <w:left w:val="none" w:sz="0" w:space="0" w:color="auto"/>
            <w:bottom w:val="none" w:sz="0" w:space="0" w:color="auto"/>
            <w:right w:val="none" w:sz="0" w:space="0" w:color="auto"/>
          </w:divBdr>
        </w:div>
        <w:div w:id="1952123321">
          <w:marLeft w:val="0"/>
          <w:marRight w:val="0"/>
          <w:marTop w:val="0"/>
          <w:marBottom w:val="0"/>
          <w:divBdr>
            <w:top w:val="none" w:sz="0" w:space="0" w:color="auto"/>
            <w:left w:val="none" w:sz="0" w:space="0" w:color="auto"/>
            <w:bottom w:val="none" w:sz="0" w:space="0" w:color="auto"/>
            <w:right w:val="none" w:sz="0" w:space="0" w:color="auto"/>
          </w:divBdr>
        </w:div>
        <w:div w:id="433407819">
          <w:marLeft w:val="0"/>
          <w:marRight w:val="0"/>
          <w:marTop w:val="0"/>
          <w:marBottom w:val="0"/>
          <w:divBdr>
            <w:top w:val="none" w:sz="0" w:space="0" w:color="auto"/>
            <w:left w:val="none" w:sz="0" w:space="0" w:color="auto"/>
            <w:bottom w:val="none" w:sz="0" w:space="0" w:color="auto"/>
            <w:right w:val="none" w:sz="0" w:space="0" w:color="auto"/>
          </w:divBdr>
        </w:div>
        <w:div w:id="539443303">
          <w:marLeft w:val="0"/>
          <w:marRight w:val="0"/>
          <w:marTop w:val="0"/>
          <w:marBottom w:val="0"/>
          <w:divBdr>
            <w:top w:val="none" w:sz="0" w:space="0" w:color="auto"/>
            <w:left w:val="none" w:sz="0" w:space="0" w:color="auto"/>
            <w:bottom w:val="none" w:sz="0" w:space="0" w:color="auto"/>
            <w:right w:val="none" w:sz="0" w:space="0" w:color="auto"/>
          </w:divBdr>
        </w:div>
        <w:div w:id="1092507247">
          <w:marLeft w:val="0"/>
          <w:marRight w:val="0"/>
          <w:marTop w:val="0"/>
          <w:marBottom w:val="0"/>
          <w:divBdr>
            <w:top w:val="none" w:sz="0" w:space="0" w:color="auto"/>
            <w:left w:val="none" w:sz="0" w:space="0" w:color="auto"/>
            <w:bottom w:val="none" w:sz="0" w:space="0" w:color="auto"/>
            <w:right w:val="none" w:sz="0" w:space="0" w:color="auto"/>
          </w:divBdr>
        </w:div>
        <w:div w:id="1895508173">
          <w:marLeft w:val="0"/>
          <w:marRight w:val="0"/>
          <w:marTop w:val="0"/>
          <w:marBottom w:val="0"/>
          <w:divBdr>
            <w:top w:val="none" w:sz="0" w:space="0" w:color="auto"/>
            <w:left w:val="none" w:sz="0" w:space="0" w:color="auto"/>
            <w:bottom w:val="none" w:sz="0" w:space="0" w:color="auto"/>
            <w:right w:val="none" w:sz="0" w:space="0" w:color="auto"/>
          </w:divBdr>
        </w:div>
        <w:div w:id="1427069509">
          <w:marLeft w:val="0"/>
          <w:marRight w:val="0"/>
          <w:marTop w:val="0"/>
          <w:marBottom w:val="0"/>
          <w:divBdr>
            <w:top w:val="none" w:sz="0" w:space="0" w:color="auto"/>
            <w:left w:val="none" w:sz="0" w:space="0" w:color="auto"/>
            <w:bottom w:val="none" w:sz="0" w:space="0" w:color="auto"/>
            <w:right w:val="none" w:sz="0" w:space="0" w:color="auto"/>
          </w:divBdr>
        </w:div>
        <w:div w:id="445545243">
          <w:marLeft w:val="0"/>
          <w:marRight w:val="0"/>
          <w:marTop w:val="0"/>
          <w:marBottom w:val="0"/>
          <w:divBdr>
            <w:top w:val="none" w:sz="0" w:space="0" w:color="auto"/>
            <w:left w:val="none" w:sz="0" w:space="0" w:color="auto"/>
            <w:bottom w:val="none" w:sz="0" w:space="0" w:color="auto"/>
            <w:right w:val="none" w:sz="0" w:space="0" w:color="auto"/>
          </w:divBdr>
        </w:div>
        <w:div w:id="1999386221">
          <w:marLeft w:val="0"/>
          <w:marRight w:val="0"/>
          <w:marTop w:val="0"/>
          <w:marBottom w:val="0"/>
          <w:divBdr>
            <w:top w:val="none" w:sz="0" w:space="0" w:color="auto"/>
            <w:left w:val="none" w:sz="0" w:space="0" w:color="auto"/>
            <w:bottom w:val="none" w:sz="0" w:space="0" w:color="auto"/>
            <w:right w:val="none" w:sz="0" w:space="0" w:color="auto"/>
          </w:divBdr>
        </w:div>
        <w:div w:id="2115319096">
          <w:marLeft w:val="0"/>
          <w:marRight w:val="0"/>
          <w:marTop w:val="0"/>
          <w:marBottom w:val="0"/>
          <w:divBdr>
            <w:top w:val="none" w:sz="0" w:space="0" w:color="auto"/>
            <w:left w:val="none" w:sz="0" w:space="0" w:color="auto"/>
            <w:bottom w:val="none" w:sz="0" w:space="0" w:color="auto"/>
            <w:right w:val="none" w:sz="0" w:space="0" w:color="auto"/>
          </w:divBdr>
        </w:div>
        <w:div w:id="1057900702">
          <w:marLeft w:val="0"/>
          <w:marRight w:val="0"/>
          <w:marTop w:val="0"/>
          <w:marBottom w:val="0"/>
          <w:divBdr>
            <w:top w:val="none" w:sz="0" w:space="0" w:color="auto"/>
            <w:left w:val="none" w:sz="0" w:space="0" w:color="auto"/>
            <w:bottom w:val="none" w:sz="0" w:space="0" w:color="auto"/>
            <w:right w:val="none" w:sz="0" w:space="0" w:color="auto"/>
          </w:divBdr>
        </w:div>
        <w:div w:id="1663310286">
          <w:marLeft w:val="0"/>
          <w:marRight w:val="0"/>
          <w:marTop w:val="0"/>
          <w:marBottom w:val="0"/>
          <w:divBdr>
            <w:top w:val="none" w:sz="0" w:space="0" w:color="auto"/>
            <w:left w:val="none" w:sz="0" w:space="0" w:color="auto"/>
            <w:bottom w:val="none" w:sz="0" w:space="0" w:color="auto"/>
            <w:right w:val="none" w:sz="0" w:space="0" w:color="auto"/>
          </w:divBdr>
        </w:div>
        <w:div w:id="2087531176">
          <w:marLeft w:val="0"/>
          <w:marRight w:val="0"/>
          <w:marTop w:val="0"/>
          <w:marBottom w:val="0"/>
          <w:divBdr>
            <w:top w:val="none" w:sz="0" w:space="0" w:color="auto"/>
            <w:left w:val="none" w:sz="0" w:space="0" w:color="auto"/>
            <w:bottom w:val="none" w:sz="0" w:space="0" w:color="auto"/>
            <w:right w:val="none" w:sz="0" w:space="0" w:color="auto"/>
          </w:divBdr>
        </w:div>
        <w:div w:id="1905485090">
          <w:marLeft w:val="0"/>
          <w:marRight w:val="0"/>
          <w:marTop w:val="0"/>
          <w:marBottom w:val="0"/>
          <w:divBdr>
            <w:top w:val="none" w:sz="0" w:space="0" w:color="auto"/>
            <w:left w:val="none" w:sz="0" w:space="0" w:color="auto"/>
            <w:bottom w:val="none" w:sz="0" w:space="0" w:color="auto"/>
            <w:right w:val="none" w:sz="0" w:space="0" w:color="auto"/>
          </w:divBdr>
        </w:div>
        <w:div w:id="1734112500">
          <w:marLeft w:val="0"/>
          <w:marRight w:val="0"/>
          <w:marTop w:val="0"/>
          <w:marBottom w:val="0"/>
          <w:divBdr>
            <w:top w:val="none" w:sz="0" w:space="0" w:color="auto"/>
            <w:left w:val="none" w:sz="0" w:space="0" w:color="auto"/>
            <w:bottom w:val="none" w:sz="0" w:space="0" w:color="auto"/>
            <w:right w:val="none" w:sz="0" w:space="0" w:color="auto"/>
          </w:divBdr>
        </w:div>
        <w:div w:id="1721828418">
          <w:marLeft w:val="0"/>
          <w:marRight w:val="0"/>
          <w:marTop w:val="0"/>
          <w:marBottom w:val="0"/>
          <w:divBdr>
            <w:top w:val="none" w:sz="0" w:space="0" w:color="auto"/>
            <w:left w:val="none" w:sz="0" w:space="0" w:color="auto"/>
            <w:bottom w:val="none" w:sz="0" w:space="0" w:color="auto"/>
            <w:right w:val="none" w:sz="0" w:space="0" w:color="auto"/>
          </w:divBdr>
        </w:div>
        <w:div w:id="1882740923">
          <w:marLeft w:val="0"/>
          <w:marRight w:val="0"/>
          <w:marTop w:val="0"/>
          <w:marBottom w:val="0"/>
          <w:divBdr>
            <w:top w:val="none" w:sz="0" w:space="0" w:color="auto"/>
            <w:left w:val="none" w:sz="0" w:space="0" w:color="auto"/>
            <w:bottom w:val="none" w:sz="0" w:space="0" w:color="auto"/>
            <w:right w:val="none" w:sz="0" w:space="0" w:color="auto"/>
          </w:divBdr>
        </w:div>
        <w:div w:id="334693280">
          <w:marLeft w:val="0"/>
          <w:marRight w:val="0"/>
          <w:marTop w:val="0"/>
          <w:marBottom w:val="0"/>
          <w:divBdr>
            <w:top w:val="none" w:sz="0" w:space="0" w:color="auto"/>
            <w:left w:val="none" w:sz="0" w:space="0" w:color="auto"/>
            <w:bottom w:val="none" w:sz="0" w:space="0" w:color="auto"/>
            <w:right w:val="none" w:sz="0" w:space="0" w:color="auto"/>
          </w:divBdr>
        </w:div>
        <w:div w:id="176581445">
          <w:marLeft w:val="0"/>
          <w:marRight w:val="0"/>
          <w:marTop w:val="0"/>
          <w:marBottom w:val="0"/>
          <w:divBdr>
            <w:top w:val="none" w:sz="0" w:space="0" w:color="auto"/>
            <w:left w:val="none" w:sz="0" w:space="0" w:color="auto"/>
            <w:bottom w:val="none" w:sz="0" w:space="0" w:color="auto"/>
            <w:right w:val="none" w:sz="0" w:space="0" w:color="auto"/>
          </w:divBdr>
        </w:div>
        <w:div w:id="1626932169">
          <w:marLeft w:val="0"/>
          <w:marRight w:val="0"/>
          <w:marTop w:val="0"/>
          <w:marBottom w:val="0"/>
          <w:divBdr>
            <w:top w:val="none" w:sz="0" w:space="0" w:color="auto"/>
            <w:left w:val="none" w:sz="0" w:space="0" w:color="auto"/>
            <w:bottom w:val="none" w:sz="0" w:space="0" w:color="auto"/>
            <w:right w:val="none" w:sz="0" w:space="0" w:color="auto"/>
          </w:divBdr>
        </w:div>
        <w:div w:id="1048797360">
          <w:marLeft w:val="0"/>
          <w:marRight w:val="0"/>
          <w:marTop w:val="0"/>
          <w:marBottom w:val="0"/>
          <w:divBdr>
            <w:top w:val="none" w:sz="0" w:space="0" w:color="auto"/>
            <w:left w:val="none" w:sz="0" w:space="0" w:color="auto"/>
            <w:bottom w:val="none" w:sz="0" w:space="0" w:color="auto"/>
            <w:right w:val="none" w:sz="0" w:space="0" w:color="auto"/>
          </w:divBdr>
        </w:div>
        <w:div w:id="1423408844">
          <w:marLeft w:val="0"/>
          <w:marRight w:val="0"/>
          <w:marTop w:val="0"/>
          <w:marBottom w:val="0"/>
          <w:divBdr>
            <w:top w:val="none" w:sz="0" w:space="0" w:color="auto"/>
            <w:left w:val="none" w:sz="0" w:space="0" w:color="auto"/>
            <w:bottom w:val="none" w:sz="0" w:space="0" w:color="auto"/>
            <w:right w:val="none" w:sz="0" w:space="0" w:color="auto"/>
          </w:divBdr>
        </w:div>
        <w:div w:id="216431176">
          <w:marLeft w:val="0"/>
          <w:marRight w:val="0"/>
          <w:marTop w:val="0"/>
          <w:marBottom w:val="0"/>
          <w:divBdr>
            <w:top w:val="none" w:sz="0" w:space="0" w:color="auto"/>
            <w:left w:val="none" w:sz="0" w:space="0" w:color="auto"/>
            <w:bottom w:val="none" w:sz="0" w:space="0" w:color="auto"/>
            <w:right w:val="none" w:sz="0" w:space="0" w:color="auto"/>
          </w:divBdr>
        </w:div>
      </w:divsChild>
    </w:div>
    <w:div w:id="1537934373">
      <w:bodyDiv w:val="1"/>
      <w:marLeft w:val="0"/>
      <w:marRight w:val="0"/>
      <w:marTop w:val="0"/>
      <w:marBottom w:val="0"/>
      <w:divBdr>
        <w:top w:val="none" w:sz="0" w:space="0" w:color="auto"/>
        <w:left w:val="none" w:sz="0" w:space="0" w:color="auto"/>
        <w:bottom w:val="none" w:sz="0" w:space="0" w:color="auto"/>
        <w:right w:val="none" w:sz="0" w:space="0" w:color="auto"/>
      </w:divBdr>
    </w:div>
    <w:div w:id="1821654607">
      <w:bodyDiv w:val="1"/>
      <w:marLeft w:val="0"/>
      <w:marRight w:val="0"/>
      <w:marTop w:val="0"/>
      <w:marBottom w:val="0"/>
      <w:divBdr>
        <w:top w:val="none" w:sz="0" w:space="0" w:color="auto"/>
        <w:left w:val="none" w:sz="0" w:space="0" w:color="auto"/>
        <w:bottom w:val="none" w:sz="0" w:space="0" w:color="auto"/>
        <w:right w:val="none" w:sz="0" w:space="0" w:color="auto"/>
      </w:divBdr>
    </w:div>
    <w:div w:id="1867326876">
      <w:bodyDiv w:val="1"/>
      <w:marLeft w:val="0"/>
      <w:marRight w:val="0"/>
      <w:marTop w:val="0"/>
      <w:marBottom w:val="0"/>
      <w:divBdr>
        <w:top w:val="none" w:sz="0" w:space="0" w:color="auto"/>
        <w:left w:val="none" w:sz="0" w:space="0" w:color="auto"/>
        <w:bottom w:val="none" w:sz="0" w:space="0" w:color="auto"/>
        <w:right w:val="none" w:sz="0" w:space="0" w:color="auto"/>
      </w:divBdr>
    </w:div>
    <w:div w:id="1988631490">
      <w:bodyDiv w:val="1"/>
      <w:marLeft w:val="0"/>
      <w:marRight w:val="0"/>
      <w:marTop w:val="0"/>
      <w:marBottom w:val="0"/>
      <w:divBdr>
        <w:top w:val="none" w:sz="0" w:space="0" w:color="auto"/>
        <w:left w:val="none" w:sz="0" w:space="0" w:color="auto"/>
        <w:bottom w:val="none" w:sz="0" w:space="0" w:color="auto"/>
        <w:right w:val="none" w:sz="0" w:space="0" w:color="auto"/>
      </w:divBdr>
      <w:divsChild>
        <w:div w:id="1486782200">
          <w:marLeft w:val="0"/>
          <w:marRight w:val="0"/>
          <w:marTop w:val="0"/>
          <w:marBottom w:val="0"/>
          <w:divBdr>
            <w:top w:val="none" w:sz="0" w:space="0" w:color="auto"/>
            <w:left w:val="none" w:sz="0" w:space="0" w:color="auto"/>
            <w:bottom w:val="none" w:sz="0" w:space="0" w:color="auto"/>
            <w:right w:val="none" w:sz="0" w:space="0" w:color="auto"/>
          </w:divBdr>
        </w:div>
        <w:div w:id="681247499">
          <w:marLeft w:val="0"/>
          <w:marRight w:val="0"/>
          <w:marTop w:val="0"/>
          <w:marBottom w:val="0"/>
          <w:divBdr>
            <w:top w:val="none" w:sz="0" w:space="0" w:color="auto"/>
            <w:left w:val="none" w:sz="0" w:space="0" w:color="auto"/>
            <w:bottom w:val="none" w:sz="0" w:space="0" w:color="auto"/>
            <w:right w:val="none" w:sz="0" w:space="0" w:color="auto"/>
          </w:divBdr>
        </w:div>
        <w:div w:id="1049691455">
          <w:marLeft w:val="0"/>
          <w:marRight w:val="0"/>
          <w:marTop w:val="0"/>
          <w:marBottom w:val="0"/>
          <w:divBdr>
            <w:top w:val="none" w:sz="0" w:space="0" w:color="auto"/>
            <w:left w:val="none" w:sz="0" w:space="0" w:color="auto"/>
            <w:bottom w:val="none" w:sz="0" w:space="0" w:color="auto"/>
            <w:right w:val="none" w:sz="0" w:space="0" w:color="auto"/>
          </w:divBdr>
        </w:div>
        <w:div w:id="1583248711">
          <w:marLeft w:val="0"/>
          <w:marRight w:val="0"/>
          <w:marTop w:val="0"/>
          <w:marBottom w:val="0"/>
          <w:divBdr>
            <w:top w:val="none" w:sz="0" w:space="0" w:color="auto"/>
            <w:left w:val="none" w:sz="0" w:space="0" w:color="auto"/>
            <w:bottom w:val="none" w:sz="0" w:space="0" w:color="auto"/>
            <w:right w:val="none" w:sz="0" w:space="0" w:color="auto"/>
          </w:divBdr>
        </w:div>
        <w:div w:id="1422023932">
          <w:marLeft w:val="0"/>
          <w:marRight w:val="0"/>
          <w:marTop w:val="0"/>
          <w:marBottom w:val="0"/>
          <w:divBdr>
            <w:top w:val="none" w:sz="0" w:space="0" w:color="auto"/>
            <w:left w:val="none" w:sz="0" w:space="0" w:color="auto"/>
            <w:bottom w:val="none" w:sz="0" w:space="0" w:color="auto"/>
            <w:right w:val="none" w:sz="0" w:space="0" w:color="auto"/>
          </w:divBdr>
        </w:div>
        <w:div w:id="152759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ysubmissions@rba.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choice.com.au/money/credit-cards-and-loans/credit-cards/articles/excessive-credit-card-surcharging-update" TargetMode="External"/><Relationship Id="rId1" Type="http://schemas.openxmlformats.org/officeDocument/2006/relationships/hyperlink" Target="http://www.rba.gov.au/payments-system/reforms/cc-schemes/cc-fees-benchmark/guidanc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Natalie/Documents/Nat's%20Work%20Folder/COB3769%20Legal%20Text%20Change/Final/Links/ABA3769%20COBA-letterhead-temp-syd-update_Fina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76FB-5901-4097-BF05-4C843883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92D0D0E1.dotm</Template>
  <TotalTime>0</TotalTime>
  <Pages>5</Pages>
  <Words>1769</Words>
  <Characters>9866</Characters>
  <Application>Microsoft Office Word</Application>
  <DocSecurity>4</DocSecurity>
  <Lines>230</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Aliferis</dc:creator>
  <cp:lastModifiedBy>JIMENEZ, Ivan</cp:lastModifiedBy>
  <cp:revision>2</cp:revision>
  <dcterms:created xsi:type="dcterms:W3CDTF">2015-05-06T23:22:00Z</dcterms:created>
  <dcterms:modified xsi:type="dcterms:W3CDTF">2015-05-06T23:22:00Z</dcterms:modified>
</cp:coreProperties>
</file>